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60" w:type="dxa"/>
            <w:vAlign w:val="bottom"/>
          </w:tcPr>
          <w:p>
            <w:pPr>
              <w:jc w:val="center"/>
              <w:ind w:left="896"/>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0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60" w:type="dxa"/>
            <w:vAlign w:val="bottom"/>
            <w:gridSpan w:val="3"/>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1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60" w:type="dxa"/>
            <w:vAlign w:val="bottom"/>
          </w:tcPr>
          <w:p>
            <w:pPr>
              <w:jc w:val="center"/>
              <w:ind w:left="916"/>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81"/>
        </w:trPr>
        <w:tc>
          <w:tcPr>
            <w:tcW w:w="15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r>
      <w:tr>
        <w:trPr>
          <w:trHeight w:val="304"/>
        </w:trPr>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60" w:type="dxa"/>
            <w:vAlign w:val="bottom"/>
          </w:tcPr>
          <w:p>
            <w:pPr>
              <w:jc w:val="center"/>
              <w:ind w:left="916"/>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4"/>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 One)</w:t>
            </w:r>
          </w:p>
        </w:tc>
        <w:tc>
          <w:tcPr>
            <w:tcW w:w="19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03"/>
        </w:trPr>
        <w:tc>
          <w:tcPr>
            <w:tcW w:w="1520" w:type="dxa"/>
            <w:vAlign w:val="bottom"/>
          </w:tcPr>
          <w:p>
            <w:pPr>
              <w:jc w:val="center"/>
              <w:ind w:right="962"/>
              <w:spacing w:after="0" w:line="181" w:lineRule="exact"/>
              <w:rPr>
                <w:sz w:val="20"/>
                <w:szCs w:val="20"/>
                <w:color w:val="auto"/>
              </w:rPr>
            </w:pPr>
            <w:r>
              <w:rPr>
                <w:rFonts w:ascii="MS PGothic" w:cs="MS PGothic" w:eastAsia="MS PGothic" w:hAnsi="MS PGothic"/>
                <w:sz w:val="18"/>
                <w:szCs w:val="18"/>
                <w:color w:val="auto"/>
                <w:w w:val="88"/>
              </w:rPr>
              <w:t>☒</w:t>
            </w:r>
          </w:p>
        </w:tc>
        <w:tc>
          <w:tcPr>
            <w:tcW w:w="81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tc>
      </w:tr>
      <w:tr>
        <w:trPr>
          <w:trHeight w:val="204"/>
        </w:trPr>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16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tc>
      </w:tr>
      <w:tr>
        <w:trPr>
          <w:trHeight w:val="190"/>
        </w:trPr>
        <w:tc>
          <w:tcPr>
            <w:tcW w:w="1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60" w:type="dxa"/>
            <w:vAlign w:val="bottom"/>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OR</w:t>
            </w:r>
          </w:p>
        </w:tc>
        <w:tc>
          <w:tcPr>
            <w:tcW w:w="10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33"/>
        </w:trPr>
        <w:tc>
          <w:tcPr>
            <w:tcW w:w="1520" w:type="dxa"/>
            <w:vAlign w:val="bottom"/>
          </w:tcPr>
          <w:p>
            <w:pPr>
              <w:jc w:val="center"/>
              <w:ind w:right="982"/>
              <w:spacing w:after="0" w:line="141" w:lineRule="exact"/>
              <w:rPr>
                <w:sz w:val="20"/>
                <w:szCs w:val="20"/>
                <w:color w:val="auto"/>
              </w:rPr>
            </w:pPr>
            <w:r>
              <w:rPr>
                <w:rFonts w:ascii="MS PGothic" w:cs="MS PGothic" w:eastAsia="MS PGothic" w:hAnsi="MS PGothic"/>
                <w:sz w:val="14"/>
                <w:szCs w:val="14"/>
                <w:color w:val="auto"/>
                <w:w w:val="99"/>
              </w:rPr>
              <w:t>☐</w:t>
            </w:r>
          </w:p>
        </w:tc>
        <w:tc>
          <w:tcPr>
            <w:tcW w:w="812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r>
      <w:tr>
        <w:trPr>
          <w:trHeight w:val="248"/>
        </w:trPr>
        <w:tc>
          <w:tcPr>
            <w:tcW w:w="1520" w:type="dxa"/>
            <w:vAlign w:val="bottom"/>
          </w:tcPr>
          <w:p>
            <w:pPr>
              <w:spacing w:after="0"/>
              <w:rPr>
                <w:sz w:val="21"/>
                <w:szCs w:val="21"/>
                <w:color w:val="auto"/>
              </w:rPr>
            </w:pPr>
          </w:p>
        </w:tc>
        <w:tc>
          <w:tcPr>
            <w:tcW w:w="522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83185</wp:posOffset>
            </wp:positionV>
            <wp:extent cx="114871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871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4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50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Registrant; State of Incorporation; Address and</w:t>
            </w:r>
          </w:p>
        </w:tc>
        <w:tc>
          <w:tcPr>
            <w:tcW w:w="32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34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Telephone Number</w:t>
            </w:r>
          </w:p>
        </w:tc>
        <w:tc>
          <w:tcPr>
            <w:tcW w:w="3260" w:type="dxa"/>
            <w:vAlign w:val="bottom"/>
            <w:tcBorders>
              <w:bottom w:val="single" w:sz="8" w:color="auto"/>
            </w:tcBorders>
            <w:vMerge w:val="continue"/>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34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001-32871</w:t>
            </w:r>
          </w:p>
        </w:tc>
        <w:tc>
          <w:tcPr>
            <w:tcW w:w="3500" w:type="dxa"/>
            <w:vAlign w:val="bottom"/>
            <w:gridSpan w:val="2"/>
          </w:tcPr>
          <w:p>
            <w:pPr>
              <w:jc w:val="center"/>
              <w:ind w:right="128"/>
              <w:spacing w:after="0"/>
              <w:rPr>
                <w:sz w:val="20"/>
                <w:szCs w:val="20"/>
                <w:color w:val="auto"/>
              </w:rPr>
            </w:pPr>
            <w:r>
              <w:rPr>
                <w:rFonts w:ascii="Times New Roman" w:cs="Times New Roman" w:eastAsia="Times New Roman" w:hAnsi="Times New Roman"/>
                <w:sz w:val="22"/>
                <w:szCs w:val="22"/>
                <w:b w:val="1"/>
                <w:bCs w:val="1"/>
                <w:color w:val="auto"/>
                <w:w w:val="97"/>
              </w:rPr>
              <w:t>COMCAST CORPORATION</w:t>
            </w:r>
          </w:p>
        </w:tc>
        <w:tc>
          <w:tcPr>
            <w:tcW w:w="3260" w:type="dxa"/>
            <w:vAlign w:val="bottom"/>
          </w:tcPr>
          <w:p>
            <w:pPr>
              <w:jc w:val="right"/>
              <w:ind w:right="1248"/>
              <w:spacing w:after="0"/>
              <w:rPr>
                <w:sz w:val="20"/>
                <w:szCs w:val="20"/>
                <w:color w:val="auto"/>
              </w:rPr>
            </w:pPr>
            <w:r>
              <w:rPr>
                <w:rFonts w:ascii="Times New Roman" w:cs="Times New Roman" w:eastAsia="Times New Roman" w:hAnsi="Times New Roman"/>
                <w:sz w:val="14"/>
                <w:szCs w:val="14"/>
                <w:color w:val="auto"/>
              </w:rPr>
              <w:t>27-0000798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8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8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One Comcast Center</w:t>
            </w:r>
          </w:p>
        </w:tc>
        <w:tc>
          <w:tcPr>
            <w:tcW w:w="3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8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Philadelphia, PA 19103-2838</w:t>
            </w:r>
          </w:p>
        </w:tc>
        <w:tc>
          <w:tcPr>
            <w:tcW w:w="3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8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(215) 286-1700</w:t>
            </w:r>
          </w:p>
        </w:tc>
        <w:tc>
          <w:tcPr>
            <w:tcW w:w="3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7460" w:type="dxa"/>
            <w:vAlign w:val="bottom"/>
            <w:tcBorders>
              <w:bottom w:val="single" w:sz="8" w:color="auto"/>
            </w:tcBorders>
            <w:gridSpan w:val="4"/>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Pr>
          <w:p>
            <w:pPr>
              <w:spacing w:after="0"/>
              <w:rPr>
                <w:sz w:val="16"/>
                <w:szCs w:val="16"/>
                <w:color w:val="auto"/>
              </w:rPr>
            </w:pPr>
          </w:p>
        </w:tc>
        <w:tc>
          <w:tcPr>
            <w:tcW w:w="298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520" w:type="dxa"/>
            <w:vAlign w:val="bottom"/>
          </w:tcPr>
          <w:p>
            <w:pPr>
              <w:spacing w:after="0"/>
              <w:rPr>
                <w:sz w:val="15"/>
                <w:szCs w:val="15"/>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CMCSA</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0.000% Notes due 2026</w:t>
            </w:r>
          </w:p>
        </w:tc>
        <w:tc>
          <w:tcPr>
            <w:tcW w:w="520" w:type="dxa"/>
            <w:vAlign w:val="bottom"/>
          </w:tcPr>
          <w:p>
            <w:pPr>
              <w:spacing w:after="0"/>
              <w:rPr>
                <w:sz w:val="16"/>
                <w:szCs w:val="16"/>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CMCS26</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0.250% Notes due 2027</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CMCS27</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1.500% Notes due 2029</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CMCS29</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0.250% Notes due 2029</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CMCS29A</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0.750% Notes due 2032</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CMCS32</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3.250% Notes due 2032</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CMCS32A</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1.875% Notes due 2036</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CMCS36</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3.550% Notes due 2036</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CMCS36A</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1.250% Notes due 2040</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CMCS40</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5.250% Notes due 2040</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CMCS40A</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5.50% Notes due 2029</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CCGBP29</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New York Stock Exchange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9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298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CCZ</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New York Stock Exchange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3540"/>
        <w:spacing w:after="0" w:line="22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right="22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0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
        <w:spacing w:after="0" w:line="291" w:lineRule="exact"/>
        <w:tabs>
          <w:tab w:leader="none" w:pos="1500" w:val="left"/>
          <w:tab w:leader="none" w:pos="2140" w:val="left"/>
          <w:tab w:leader="none" w:pos="3320" w:val="left"/>
          <w:tab w:leader="none" w:pos="3940" w:val="left"/>
          <w:tab w:leader="none" w:pos="5440" w:val="left"/>
          <w:tab w:leader="none" w:pos="6080" w:val="left"/>
          <w:tab w:leader="none" w:pos="7920" w:val="left"/>
          <w:tab w:leader="none" w:pos="8560" w:val="left"/>
          <w:tab w:leader="none" w:pos="105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29"/>
          <w:szCs w:val="29"/>
          <w:color w:val="auto"/>
          <w:vertAlign w:val="subscript"/>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97"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right="6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4"/>
          <w:szCs w:val="24"/>
          <w:color w:val="auto"/>
        </w:rPr>
      </w:pPr>
    </w:p>
    <w:p>
      <w:pPr>
        <w:ind w:right="28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4"/>
          <w:szCs w:val="14"/>
          <w:color w:val="auto"/>
        </w:rPr>
        <w:t>☐</w:t>
      </w:r>
    </w:p>
    <w:p>
      <w:pPr>
        <w:spacing w:after="0" w:line="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June 30, 2024, the aggregate market value of the Comcast Corporation common stock held by non-affiliates of the registrant was $150.621 billion.</w:t>
      </w: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15, 2025, there were 3,771,578,226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221615</wp:posOffset>
            </wp:positionV>
            <wp:extent cx="2751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3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Comcast Corporation – Part III – The registrant’s definitive Proxy Statement for its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8" w:right="339" w:bottom="20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205105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2024 Annual Report on Form 10-K</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006EBF"/>
        </w:rPr>
        <w:t>Table of Contents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94"/>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0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080" w:type="dxa"/>
            <w:vAlign w:val="bottom"/>
            <w:gridSpan w:val="17"/>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940" w:type="dxa"/>
            <w:vAlign w:val="bottom"/>
            <w:gridSpan w:val="11"/>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980" w:type="dxa"/>
            <w:vAlign w:val="bottom"/>
            <w:gridSpan w:val="16"/>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260" w:type="dxa"/>
            <w:vAlign w:val="bottom"/>
            <w:gridSpan w:val="19"/>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4"/>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2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28</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8200" w:type="dxa"/>
            <w:vAlign w:val="bottom"/>
            <w:gridSpan w:val="18"/>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9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40" w:type="dxa"/>
            <w:vAlign w:val="bottom"/>
            <w:gridSpan w:val="4"/>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9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Comcast Corporation Financial Statements and Supplementary Data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0"/>
          </w:tcPr>
          <w:p>
            <w:pPr>
              <w:spacing w:after="0"/>
              <w:rPr>
                <w:sz w:val="18"/>
                <w:szCs w:val="18"/>
                <w:color w:val="auto"/>
              </w:rPr>
            </w:pPr>
          </w:p>
        </w:tc>
        <w:tc>
          <w:tcPr>
            <w:tcW w:w="2520" w:type="dxa"/>
            <w:vAlign w:val="bottom"/>
            <w:gridSpan w:val="3"/>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9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9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9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4"/>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00" w:type="dxa"/>
            <w:vAlign w:val="bottom"/>
            <w:gridSpan w:val="8"/>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93</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7180" w:type="dxa"/>
            <w:vAlign w:val="bottom"/>
            <w:gridSpan w:val="12"/>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700" w:type="dxa"/>
            <w:vAlign w:val="bottom"/>
            <w:gridSpan w:val="2"/>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540" w:type="dxa"/>
            <w:vAlign w:val="bottom"/>
            <w:gridSpan w:val="5"/>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9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9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4"/>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0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95</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840" w:type="dxa"/>
            <w:vAlign w:val="bottom"/>
            <w:gridSpan w:val="9"/>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2024. This Annual Report on Form 10-K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Unless indicated otherwise, throughout this Annual Report on Form 10-K, we refer to Comcast and its consolidated subsidiaries, as “Comcast,” “we,” “us” 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Annual Report on Form 10-K contains trademarks, service marks and trade names owned by us, as well as those owned by others.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color w:val="006EBF"/>
        </w:rPr>
        <w:t>Item 1: Business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Sky and NOW brands; produce, distribute and stream leading entertainment, sports and news through brands including NBC, Telemundo, Universal, Peacock and Sky; and own and operate Universal theme parks.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two primary businesses:</w:t>
      </w:r>
    </w:p>
    <w:p>
      <w:pPr>
        <w:spacing w:after="0" w:line="113" w:lineRule="exact"/>
        <w:rPr>
          <w:sz w:val="20"/>
          <w:szCs w:val="20"/>
          <w:color w:val="auto"/>
        </w:rPr>
      </w:pPr>
    </w:p>
    <w:p>
      <w:pPr>
        <w:jc w:val="both"/>
        <w:ind w:left="660" w:hanging="328"/>
        <w:spacing w:after="0" w:line="26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Connectivity &amp; Platforms: </w:t>
      </w:r>
      <w:r>
        <w:rPr>
          <w:rFonts w:ascii="Times New Roman" w:cs="Times New Roman" w:eastAsia="Times New Roman" w:hAnsi="Times New Roman"/>
          <w:sz w:val="18"/>
          <w:szCs w:val="18"/>
          <w:color w:val="auto"/>
        </w:rPr>
        <w:t>Contains our broadband, wireless, video and wireline voice businesses in the United States, United Kingdom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Italy (collectively, the “Connectivity &amp; Platforms markets”). Also includes the operations of our Sky-branded entertainment television networks in the United Kingdom and Italy. Our Connectivity &amp; Platforms business is reported in two segments, Residential Connectivity &amp; Platforms and Business Services Connectivity.</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Content &amp; Experiences: </w:t>
      </w:r>
      <w:r>
        <w:rPr>
          <w:rFonts w:ascii="Times New Roman" w:cs="Times New Roman" w:eastAsia="Times New Roman" w:hAnsi="Times New Roman"/>
          <w:sz w:val="18"/>
          <w:szCs w:val="18"/>
          <w:color w:val="auto"/>
        </w:rPr>
        <w:t>Contains our media and entertainment businesses that produce and distribute entertainment, sports, news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for global audiences and that own and operate theme parks and attractions in the United States and Asia. Our Content &amp; Experiences business is reported in three segments, Media, Studios and Theme Parks.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we announced our intention to create a new independent publicly traded company (“SpinCo”) comprised primarily of a strong portfolio of domestic cable television networks currently within our Media segment, including USA Network, E!, Syfy, MSNBC, CNBC, Oxygen and the Golf Channel along with complementary digital assets including Fandango, Rotten Tomatoes, GolfNow and SportsEngine, through a tax-free spin-off (the “Spin-off”). We are targeting to complete the Spin-off by the end of 2025, subject to the satisfaction of customary conditions, including obtaining final approval from our Board of Directors, satisfactory completion of SpinCo financings, receipt of tax opinions and receipt of any regulatory approvals. There can be no assurance that a separation transaction will occur, or, if one does occur, of its terms or timing.</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businesses and segments, refer to Item 7: Management’s Discussion and Analysis of Financial Condition and Results of Operations and Note 2 to the consolidated financial statements included in this Annual Report on Form 10-K.</w:t>
      </w:r>
    </w:p>
    <w:p>
      <w:pPr>
        <w:spacing w:after="0" w:line="49" w:lineRule="exact"/>
        <w:rPr>
          <w:sz w:val="20"/>
          <w:szCs w:val="20"/>
          <w:color w:val="auto"/>
        </w:rPr>
      </w:pPr>
    </w:p>
    <w:p>
      <w:pPr>
        <w:spacing w:after="0"/>
        <w:rPr>
          <w:sz w:val="20"/>
          <w:szCs w:val="20"/>
          <w:color w:val="auto"/>
        </w:rPr>
      </w:pPr>
      <w:r>
        <w:rPr>
          <w:rFonts w:ascii="Arial" w:cs="Arial" w:eastAsia="Arial" w:hAnsi="Arial"/>
          <w:sz w:val="25"/>
          <w:szCs w:val="25"/>
          <w:color w:val="auto"/>
        </w:rPr>
        <w:t>Description of Our Businesses</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Connectivity &amp; Platforms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Residential Connectivity &amp; Platforms segment primarily includes:</w:t>
      </w:r>
    </w:p>
    <w:p>
      <w:pPr>
        <w:spacing w:after="0" w:line="11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broadband and wireless services (collectively, “Residential Connectivity”)</w:t>
      </w:r>
    </w:p>
    <w:p>
      <w:pPr>
        <w:spacing w:after="0" w:line="117" w:lineRule="exact"/>
        <w:rPr>
          <w:rFonts w:ascii="Times New Roman" w:cs="Times New Roman" w:eastAsia="Times New Roman" w:hAnsi="Times New Roman"/>
          <w:sz w:val="18"/>
          <w:szCs w:val="18"/>
          <w:color w:val="auto"/>
        </w:rPr>
      </w:pPr>
    </w:p>
    <w:p>
      <w:pPr>
        <w:ind w:right="3100" w:firstLine="332"/>
        <w:spacing w:after="0" w:line="375" w:lineRule="auto"/>
        <w:tabs>
          <w:tab w:leader="none" w:pos="6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and business video services, Sky-branded entertainment television networks and advertising We offer services to customers individually and as bundled services at a discounted rate.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6EBF"/>
        </w:rPr>
        <w:t>Residential Connectivity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Broadband</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broadband services in the United States over our hybrid fiber-optic and coaxial (“HFC”) network, as well as through direct fiber-to-the-premises connections for certain customers, and internationally in the United Kingdom and Italy by leveraging networks owned by third-party telecommunications providers.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domestic broadband offerings have a range of service levels, including up to gigabit-plus downstream speeds that we offer across nearly our entire footprint. As part of our low-income broadband adoption program, we offer qualifying domestic customers broadband services at discounted rates through our Internet Essentials and Internet Essentials Plus services, with downstream speeds of up to 75 and 100 megabits per second, respectively. In 2024, we began offering prepaid domestic broadband services with downstream speeds of up to 200 megabits per second marketed under the NOW brand. We also offer monthly access to our network of Wi-Fi hotspots.</w:t>
      </w:r>
    </w:p>
    <w:p>
      <w:pPr>
        <w:spacing w:after="0" w:line="200" w:lineRule="exact"/>
        <w:rPr>
          <w:sz w:val="20"/>
          <w:szCs w:val="20"/>
          <w:color w:val="auto"/>
        </w:rPr>
      </w:pPr>
    </w:p>
    <w:p>
      <w:pPr>
        <w:spacing w:after="0" w:line="288"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evolve and enhance our domestic network capabilities, including deploying technology in select markets that will enable us to deliver multigigabit symmetrical broadband speeds (i.e., comparable upstream and downstream speeds), as described in the Network and Technology discussion below.</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Xumo Stream Box (formerly Flex) devices to our domestic customers. The Xumo Stream Box provides access to and integration of streaming content and music from certain internet-based apps, including direct-to-consumer streaming services (“DTC streaming services”) such as Peacock, Disney+ and Netflix, and certain pay-per-view and video on demand programming that is available over the internet. We also offer certain bundled DTC streaming services to our broadband customers. We earn commission revenue from the sale of DTC streaming services when sold with our broadband services or through our video platforms, including X1 and Sky Q.</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map below highlights our domestic network footprint and the markets where we had 250,000 or more domestic residential broadband customers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863590" cy="3008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international broadband services primarily include fiber-to-the-cabinet offerings, and increasingly fiber-to-the-premises offerings.</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domestic and international broadband services, we offer to customers our advanced, proprietary wireless gateways that combine an internet modem with a Wi-Fi router to deliver reliable internet speeds and enhanced coverage through an in-and-out-of-home Wi-Fi network. In addition, customers may personalize and manage their Wi-Fi network and connected devices with our mobile apps and online portal. Broadband customers have access to our expanding network of secure Wi-Fi hotspots.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Wireless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wireless services for wireless handsets, tablets and smart watches (“wireless devices”) to residential customers in the United States and the United Kingdom using mobile virtual network operator (“MVNO”) rights. Our domestic wireless services are offered over Verizon’s wireless network and our existing network of secure residential, outdoor and business Wi-Fi hotspots, and are offered initially only as part of our bundled service offerings to customers that subscribe to our qualifying broadband services.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Wireless customers may activate multiple lines per account. We offer domestic customers services on an unlimited data plan, on shared data plans or per gigabyte of data used. In 2024, we began offering prepaid unlimited data plans marketed under the NOW brand. We offer international customers services on various gigabyte plans or an unlimited data plan. Customers may either bring their own device or purchase devices from us with the option to pay upfront or finance the purchase interest-free over 24 months for domestic customers and over 24 to 48 months for international customers.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60" w:type="dxa"/>
            <w:vAlign w:val="bottom"/>
          </w:tcPr>
          <w:p>
            <w:pPr>
              <w:jc w:val="right"/>
              <w:ind w:right="5528"/>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341"/>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Video</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video services to residential and business customers primarily through our X1 platform in the United States over our network, and through our Sky Q platform internationally in the United Kingdom and Italy using a combination of satellite transmission and broadband connections. X1 and Sky Q are cloud-based platforms that provide integrated search functionality leveraging set-top boxes and voice-activated remote controls. The integrated features operate across content in customers’ video service packages and content from internet-based streaming services that customers may access in a manner similar to our Xumo Stream Box. We offer a range of video packages from basic linear service to full linear service, which typically include free-to-air networks and a range of other linear television networks including premium, sports and news networks. Our international video packages also include Sky-branded entertainment television networks that offer entertainment, premium movie and free-to-air programming, as well as Sky Sports networks that are part of our Media segment. Customers may also subscribe to digital video recorder (“DVR”) services or access our video on demand services with programming that is available for no additional cost or to rent or buy digitally. These viewing options are also available through our mobile apps and online portals.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DTC streaming services marketed under the NOW brand, with an offering in the United States that launched in 2023. NOW services provide video content over the internet and do not require a set-top box. Our international NOW service offerings include packages for monthly access to entertainment, sports and movie programming, as well as daily pass options for sports programming. Our domestic NOW TV service is only offered to qualifying residential broadband customers and includes monthly access to a variety of linear television networks; entertainment and movie programming; integrated access to free streaming channels from Xumo Play, NBC and Sky; and access to the ad-supported tier of Peacock.</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video services in the United Kingdom and Italy over a broadband connection without the need for a satellite dish. These services have an operating system similar to Sky Q and are offered to customers through Sky Stream, which leverages a streaming device and Wi-Fi, or to customers that purchase our Sky Glass smart televisions.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distribution agreements with domestic cable networks, we generally receive an allocation of scheduled advertising time that our advertising business sells, and we also sell advertising on our Sky-branded entertainment television networks and on our digital platforms. We also enter into representation agreements under which we sell advertising on behalf of third parties both domestically and internationally. Additionally, we offer technology, tools, data-driven services and marketplace solutions to customers in the media industry to facilitate effective engagement of advertisers with their target audiences.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residential wireline voice services primarily using interconnected Voice over Internet Protocol (“VoIP”) technology, and we offer residential security and automation services. We also license our technology platforms to other multichannel video providers and distribute certain of our Sky-branded entertainment television networks to third-party video service providers.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 Segment</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Services Connectivity segment consists of our domestic service offerings for small businesses, which include broadband, wireline voice and wireless services, as well as our enterprise solutions offerings for medium-sized customers and larger enterprises. Certain business customers subscribe to our video services, and the associated revenue is included in our Residential Connectivity &amp; Platforms segment. We also have certain business connectivity service offerings in the United Kingdom.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domestic broadband offerings have a range of service levels, including fiber-based services that deliver symmetrical speeds ranging up to 100 gigabits per second.</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small business broadband, wireline voice and wireless service offerings are similar to those provided to our residential customers and also include cloud-based cybersecurity services, wireless backup connectivity, advanced Wi-Fi solutions, video monitoring services and other cloud-based services.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enterprise solutions offerings also include ethernet network services, which connect multiple locations and provide higher downstream and upstream speed options, advanced voice services, and a software-defined networking product. Larger enterprises may also receive support services related to Wi-Fi networks, router management, network security, business continuity risks and other services. These services are primarily provided to Fortune 1000 companies and other large enterprises with multiple locations both within and outside of our distribution footprint, where we provide coverage outside of our service areas through agreements with other companies to use their networks.</w:t>
      </w:r>
    </w:p>
    <w:p>
      <w:pPr>
        <w:spacing w:after="0" w:line="200" w:lineRule="exact"/>
        <w:rPr>
          <w:sz w:val="20"/>
          <w:szCs w:val="20"/>
          <w:color w:val="auto"/>
        </w:rPr>
      </w:pPr>
    </w:p>
    <w:p>
      <w:pPr>
        <w:spacing w:after="0" w:line="288"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and Technology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segments within our Connectivity &amp; Platforms business use our HFC network in the United States, which we believe is sufficiently flexible and scalable to support our future technology requirements and enables us to continue to grow capacity and capabilities over time. This network provides the two-way transmissions required to provide connectivity services and interactive video and entertainment services through our platforms, and consists primarily of headends, fiber-optic and coaxial cables owned or leased by us, and equipment such as lasers, routers, switches and content distribution servers. Across nearly our entire domestic footprint, we leverage DOCSIS 3.1 to offer up to gigabit-plus downstream broadband speeds to residential and business customers. We also deploy fiber-to-the-premises with symmetrical speed offerings ranging up to 10 gigabits per second to residential customers who request that service, subject to local construction constraints, and up to 100 gigabits per second to business customers. We offer domestic wireless services using an MVNO agreement that allows us to offer services using Verizon’s wireless network along with our existing network of Wi-Fi hotspots across our network.</w:t>
      </w:r>
    </w:p>
    <w:p>
      <w:pPr>
        <w:spacing w:after="0" w:line="6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continue to evolve and enhance our domestic network capabilities. In connection with a multiyear network transformation plan, in 2022 we began rolling out downstream speeds of up to 2 gigabits per second to our residential customers, which are now available to approximately 50% of our HFC network footprint. In 2023, we began deploying in select markets DOCSIS 4.0, which enables us to deliver multigigabit symmetrical broadband speeds over our existing HFC network. Additionally, as part of our network evolution, our engineering teams have been virtualizing and automating many core network functions using various technologies to expand capacity, increase operating efficiency, and identify and fix network issues proactively before they affect our customers. Our investment in virtualizing the network helps maintain network reliability and operational efficiency regardless of whether we connect a residence using either fiber or our HFC network. We continue to extend our network’s reach to new homes and businesses within our existing service areas, as well as edging-out to new service areas to expand the number of homes and businesses passed, and a significant portion of new homes and businesses passed are connected with fiber. We also partner with local, state and federal agencies when possible to provide services to unserved and underserved communities leveraging governmental subsidies where available.</w:t>
      </w:r>
    </w:p>
    <w:p>
      <w:pPr>
        <w:spacing w:after="0" w:line="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components of our domestic network require periodic maintenance and replacement and are primarily located on owned and leased properties, and in locations under agreements with local public utilities and municipalities. We operate national and regional data centers with equipment that is used to provide our services, and we maintain network operations centers with equipment necessary to monitor and manage the status of our services and network.</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international services are offered leveraging third-party networks, as well as our own core fiber network for broadband and wireline voice services in the United Kingdom. The related operating plant and equipment used to provide our video and connectivity services include leased satellite system signal receiving, encoding and decoding devices, and owned and leased headends and distribution networks, including coaxial, fiber-optic cables and other related equipment. For a majority of international customers, our video platform is delivered via one-way digital satellite transmission that uses satellites leased from third parties for the distribution of television networks, augmented by a set-top box and two-way broadband connectivity. We offer broadband and wireline voice services in the United Kingdom and Italy using third-party networks. In many cases, the fee for us to access these networks is on regulated terms. The ranges of service levels and speeds we offer are dependent upon the capabilities and reach of these third-party networks. We offer wireless services in the United Kingdom using a combination of a third-party’s network and our own mobile core network.</w:t>
      </w:r>
    </w:p>
    <w:p>
      <w:pPr>
        <w:spacing w:after="0" w:line="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Connectivity &amp; Platforms business engineering teams continue to focus on technology initiatives to develop and deploy next-generation media, content delivery, content aggregation and streaming platforms that support X1, Sky Q, NOW, Sky Stream, Sky Glass, Xumo and our cloud DVR technology. These platforms are based on our global technology platform and integrate linear television networks, owned and third-party DTC streaming services and other internet-based apps, and on demand programming into a unified experience with voice-activated remote control search and interactive features. We also continue to focus on leveraging our own cloud network services to deliver video and advanced search capabilities. Our Connectivity &amp; Platforms business also pursues technology initiatives related to broadband and wireless services that leverage our global technology platform. We provide our customers with in-and-out-of-home Wi-Fi, the ability to manage their Wi-Fi network and connected home with our mobile apps and online portal, advanced security technology, and other features.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offer video services, Residential Connectivity &amp; Platforms licenses substantial amounts of linear television programming from third parties and from our Media segment. The fees associated with these distribution agreements are generally based on the number of subscribers receiving the television network programming and a per subscriber fee, although programming expenses for certain television networks are based on a fixed fee. Additionally, certain of our agreements include the rights to offer such programming through multiple delivery platforms, such as through our on demand services, online portal, mobile apps, the Xumo Stream Box, and our NOW and NOW TV streaming services.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60" w:type="dxa"/>
            <w:vAlign w:val="bottom"/>
          </w:tcPr>
          <w:p>
            <w:pPr>
              <w:jc w:val="right"/>
              <w:ind w:right="5528"/>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341"/>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programming on our Sky-branded entertainment television networks includes content licensed from third parties and from our Studios segment, including certain original content. Our most significant agreements for the licensing of film and television entertainment content include exclusive rights with Paramount, Warner Bros. and our Studios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Supply and Operations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from a limited number of suppliers a significant amount of customer premise equipment, including wireless gateways and set-top boxes, network equipment, and services to provide our broadband and video services to residential and business customers. We also purchase from a limited number of suppliers a significant number of wireless devices. We use a limited number of vendors to provide customer billing for our residential and business customers.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technical services groups perform various tasks, including installations, plant maintenance and upgrades to our domestic network, and servicing and upgrades of customer premise equipment. The service vehicles used by our technical services groups are primarily owned. Our customer service teams provide primarily 24/7 call-answering capability and other services, and also offer our services to residential and business customers.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EBF"/>
        </w:rPr>
        <w:t>Residential Connectivity &amp; Platforms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Broadband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compete with a number of companies, many with significant financial resources, that offer internet services, including:</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wireline telecommunications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telecommunications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 broadband networks and power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broadband providers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wireline telecommunications companies, such as AT&amp;T, Frontier, Lumen and Verizon in the United States and BT and Virgin Media O2 in the United Kingdom, have built and are continuing to build fiber-based wireline network infrastructure further into their networks, which enables them to provide data transmission speeds that exceed those that can be provided with traditional copper digital subscriber line (“DSL”) technology, and are offering services with these higher speeds in many of our service areas. Certain companies that offer DSL service have increased data transmission speeds, lowered prices or created bundled services to compete with our broadband services.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Various wireless companies are offering internet services using a variety of technologies, including 5G fixed wireless networks and 4G and 5G wireless broadband services. These networks work with devices such as smartphones, laptops, tablets, and mobile and fixed wireless routers, as well as wireless data cards.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companies and municipalities have launched fiber-based or newer satellite-based broadband technologies that provide services in certain areas in which we operate.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Domestic broadband-deployment funding initiatives at the federal and state levels may result in other service providers deploying subsidized internet access within our footprint. The availability of these and other offerings could negatively impact the demand for our domestic broadband services.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Wireless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compete with national and regional wireless service providers in the United States, including AT&amp;T, T-Mobile and Verizon, and wireless service providers in the United Kingdom that offer wireless service on both a stand-alone basis and with other services as bundled offerings.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Video</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compete with a number of companies offering video services in the Connectivity &amp; Platforms markets, including:</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streaming service providers and aggregators, including:</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subscription-based services, such as Disney+ and Netflix, that offer online services that enable internet streaming and downloading of movies, television shows and other video programming</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multichannel video providers, such as Hulu + Live TV and YouTube TV, that offer streamed linear television networks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ad-supported television services</w:t>
      </w:r>
    </w:p>
    <w:p>
      <w:pPr>
        <w:spacing w:after="0" w:line="200" w:lineRule="exact"/>
        <w:rPr>
          <w:sz w:val="20"/>
          <w:szCs w:val="20"/>
          <w:color w:val="auto"/>
        </w:rPr>
      </w:pPr>
    </w:p>
    <w:p>
      <w:pPr>
        <w:spacing w:after="0" w:line="329"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offer streaming devices that access and integrate streaming content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broadcast satellite (“DBS”) providers that transmit satellite signals to substantially all households in the Connectivity &amp; Platforms markets to provide video programming and other information similar to our video services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built and continue to build fiber-based networks that provide video services similar to ours and provide bundled offerings that include wireless and/or broadband services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that build and operate communications systems and services in the same areas that we serve, including traditional providers of linear television programming</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 array of other online content providers, such as social networking platforms and user-generated content providers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such as broadcast television stations, that provide multiple free-to-air networks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to the competitive environment in our Media segment, our Sky-branded entertainment television networks compete for the distribution of our television network programming to third-party video service providers and for viewers’ attention and audience share.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compete for the sale of advertising with digital properties, including an increasing number of ad-supported DTC streaming service providers and other online content providers, such as social networking platforms and user-generated content providers, as well as with television networks and stations, and all other advertising platforms. Similar to the competitive environment in our Media segment, the willingness of advertisers to purchase advertising from us may be adversely affected by declines in audience ratings and television viewership, difficulty in measuring fragmented audiences and the increasing number of entertainment choices available. Our advertising is sold to local, regional and national advertisers, and competition is affected by the market conditions in the specific geographic locations in which we operate. We also compete with companies offering technology, tools and other services to customers in the media industry.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 Connectivity</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Services Connectivity primarily competes with wireline telecommunications companies and wide area network managed service providers. Competition for our connectivity services for small business customers is generally similar to the Residential Connectivity &amp; Platforms segment. We compete for the sale of enterprise solutions offerings primarily with wide area network managed service providers, cloud-based application service providers and other telecommunication carriers.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in our Residential Connectivity &amp; Platforms segment are impacted by the seasonal nature of residential customers receiving our services, including in college and vacation markets in the United States, and by the timing of the European football seasons in our international markets, which generally result in negative impacts to net customer relationship additions/(losses) in the second quarter of each year.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to seasonal and cyclical variations in our Media segment, advertising revenue is subject to cyclical patterns and changes in viewership levels, driven by timing of the winter holiday season, political campaigns, sports seasons and when programming is aired.</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Content &amp; Experiences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which primarily includes:</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national and regional cable networks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 and Telemundo broadcast networks and owned local broadcast television stations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Peacock DTC streaming service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television networks, including Sky Sports networks in the United Kingdom and Italy</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distribute a wide variety of programming on our linear television networks and streaming services to appeal to consumers with varying preferences across demographics and geographic areas.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60" w:type="dxa"/>
            <w:vAlign w:val="bottom"/>
          </w:tcPr>
          <w:p>
            <w:pPr>
              <w:jc w:val="right"/>
              <w:ind w:right="5528"/>
              <w:spacing w:after="0"/>
              <w:rPr>
                <w:sz w:val="20"/>
                <w:szCs w:val="20"/>
                <w:color w:val="auto"/>
              </w:rPr>
            </w:pPr>
            <w:r>
              <w:rPr>
                <w:rFonts w:ascii="Times New Roman" w:cs="Times New Roman" w:eastAsia="Times New Roman" w:hAnsi="Times New Roman"/>
                <w:sz w:val="14"/>
                <w:szCs w:val="14"/>
                <w:b w:val="1"/>
                <w:bCs w:val="1"/>
                <w:color w:val="auto"/>
              </w:rPr>
              <w:t>6</w:t>
            </w:r>
          </w:p>
        </w:tc>
      </w:tr>
      <w:tr>
        <w:trPr>
          <w:trHeight w:val="341"/>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primarily generated from the sale of advertising and from the distribution of our television and streaming programming.</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advertising on our linear television networks, Peacock and other digital properties. Our advertising sales are affected by the prices we charge for each advertising unit, which are generally based on the size and demographics of our viewing audiences, audience ratings on our television networks, the number of advertising units we can place in our programming and on our digital properties, and our ability to sell advertising across our television and streaming business.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fees from the distribution of our television networks to traditional multichannel video providers, such as our Residential Connectivity &amp; Platforms segment, and virtual multichannel video providers that offer streamed linear television networks. Our distribution agreements are generally multiyear, with revenue based on the number of subscribers receiving the programming on our television networks and a per subscriber fee, although revenue for certain of our television networks is based on a fixed fee. These fees include amounts for our owned television networks, including under NBC and Telemundo retransmission consent agreements, as well as associated fees from NBC-affiliated and Telemundo-affiliated local broadcast television stations. We also receive monthly retail or wholesale subscription fees for Peacock.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generate revenue from the licensing of our owned content and technology and from various digital properties.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006EBF"/>
        </w:rPr>
        <w:t>Domestic Cable Networks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a diversified portfolio of cable networks operating predominantly in the United States. The table below presents a summary of NBCUniversal’s national cable networks and their advertising reach to U.S. households.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8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Approximate U.S.</w:t>
            </w:r>
          </w:p>
        </w:tc>
        <w:tc>
          <w:tcPr>
            <w:tcW w:w="7040" w:type="dxa"/>
            <w:vAlign w:val="bottom"/>
          </w:tcPr>
          <w:p>
            <w:pPr>
              <w:spacing w:after="0"/>
              <w:rPr>
                <w:sz w:val="16"/>
                <w:szCs w:val="16"/>
                <w:color w:val="auto"/>
              </w:rPr>
            </w:pPr>
          </w:p>
        </w:tc>
      </w:tr>
      <w:tr>
        <w:trPr>
          <w:trHeight w:val="203"/>
        </w:trPr>
        <w:tc>
          <w:tcPr>
            <w:tcW w:w="20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Households as of</w:t>
            </w:r>
          </w:p>
        </w:tc>
        <w:tc>
          <w:tcPr>
            <w:tcW w:w="7040" w:type="dxa"/>
            <w:vAlign w:val="bottom"/>
          </w:tcPr>
          <w:p>
            <w:pPr>
              <w:spacing w:after="0"/>
              <w:rPr>
                <w:sz w:val="17"/>
                <w:szCs w:val="17"/>
                <w:color w:val="auto"/>
              </w:rPr>
            </w:pPr>
          </w:p>
        </w:tc>
      </w:tr>
      <w:tr>
        <w:trPr>
          <w:trHeight w:val="164"/>
        </w:trPr>
        <w:tc>
          <w:tcPr>
            <w:tcW w:w="208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7040" w:type="dxa"/>
            <w:vAlign w:val="bottom"/>
          </w:tcPr>
          <w:p>
            <w:pPr>
              <w:spacing w:after="0"/>
              <w:rPr>
                <w:sz w:val="14"/>
                <w:szCs w:val="14"/>
                <w:color w:val="auto"/>
              </w:rPr>
            </w:pPr>
          </w:p>
        </w:tc>
      </w:tr>
      <w:tr>
        <w:trPr>
          <w:trHeight w:val="251"/>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Cable Network</w:t>
            </w:r>
          </w:p>
        </w:tc>
        <w:tc>
          <w:tcPr>
            <w:tcW w:w="9160" w:type="dxa"/>
            <w:vAlign w:val="bottom"/>
            <w:tcBorders>
              <w:bottom w:val="single" w:sz="8" w:color="auto"/>
            </w:tcBorders>
            <w:gridSpan w:val="2"/>
          </w:tcPr>
          <w:p>
            <w:pPr>
              <w:ind w:left="1260"/>
              <w:spacing w:after="0" w:line="251" w:lineRule="exact"/>
              <w:rPr>
                <w:sz w:val="20"/>
                <w:szCs w:val="20"/>
                <w:color w:val="auto"/>
              </w:rPr>
            </w:pPr>
            <w:r>
              <w:rPr>
                <w:rFonts w:ascii="Times New Roman" w:cs="Times New Roman" w:eastAsia="Times New Roman" w:hAnsi="Times New Roman"/>
                <w:sz w:val="14"/>
                <w:szCs w:val="14"/>
                <w:color w:val="auto"/>
              </w:rPr>
              <w:t>(in millions)</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4"/>
                <w:szCs w:val="14"/>
                <w:color w:val="auto"/>
              </w:rPr>
              <w:t xml:space="preserve"> Description of Programming</w:t>
            </w: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 Network</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entertainment and sports</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and pop culture</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Syfy</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Genre-based entertainment</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MSNBC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News, political commentary and information</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Bravo</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Lifestyle entertainment</w:t>
            </w: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CNBC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and financial news</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Oxygen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True crime</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Golf Channel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Golf competition and golf entertainment</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Universal Kids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Children’s entertainment</w:t>
            </w: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Universo</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Spanish-language entertainment</w:t>
            </w:r>
          </w:p>
        </w:tc>
      </w:tr>
      <w:tr>
        <w:trPr>
          <w:trHeight w:val="23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CNBC World</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financial news</w:t>
            </w:r>
          </w:p>
        </w:tc>
      </w:tr>
    </w:tbl>
    <w:p>
      <w:pPr>
        <w:spacing w:after="0" w:line="126" w:lineRule="exact"/>
        <w:rPr>
          <w:sz w:val="20"/>
          <w:szCs w:val="20"/>
          <w:color w:val="auto"/>
        </w:rPr>
      </w:pPr>
    </w:p>
    <w:p>
      <w:pPr>
        <w:jc w:val="both"/>
        <w:ind w:left="260" w:hanging="252"/>
        <w:spacing w:after="0" w:line="281" w:lineRule="auto"/>
        <w:tabs>
          <w:tab w:leader="none" w:pos="25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Household data is based on information from The Nielsen Company as of December 31, 2024 using its Cable Coverage Universe Estimates report and dynamic ad insertion estimates. The Nielsen estimates include subscribers to both traditional and certain virtual multichannel video providers. The Nielsen estimates are not based on information provided by us and are included solely to enable comparisons between our cable networks and those operated by our peers.</w:t>
      </w:r>
    </w:p>
    <w:p>
      <w:pPr>
        <w:spacing w:after="0" w:line="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regional sports networks serve approximately 11 million households across the United States, including in markets such as Boston, Philadelphia, Sacramento and San Francisco.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Domestic Broadcast Networks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NBC</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NBC network features original entertainment, news and sports programming that reaches viewers in virtually all U.S. television households through more than 200 affiliated stations across the United States, including our 11 owned NBC local broadcast television stations. The NBC owned local broadcast television stations include stations in 8 of the top 10 general markets and collectively reached approximately 35 million U.S. television households as of December 31, 2024, representing approximately 28% of U.S. television households. In addition to broadcasting the NBC network’s national programming, local broadcast television stations deliver local news, weather, and investigative and consumer reporting.</w:t>
      </w:r>
    </w:p>
    <w:p>
      <w:pPr>
        <w:spacing w:after="0" w:line="200" w:lineRule="exact"/>
        <w:rPr>
          <w:sz w:val="20"/>
          <w:szCs w:val="20"/>
          <w:color w:val="auto"/>
        </w:rPr>
      </w:pPr>
    </w:p>
    <w:p>
      <w:pPr>
        <w:spacing w:after="0" w:line="301"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Telemundo</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Telemundo network, a Spanish-language broadcast network, features original entertainment, news, live specials and sports programming that reaches viewers in over 96% of all U.S. Hispanic television households through 122 affiliated stations, including our 30 owned Telemundo local broadcast television stations, and our national feed. The Telemundo owned local broadcast television stations include stations in all of the top 20 U.S. Hispanic markets and collectively reached approximately 71% of U.S. Hispanic television households as of December 31, 2024. In addition to broadcasting the Telemundo network’s national programming, local broadcast television stations deliver local news, weather, and investigative and consumer reporting. We also own an independent Telemundo station serving the Puerto Rico television market.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006EBF"/>
        </w:rPr>
        <w:t>Peacock</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Peacock is our DTC streaming service, featuring NBCUniversal and third-party content. Programming choices include exclusive Peacock originals, current NBC, Bravo and Telemundo shows, news, late-night comedy, live sports and a library of television shows and movies, as well as several live channels. The service is available on internet-connected devices and offered through two subscription-based tiers: an ad-supported tier and a tier featuring the same content ad-free, with certain limited exceptions. The ad-free tier also allows customers to download and watch select programming offline and provides customers with a live stream of their local NBC affiliate stations. We offer Peacock in the United States directly to customers or through arrangements with third parties and our Residential Connectivity &amp; Platforms segment, which offer Peacock to customers on our behalf.</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006EBF"/>
        </w:rPr>
        <w:t>International Networks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 diversified portfolio of international television networks, including premium sports networks under the Sky Sports brand in the United Kingdom and Italy, with a majority of networks dedicated to a specific sport, such as European football. We also operate several NBCUniversal international television networks globally, including CNBC International, Studio Universal, Telemundo International and Universal TV.</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Programming</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television networks and Peacock include content licensed from our Studios segment and from third parties, as well as content produced by Media segment businesses, such as live news and sports programming and certain original content, including late-night comedy for NBC and original telenovelas for Telemundo.</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various multiyear agreements for the licensing of content, including contracts related to television and/or streaming rights for sporting events. We generally seek to include in our sports rights agreements the rights to distribute content on one or more of our television networks and on digital properties, including Peacock.</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most significant sports rights agreements relate to the NBA, NFL, Olympics and English Premier League. The table below presents a summary of these and certain other sports rights: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and/or Streaming Rights</w:t>
            </w:r>
          </w:p>
        </w:tc>
        <w:tc>
          <w:tcPr>
            <w:tcW w:w="3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3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Rights Expiration</w:t>
            </w:r>
          </w:p>
        </w:tc>
        <w:tc>
          <w:tcPr>
            <w:tcW w:w="0" w:type="dxa"/>
            <w:vAlign w:val="bottom"/>
          </w:tcPr>
          <w:p>
            <w:pPr>
              <w:spacing w:after="0"/>
              <w:rPr>
                <w:sz w:val="1"/>
                <w:szCs w:val="1"/>
                <w:color w:val="auto"/>
              </w:rPr>
            </w:pPr>
          </w:p>
        </w:tc>
      </w:tr>
      <w:tr>
        <w:trPr>
          <w:trHeight w:val="26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NBA and WNBA</w:t>
            </w:r>
            <w:r>
              <w:rPr>
                <w:rFonts w:ascii="Times New Roman" w:cs="Times New Roman" w:eastAsia="Times New Roman" w:hAnsi="Times New Roman"/>
                <w:sz w:val="23"/>
                <w:szCs w:val="23"/>
                <w:color w:val="auto"/>
                <w:vertAlign w:val="superscript"/>
              </w:rPr>
              <w:t>(a)</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United Kingdom and Italy</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2035-36 NBA season and 2036</w:t>
            </w: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34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7"/>
                <w:szCs w:val="17"/>
                <w:color w:val="auto"/>
              </w:rPr>
              <w:t>WNBA season</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NFL</w:t>
            </w:r>
            <w:r>
              <w:rPr>
                <w:rFonts w:ascii="Times New Roman" w:cs="Times New Roman" w:eastAsia="Times New Roman" w:hAnsi="Times New Roman"/>
                <w:sz w:val="10"/>
                <w:szCs w:val="10"/>
                <w:color w:val="auto"/>
              </w:rPr>
              <w:t>(b)</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2033-34 season</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Summer and Winter Olympic Games</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17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English Premier League</w:t>
            </w:r>
          </w:p>
        </w:tc>
        <w:tc>
          <w:tcPr>
            <w:tcW w:w="3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United Kingdom, Italy and United States</w:t>
            </w:r>
          </w:p>
        </w:tc>
        <w:tc>
          <w:tcPr>
            <w:tcW w:w="334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2028-29, 2027-28 and 2027-28</w:t>
            </w:r>
          </w:p>
        </w:tc>
        <w:tc>
          <w:tcPr>
            <w:tcW w:w="0" w:type="dxa"/>
            <w:vAlign w:val="bottom"/>
          </w:tcPr>
          <w:p>
            <w:pPr>
              <w:spacing w:after="0"/>
              <w:rPr>
                <w:sz w:val="1"/>
                <w:szCs w:val="1"/>
                <w:color w:val="auto"/>
              </w:rPr>
            </w:pPr>
          </w:p>
        </w:tc>
      </w:tr>
      <w:tr>
        <w:trPr>
          <w:trHeight w:val="149"/>
        </w:trPr>
        <w:tc>
          <w:tcPr>
            <w:tcW w:w="4240" w:type="dxa"/>
            <w:vAlign w:val="bottom"/>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33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seasons, respectively</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PGA Tour and other golf events</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Between 2026 and 2031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NASCAR</w:t>
            </w:r>
            <w:r>
              <w:rPr>
                <w:rFonts w:ascii="Times New Roman" w:cs="Times New Roman" w:eastAsia="Times New Roman" w:hAnsi="Times New Roman"/>
                <w:sz w:val="23"/>
                <w:szCs w:val="23"/>
                <w:color w:val="auto"/>
                <w:vertAlign w:val="superscript"/>
              </w:rPr>
              <w:t>(c)</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Big Ten football and basketball</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2029-30 season</w:t>
            </w:r>
          </w:p>
        </w:tc>
        <w:tc>
          <w:tcPr>
            <w:tcW w:w="0" w:type="dxa"/>
            <w:vAlign w:val="bottom"/>
          </w:tcPr>
          <w:p>
            <w:pPr>
              <w:spacing w:after="0"/>
              <w:rPr>
                <w:sz w:val="1"/>
                <w:szCs w:val="1"/>
                <w:color w:val="auto"/>
              </w:rPr>
            </w:pPr>
          </w:p>
        </w:tc>
      </w:tr>
      <w:tr>
        <w:trPr>
          <w:trHeight w:val="17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World Wrestling Entertainment (“WWE”)</w:t>
            </w:r>
          </w:p>
        </w:tc>
        <w:tc>
          <w:tcPr>
            <w:tcW w:w="3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2029 on television and 2026 on</w:t>
            </w:r>
          </w:p>
        </w:tc>
        <w:tc>
          <w:tcPr>
            <w:tcW w:w="0" w:type="dxa"/>
            <w:vAlign w:val="bottom"/>
          </w:tcPr>
          <w:p>
            <w:pPr>
              <w:spacing w:after="0"/>
              <w:rPr>
                <w:sz w:val="1"/>
                <w:szCs w:val="1"/>
                <w:color w:val="auto"/>
              </w:rPr>
            </w:pPr>
          </w:p>
        </w:tc>
      </w:tr>
      <w:tr>
        <w:trPr>
          <w:trHeight w:val="149"/>
        </w:trPr>
        <w:tc>
          <w:tcPr>
            <w:tcW w:w="4240" w:type="dxa"/>
            <w:vAlign w:val="bottom"/>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33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Peacock</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 One</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Kingdom and Italy</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2029 and 2027, respectively</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 Cricket Board</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English Football League</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2028-29 season</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 A</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2028-29 season</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FIFA World Cup (Spanish-language)</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professional sports teams through our Regional</w:t>
            </w:r>
          </w:p>
        </w:tc>
        <w:tc>
          <w:tcPr>
            <w:tcW w:w="3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Certain regions in the United States</w:t>
            </w:r>
          </w:p>
        </w:tc>
        <w:tc>
          <w:tcPr>
            <w:tcW w:w="33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Between 2027 and 2040</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Sports Networks</w:t>
            </w:r>
          </w:p>
        </w:tc>
        <w:tc>
          <w:tcPr>
            <w:tcW w:w="3660" w:type="dxa"/>
            <w:vAlign w:val="bottom"/>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240" w:type="dxa"/>
            <w:vAlign w:val="bottom"/>
            <w:tcBorders>
              <w:bottom w:val="single" w:sz="8" w:color="auto"/>
            </w:tcBorders>
            <w:vMerge w:val="continue"/>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4"/>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366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2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260" w:hanging="252"/>
        <w:spacing w:after="0" w:line="281" w:lineRule="auto"/>
        <w:tabs>
          <w:tab w:leader="none" w:pos="21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with the 2025-26 NBA season and 2026 WNBA season, includes the rights to produce and distribute across our networks and on Peacock a specified number of NBA and WNBA regular season and playoff games, the NBA All-Star game and NBA All-Star Saturday Night each season, as well as six NBA Conference Finals series and three WNBA Finals series over the term of the agreements. A certain number of NBA games will also be distributed in the Spanish language on Telemundo.</w:t>
      </w:r>
    </w:p>
    <w:p>
      <w:pPr>
        <w:spacing w:after="0" w:line="55" w:lineRule="exact"/>
        <w:rPr>
          <w:rFonts w:ascii="Times New Roman" w:cs="Times New Roman" w:eastAsia="Times New Roman" w:hAnsi="Times New Roman"/>
          <w:sz w:val="14"/>
          <w:szCs w:val="14"/>
          <w:color w:val="auto"/>
        </w:rPr>
      </w:pPr>
    </w:p>
    <w:p>
      <w:pPr>
        <w:jc w:val="both"/>
        <w:ind w:left="260" w:hanging="252"/>
        <w:spacing w:after="0" w:line="275" w:lineRule="auto"/>
        <w:tabs>
          <w:tab w:leader="none" w:pos="22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rights to produce and distribute on NBC and on Peacock a specified number of regular season games that includes Sunday Night Football games, Thursday Kickoff games and Thanksgiving night games, playoff games, and three remaining Super Bowl games, the next of which is in February 2026. The agreement expires after the 2033-34 season, with a termination right available to the NFL after the 2029-30 season. The agreement also includes rights to additional exclusive games on Peacock. All of the NFL games are also distributed in the Spanish language on Universo or Telemundo.</w:t>
      </w:r>
    </w:p>
    <w:p>
      <w:pPr>
        <w:spacing w:after="0" w:line="72"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unilateral right by the other party (i.e., the licensor) to the agreement, under certain circumstances, to shorten the term of the agreement by one year.</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television and streaming business competes for the acquisition of content, including sports rights, and for on-air and creative talent primarily with other television networks, DTC streaming providers, and local broadcast television stations. In Europe, major sports rights, which are significant to our international networks, are usually tendered through a competitive auction process, with the winning bidder or bidders acquiring rights over a 3 to 5 year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Studios segment primarily includes our NBCUniversal and Sky film and television studio production and distribution operations. Our studio production facilities primarily include our owned Universal City location in Los Angeles, California and our leased studios in Atlanta, Georgia and in Elstree, United Kingdom. Revenue is generated primarily from the worldwide licensing of our owned film and television content and from the worldwide distribution of our produced and acquired films for exhibition in movie theaters. We also generate revenue from the sale of physical and digital home entertainment products, as well as the production and licensing of live stage plays and the distribution of content produced by third parties.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Film Studios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film studios develop, produce, acquire, market and distribute filmed entertainment worldwide. Our films are produced primarily under the following names:</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Pictures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Illumination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DreamWorks Animation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Features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Title</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distribute the majority of our films initially for exhibition in movie theaters, while other films are initially distributed through licensing agreements. After their initial release, we distribute films globally to different customers over multiple licensing windows. We license films, including recent films and selections from our film library, which is comprised of more than 6,500 movies in a variety of genres, to linear television networks and DTC streaming service providers, and to video on demand services provided by multichannel video providers. This includes licenses to our Media and Residential Connectivity &amp; Platforms segments. Certain films are also licensed to our Media segment and made available for viewing on Peacock on the same date as the theatrical release. We also distribute films globally through the sale of physical and digital home entertainment products. Additionally, we acquire distribution rights to films produced by third parties, which may be limited to particular geographic regions, specific forms of media or certain periods of time. Theatrical revenue is significantly affected by the timing of each release and the number of films we distribute, their acceptance by audiences, the number of exhibition screens, ticket prices, the percentage of ticket sales retention by the exhibitors and the popularity of competing films at the time our films are released. The success of a film in movie theaters is generally a significant factor in determining the revenue a film is likely to generate in succeeding licensing windows and through physical and digital home entertainment product sales.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develop and produce films both alone and jointly with other studios or production companies. In certain cases, we have also entered into film co-financing arrangements with third party studios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film studio productions, we typically owe “residuals” payments to individuals hired under collective bargaining agreements, which are generally calculated based on post-theatrical or content licensing revenue. We also typically owe “participations” payments to creative talent, to third parties under co-financing agreements and to other parties involved in content production, which are generally based on the financial performance of the content.</w:t>
      </w:r>
    </w:p>
    <w:p>
      <w:pPr>
        <w:spacing w:after="0" w:line="200" w:lineRule="exact"/>
        <w:rPr>
          <w:sz w:val="20"/>
          <w:szCs w:val="20"/>
          <w:color w:val="auto"/>
        </w:rPr>
      </w:pPr>
    </w:p>
    <w:p>
      <w:pPr>
        <w:spacing w:after="0" w:line="297"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Television Studios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television studios develop, produce and distribute original content, including scripted and unscripted television series. We also produce television content jointly as co-producers with third-party studios and production companies. Our television studios produce content primarily under the following names:</w:t>
      </w:r>
    </w:p>
    <w:p>
      <w:pPr>
        <w:spacing w:after="0" w:line="6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Television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Content Productions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Television Alternative Studio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International Studios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 Studios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original content is primarily initially licensed to linear television networks and DTC streaming service providers, including those in our Media and Residential Connectivity &amp; Platforms segments. We also license content after its initial airing, license older television content from our television library, and distribute owned and acquired content globally through the sale of physical and digital home entertainment products. The production and distribution costs related to original broadcast television content generally exceed the revenue generated from the initial license, which means that obtaining additional licenses following the initial network license is critical to the content’s financial success. Similar to our film studios, we typically owe residuals and participations payments in connection with television studio productions.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Theme Parks segment primarily includes the operations of the following Universal theme parks:</w:t>
      </w:r>
    </w:p>
    <w:p>
      <w:pPr>
        <w:spacing w:after="0" w:line="115" w:lineRule="exact"/>
        <w:rPr>
          <w:sz w:val="20"/>
          <w:szCs w:val="20"/>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Universal Orlando Resort</w:t>
      </w:r>
      <w:r>
        <w:rPr>
          <w:rFonts w:ascii="Times New Roman" w:cs="Times New Roman" w:eastAsia="Times New Roman" w:hAnsi="Times New Roman"/>
          <w:sz w:val="18"/>
          <w:szCs w:val="18"/>
          <w:color w:val="auto"/>
        </w:rPr>
        <w:t>: Includes two theme parks, Universal Studios Florida and Islands of Adventure, and our water park, Volcano Bay,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located in Orlando, Florida. Universal Orlando Resort also includes Universal CityWalk Orlando, a dining, retail and entertainment complex, and features on-site themed hotels in which we own a noncontrolling interest, and will include an additional theme park, Epic Universe, that is expected to open in May 2025.</w:t>
      </w:r>
    </w:p>
    <w:p>
      <w:pPr>
        <w:spacing w:after="0" w:line="7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Universal Studios Hollywood</w:t>
      </w:r>
      <w:r>
        <w:rPr>
          <w:rFonts w:ascii="Times New Roman" w:cs="Times New Roman" w:eastAsia="Times New Roman" w:hAnsi="Times New Roman"/>
          <w:sz w:val="18"/>
          <w:szCs w:val="18"/>
          <w:color w:val="auto"/>
        </w:rPr>
        <w:t>: Includes the Universal Studios Hollywood theme park located in Hollywood, California and Universal CityWalk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Hollywood, a dining, retail and entertainment complex.</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Universal Studios Japan</w:t>
      </w:r>
      <w:r>
        <w:rPr>
          <w:rFonts w:ascii="Times New Roman" w:cs="Times New Roman" w:eastAsia="Times New Roman" w:hAnsi="Times New Roman"/>
          <w:sz w:val="18"/>
          <w:szCs w:val="18"/>
          <w:color w:val="auto"/>
        </w:rPr>
        <w:t>: Includes the Universal Studios Japan theme park located in Osaka, Japan.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Universal Beijing Resort</w:t>
      </w:r>
      <w:r>
        <w:rPr>
          <w:rFonts w:ascii="Times New Roman" w:cs="Times New Roman" w:eastAsia="Times New Roman" w:hAnsi="Times New Roman"/>
          <w:sz w:val="18"/>
          <w:szCs w:val="18"/>
          <w:color w:val="auto"/>
        </w:rPr>
        <w:t>: Includes the Universal Studios Beijing theme park, as well as Universal CityWalk Beijing, a dining, retail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complex, and on-site themed hotels, all of which are located in Beijing, China. Universal Beijing Resort is owned by us and a consortium of Chinese state-owned companies (see Note 7 to the consolidated financial statements included in this Annual Report on Form 10-K).</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Theme Parks segment properties are primarily owned by us, although certain properties are leased, including land in Beijing, China and Osaka, Japan. We have invested and will continue to invest significantly in existing and new theme park attractions, hotels and infrastructure, as well as in new destinations and experiences, such as Epic Universe; Universal Kids Resort, a smaller-scale theme park in Frisco, Texas expected to open in 2026; and Universal Horror Unleashed, a year-round horror entertainment experience in Las Vegas, Nevada expected to open in 2025.</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 is generated primarily from guest spending at our theme parks, including ticket sales and in-park spending on food, beverages and merchandise, and from our consumer products business. Revenue for our theme parks generally depends on the overall environment for travel and tourism, including consumer spending on leisure and other recreational activities.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license the right to use the Universal Studios brand name and other intellectual property and provide other services to third parties, including the party that owns and operates the Universal Studios Singapore theme park on Sentosa Island, Singapore. The themed elements in our rides, attractions, and merchandising are based on intellectual property in our Studios and Media segments and intellectual property licensed from third parties under long-term agreements.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EBF"/>
        </w:rPr>
        <w:t>Media</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Media segment competes for viewers’ attention and audience share with all forms of programming provided to viewers, including DTC streaming service providers; television networks; local broadcast television stations; physical and digital home entertainment products; video on demand and pay-per-view services; online activities, such as social networking and viewing user-generated content; gaming products; and other forms of entertainment, news and information.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2024 Annual Report on Form 10-K</w:t>
      </w:r>
      <w:r>
        <w:rPr>
          <w:sz w:val="20"/>
          <w:szCs w:val="20"/>
          <w:color w:val="auto"/>
        </w:rPr>
        <w:tab/>
      </w:r>
      <w:r>
        <w:rPr>
          <w:rFonts w:ascii="Times New Roman" w:cs="Times New Roman" w:eastAsia="Times New Roman" w:hAnsi="Times New Roman"/>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Media competes for the sale of advertising with digital properties, including an increasing number of ad-supported DTC streaming service providers and other online content, such as social networking platforms and user-generated content, as well as with other television networks and stations, and all other advertising platforms. The willingness of advertisers to purchase advertising from us may be adversely affected by lower audience ratings and viewership at the related networks, stations or digital properties. Declines in audience ratings can be caused by increased competition for the leisure time of viewers and by audience fragmentation resulting from the increasing number and forms of entertainment choices available. Additionally, it is increasingly challenging to accurately measure fragmented audiences.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domestic cable networks and international networks compete primarily with other cable networks and programming providers for carriage by multichannel video providers and DTC streaming service providers. Our domestic broadcast networks compete with the other broadcast networks in markets across the United States to secure affiliations with independently owned local broadcast television stations, which are necessary to ensure the effective distribution of broadcast network programming to a nationwide audience. Peacock competes for subscribers primarily with other DTC streaming service providers, as well as with traditional providers of linear television programming.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Studios</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film and television studios compete for audiences with other major film and television studios, independent film producers and creators of content, as well as with alternative forms of entertainment. The competitive position of our studios primarily depends on the number of films and television series and episodes produced, their distribution and marketing success, and consumer response. Our studios also compete to obtain creative, performing and technical talent, including writers, actors, directors, and producers, as well as scripts for films and television shows, and for the distribution of, and consumer interest in, their content. We also compete with other major film and television studios and other producers of entertainment content for the exhibition of content in theaters, on demand, on television networks, and on DTC streaming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006EBF"/>
        </w:rPr>
        <w:t>Theme Parks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theme parks compete with other multi-park entertainment companies as well as other providers of entertainment, tourism, recreational activities and lodging. The competitive position of our theme parks primarily depends on the quality and popularity of rides and attractions, including effective use of intellectual property in themed attractions. There is increased competition in areas with high concentrations of theme parks and other attractions operated by several companies. Macroeconomic conditions and other factors may also result in shifting consumer preferences toward other types of destinations, experiences and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and costs and expenses in our Media segment are cyclical as a result of our periodic broadcasts of major sporting events, such as the Olympic Games and the Super Bowl. In particular, advertising revenue increases due to increased demand for advertising time for these events and distribution revenue increases in the period of broadcasts of the Olympic Games. Costs and expenses also increase as a result of our production costs for these broadcasts and the recognition of the related rights fees.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 Media is also subject to cyclical advertising patterns and changes in viewership levels. Domestic advertising revenue is generally higher in the second and fourth quarters of each year and in even-numbered years due to increases in advertising in the spring and in the period leading up to and including the winter holiday season, and advertising related to candidates running for political office and issue-oriented advertising, respectively. International advertising revenue typically has seasonally higher audience levels in winter months, with lower levels in summer months due to the timing of European football seasons, winter holidays and summer vacations. Revenue also fluctuates depending on the timing of when our programming is aired, which typically results in additional advertising revenue in the second and fourth quarters of each year.</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 Studios fluctuates due to the timing, nature and number of films released in movie theaters, through DTC streaming services and viewing on demand, and on physical and digital home entertainment products. Release dates are determined by several factors, including competition and the timing of vacation and holiday periods. As a result, revenue tends to be seasonal, with increases experienced each year during the summer months and around the winter holiday season. We incur significant marketing expenses before and throughout the release of a film in movie theaters and as a result, we typically incur losses on a film prior to and during the film’s exhibition in movie theaters. Content licensing revenue also fluctuates due to the timing of when our film and television content is made available to licensees. Revenue from our television studios fluctuates in part due to a correlation with the broadcast network season beginning annually in September.</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 Theme Parks fluctuates with changes in theme park attendance that typically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winter holiday season.</w:t>
      </w:r>
    </w:p>
    <w:p>
      <w:pPr>
        <w:spacing w:after="0" w:line="200" w:lineRule="exact"/>
        <w:rPr>
          <w:sz w:val="20"/>
          <w:szCs w:val="20"/>
          <w:color w:val="auto"/>
        </w:rPr>
      </w:pPr>
    </w:p>
    <w:p>
      <w:pPr>
        <w:spacing w:after="0" w:line="280"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other business interests reported in Corporate and Other consist primarily of our Sky-branded video services and television networks in Germany, Comcast Spectacor, which owns the Philadelphia Flyers and the Wells Fargo Center arena in Philadelphia, Pennsylvania, and Xumo, our consolidated streaming platform joint venture with Charter Communications formed in June 2022. Xumo is focused on developing and offering a streaming platform on a variety of devices, including Xumo TV smart televisions, which have an operating system that leverages our global technology platform, and also operates the Xumo Play streaming service.</w:t>
      </w:r>
    </w:p>
    <w:p>
      <w:pPr>
        <w:spacing w:after="0" w:line="71" w:lineRule="exact"/>
        <w:rPr>
          <w:sz w:val="20"/>
          <w:szCs w:val="20"/>
          <w:color w:val="auto"/>
        </w:rPr>
      </w:pPr>
    </w:p>
    <w:p>
      <w:pPr>
        <w:spacing w:after="0"/>
        <w:rPr>
          <w:sz w:val="20"/>
          <w:szCs w:val="20"/>
          <w:color w:val="auto"/>
        </w:rPr>
      </w:pPr>
      <w:r>
        <w:rPr>
          <w:rFonts w:ascii="Arial" w:cs="Arial" w:eastAsia="Arial" w:hAnsi="Arial"/>
          <w:sz w:val="25"/>
          <w:szCs w:val="25"/>
          <w:color w:val="auto"/>
        </w:rPr>
        <w:t>Legislation and Regulation</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businesses are subject to various federal, state, local, and international laws and regulations. In the United States in particular, the Communications Act of 1934, as amended (the “Communications Act”), and Federal Communications Commission (“FCC”) rules and regulations affect significant aspects of our communications businesses.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Beyond the more significant regulations summarized below, 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streaming services and artificial intelligence (“AI”), may also affect our business. These legislators and regulators, along with some state attorneys general and foreign governmental authorities, have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businesses and ability to effectively compete.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Legislative and regulatory activity has increased in recent years, particularly with respect to broadband networks. For example, Congress has approved tens of billions of dollars in new funding for broadband deployment and adoption initiatives, and may consider other proposals that address communications issues, including whether it should rewrite the Communications Act to account for changes in the communications marketplace. Federal agencies have considered adopting new regulations for communications services, including broadband, although it is uncertain whether those initiatives will continue under the new Administration. States and localities are increasingly proposing new regulations impacting communications services, including broader regulation of broadband networks. Regulators in various international jurisdictions are similarly considering changes to telecommunications and media requirements. Any of these regulations could significantly affect our business and our legal and compliance costs. In addition, United States and foreign regulators and courts could adopt new interpretations of existing competition or antitrust laws or enact new competition or antitrust laws or regulatory tools that could negatively impact our businesses.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paragraphs summarize the more significant legal and regulatory requirements and risks affecting our businesses.</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Communications-Related Regulations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Broadband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broadband services are subject to a number of regulations and commitments.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2023, the FCC adopted broad rules that prohibit digital discrimination of access to broadband service based on income level, race, ethnicity, color, religion and national origin; this order currently is subject to legal challenge in federal court. In 2024, the FCC reclassified broadband internet access services as a “telecommunications service” subject to traditional common carriage regulation under Title II of the Communications Act. However, a federal appellate court in January 2025 overturned that reclassification, ruling that broadband internet access service is an “information service” under Title I of the Communications Act and that the FCC does not have authority to subject broadband services to utility-style regulations such as rate regulation and market entry and exit requirements under Title II. As a Title I “information service,” broadband is only subject to light-touch regulation such as broadband disclosure requirements, and deployment, subscription, and pricing reporting requirements. States and localities have in the past enacted and may in the future periodically consider new broadband-related regulations, including those regarding government-owned broadband networks, net neutrality and broadband affordability, which could create a patchwork of, and potentially inconsistent, federal, state and local regulatory regimes. New broadband regulations, if adopted, may have adverse effects on our businesses, and we cannot predict the outcome of any pending or future litigation or how any rules will ultimately be interpreted and enforced and how they might affect our business.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from time to time, participate in broadband-deployment funding initiatives at the federal and state levels and may also become subject to additional broadband-related commitments as a condition of receiving federal or state broadband funding. We cannot predict how and to whom any such funds will be awarded, when the initiatives will be terminated or the impact of these initiatives on our businesses.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number of municipalities operate municipally owned broadband networks, and there may be further efforts by local governments to expand or create government-owned networks, particularly in light of federal funding for broadband deployment. Certain states have enacted laws that restrict or prohibit local municipalities from operating municipally owned broadband networks, and there may be efforts in other state legislatures to restrict the development of government-owned networks. Other states, however, have amended or may amend such laws to facilitate such networks. Much of the federal funding authorized for broadband deployment is conditioned on states agreeing to make it available for potential use by government-owned networks, although the funding prioritizes deployment to unserved and underserved areas and locations. We cannot predict how successful any of those efforts will be and how they might affect our businesses.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and Media</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that apply to the cable services we provide through our Residential Connectivity &amp; Platforms business and to our cable networks and local broadcast television stations in our Media business. These laws and regulations can constrain our ability to compete, particularly against DTC streaming service providers, which are not subject to these same requirements.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state and local franchising rules and regulations may require us to provide adequate channel capacity, facilities and financial support for public, educational and governmental access programming; comply with certain renewal procedures for our franchise agreements; pay franchise fees; and comply with customer service, accessibility, and certain other requirements. In addition, the FCC and other federal agencies can impact the programming networks that we carry, as well as how we price, package, bill and market our video services. FCC regulations also require cable operators to carry programming transmitted by certain local broadcast television stations (“must-carry” requirement) or to negotiate a “retransmission consent” agreement with certain other stations that will frequently involve payments from cable operators to the station; govern program access by preventing cable networks affiliated with cable operators from favoring affiliated cable operators over competing multichannel video providers; grant licenses to broadcast television stations for 8-year cycles, which may not be renewed on favorable terms, or at all; limit local and national television ownership, as well as foreign ownership in a broadcast television station; and regulate children’s programming.</w:t>
      </w:r>
    </w:p>
    <w:p>
      <w:pPr>
        <w:spacing w:after="0" w:line="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FCC enforces these rules on a case-by-case basis based on complaints filed by consumers, state and local governments, and other entities. We have been involved in disputes at the FCC in some of these areas and may be involved in new disputes in the future, including potential disputes related to content moderation and free speech. We cannot predict the outcome of any such disputes or associated litigation. The FCC and Congress have previously considered proposals that would require companies that own multiple cable networks to make each of their networks available individually when negotiating distribution agreements with MVPDs and potentially with DTC streaming and other OTT service providers. We currently offer our cable networks on a packaged basis (in “tiers”) and, in various cases, individually. We have been involved in program access disputes at the FCC and may be subject to new complaints in the future.</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certain states and localities have adopted laws to impose franchise or other fees on DTC streaming services. To date, courts have invalidated those laws, but we cannot predict the outcome of any future litigation.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wireless voice and data service primarily using our MVNO rights to provide the service over Verizon’s wireless network. MVNOs are subject to many of the same FCC regulations as facilities-based wireless carriers, such as E911 services and local number portability, as well as certain state or local regulations. The FCC or other regulatory authorities may adopt new or different regulations for MVNOs and/or mobile broadband providers in the future, which could adversely affect our wireless phone service offering or our business generally.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voice services using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Universal Service Fund contribution obligations, rural call completion, customer equipment back-up power, robocall mitigation, service discontinuance and certain regulatory filing requirements. State regulatory commissions and legislatures in other jurisdictions may continue to consider imposing regulatory requirements on our voice services as long as the regulatory classification of VoIP remains unsettled at the federal level.</w:t>
      </w:r>
    </w:p>
    <w:p>
      <w:pPr>
        <w:spacing w:after="0" w:line="200" w:lineRule="exact"/>
        <w:rPr>
          <w:sz w:val="20"/>
          <w:szCs w:val="20"/>
          <w:color w:val="auto"/>
        </w:rPr>
      </w:pPr>
    </w:p>
    <w:p>
      <w:pPr>
        <w:spacing w:after="0" w:line="291"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Allocations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FCC, the Department of Commerce’s National Telecommunications and Information Administration, and other federal agencies have taken, and in some cases are preparing to take, steps to evaluate and potentially modify certain spectrum allocations and rules to make available additional spectrum that likely will be used for licensed and/or unlicensed commercial services, including 5G and Wi-Fi services, which could impact our businesses. We cannot predict the timing or outcome of these spectrum allocation actions. Additional commercial spectrum could impact current marketplace dynamics, including the ability of wireless providers to compete with our services. Further, if the FCC reallocates spectrum that our businesses currently use to provide services, we could be required to transition our operations to different frequencies in order to accommodate the reallocation of spectrum for 5G, which could disrupt our services and impose additional costs.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International Communications-Related and Other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international businesses are subject to telecommunications and media-specific regulation, including those related to broadband and voice services and television networks, in Europe, Latin America, and other international jurisdictions, and all of our international businesses are subject to regulation under generally applicable laws, such as competition, consumer protection, data protection, and taxation in the jurisdictions where they operate. Our international businesses are currently, and may be in the future, subject to proceedings or investigations from regulatory and antitrust authorities in the jurisdictions in which those businesses operate.</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Copyright, trademark, unfair competition, patent, trade secret and other proprietary-rights laws of the United States and other countries help protect our intellectual property rights. In particular, unauthorized copying, distribution and piracy of programming and films over the internet, through devices, software and websites, counterfeit DVDs/Blu-rays and through other platforms interfere with the market for copyrighted works and present challenges for our content businesses. We have actively engaged in the enforcement of our intellectual property rights and likely will continue to expend substantial resources to protect our content. Although many legal protections exist to combat such practices, the extent of copyright protection is sometimes ambiguous and the use of technological protections can be controversial. Modifications to existing laws, a weakening of these protections or their enforcement or a failure of existing laws, in the United States or internationally, to adapt to new technologies could have an adverse effect on our ability to license and sell our programming.</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copyright laws establish a cable compulsory copyright license that requires our video distribution business to contribute a specified percentage of revenue to a federal copyright royalty pool in exchange for retransmitting copyrighted material included in broadcast signals. We also pay standard industry licensing fees for the public performance of music in the programs we create or distribute. The cable compulsory copyright license and the royalties we pay are subject to audits and possible regulatory and legislative changes that could impact the royalty fees we pay and our ability to retransmit broadcast signals over cable systems. In addition, the landscape for music licensing is constantly changing, and music fees we pay are subject to new fee demands and negotiations. We cannot predict how changes to the compulsory copyright license and music licensing will impact the fees that we pay.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Protection Regulation</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 regulations, such as those found within the Communications Act or the Video Privacy Protection Act, restrict companies’ collection, use, disclosure and retention of personal information. The proliferation of laws at the state level has expanded consumers’ rights to include individual rights of access, deletion, portability, correction, the right to appeal, and the individual’s right to “opt in” to collection and use of certain types of “sensitive” personal information. Internationally, many of the laws that apply to our businesses are similar to the European Union’s General Data Protection Regulation and the United Kingdom’s Data Protection Act of 2018, which broadly regulate the processing of personal data collected from individuals in the European Union and United Kingdom, respectively.</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14</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businesses are also subject to the FTC’s general oversight of consumer privacy protections through its enforcement authority over unfair and deceptive acts or practices, as well as through its enforcement authority over the Children’s Online Privacy Protection Act. The FTC has sought to expand its authority in this area through various rulemakings related to general privacy, targeted advertising and children’s privacy. There has been an increased focus on children’s privacy at both the state and federal levels within the United States, as well as internationally. These new laws may require changes to our products and services and could adversely affect our advertising businesses.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many international data protection laws, some federal laws, and all 50 U.S. states have security breach notification requirements that obligate businesses to provide notice to consumers and government agencies if certain information has been accessed or exfiltrated by an unauthorized party; some of these laws also require documented information security programs.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U.S. states and localities have imposed or are considering imposing, through both legislative and administrative channels, new or additional taxes or fees on, or limiting or eliminating incentives or credits earned or monetized by, our businesses, or imposing adverse methodologies by which taxes, fees, incentives or credits are computed, earned or monetized. These include combined reporting or other changes to general business taxes, central assessments for property tax, and taxes and fees on the businesses operated or services provided by our businesses, most notably new taxes or fees on digital advertising or other digital commerce. In some situations, DBS providers and other competitors (such as DTC streaming service providers) that deliver their services over a broadband connection do not face the same state and local tax and fee burdens. Congress has also considered, and may consider again, proposals to bar or limit states from imposing taxes on these DBS providers or other competitors (such as DTC streaming service providers) that are equivalent to the taxes or fees that we pay. The Internet Tax Freedom Act (“ITFA”) prohibits most states and localities from imposing sales and other taxes on our internet access charges and discriminating against electronic commerce; however, some jurisdictions may challenge the ITFA or the application of the ITFA to our business, or may assert that certain taxes akin to right-of-way fees are not preempted by the ITFA or other federal laws.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 states and localities, and various regulatory authorities, actively regulate other aspects of our businesses, including our Studios and Theme Parks businesses, accessibility to our video and voice services and broadcast television programming for people with disabilities, customer service standards, inside wiring, cable equipment, pole attachments, universal service fees, regulatory fees, public safety, telemarketing, leased access, indecency, loudness of commercial advertisements, advertising, political broadcasting, sponsorship identification, Emergency Alert System, equal employment opportunity and other employment-related practices, environmental-related matters, our equipment supply chain, and technical standards relating to the operation of cable systems and television stations. In addition, our international businesses are subject to various similar regulations, including those that cover television broadcasting, programming, and advertising. We are occasionally subject to enforcement actions and investigations at the FCC and other federal, state, and local agencies, as well as foreign governments and regulatory authorities, which can result in fines, sanctions and/or ongoing compliance plans and government oversight.</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auto"/>
        </w:rPr>
        <w:t>Human Capital Resources</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approximately 182,000 full-time and part-time employees calculated on a full-time equivalent basis. Approximately 30% of our employees were located in over 30 countries outside the United States, with larger workforce concentrations in the United Kingdom, Western Europe, East Asia and South Asia. We also use freelance and temporary employees in the normal course of our business. A small overall portion of our full-time U.S. employees are unionized, although many of Content &amp; Experiences’ freelance and temporary writers, directors, actors, technical and production personnel, as well as some on-air and creative talent employees, are covered by industry-wide collective bargaining agreements or work councils. Outside the United States, employees in certain countries, particularly in Europe, are represented by an employee representative organization, such as a union, works council or employee association.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has been built on a foundation of respect, integrity and trust, and we are committed to creating and fostering a work environment that promotes those values. As a global media and technology company, we have a wide range of employees, including management professionals, technicians, engineers, call center employees, theme park employees, and media talent and production employees. Some of our key workforce-related programs and initiatives include the following.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Engagement</w:t>
      </w:r>
    </w:p>
    <w:p>
      <w:pPr>
        <w:spacing w:after="0" w:line="118"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create an engaged workforce through proactive listening and constructive dialogue, including through employee engagement surveys, as well as through employee resource groups.</w:t>
      </w:r>
    </w:p>
    <w:p>
      <w:pPr>
        <w:spacing w:after="0" w:line="200" w:lineRule="exact"/>
        <w:rPr>
          <w:sz w:val="20"/>
          <w:szCs w:val="20"/>
          <w:color w:val="auto"/>
        </w:rPr>
      </w:pPr>
    </w:p>
    <w:p>
      <w:pPr>
        <w:spacing w:after="0" w:line="26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creating an environment that encourages employees to ask questions, raise concerns and speak up about a workplace issue or suspected illegal or unethical conduct. We provide several channels for speaking up without fear of retaliation, including a helpline and a web portal that are administered by an independent third-party company and allow for anonymous reporting when permitted by applicable laws.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Development</w:t>
      </w:r>
    </w:p>
    <w:p>
      <w:pPr>
        <w:spacing w:after="0" w:line="118"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 wide variety of opportunities for professional growth for all employees with in-classroom and online trainings and on-the-job experience.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education tuition assistance to full-time employees in the United States.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succession planning for our CEO and the remainder of our senior executive management team at least once a year. Throughout the year, our senior executive management team, as well as a broader array of executives throughout our businesses, make presentations to the Board and its committees and interact with our directors informally outside of regularly scheduled Board meetings, which provides directors with meaningful insight into our current pool of talent, what attracts and retains our executives, and our company culture.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promote a culture that embraces equal opportunity for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has nine voluntary employee resource groups with more than 36,000 members in 240 chapters across the U.S. These employee-led organizations are open to all and contribute to business priorities, career development, and foster an inclusive and collaborative workplace.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18" w:lineRule="exact"/>
        <w:rPr>
          <w:sz w:val="20"/>
          <w:szCs w:val="20"/>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robust portfolio of health and welfare programs and solutions designed to meet the unique needs of our employees and their families, delivered through a consistent and seamless member experience.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offerings include comprehensive and affordable health care coverage options along with a variety of additional tools and resources, including access to dedicated health care navigators, expert medical opinion services, virtual primary care services and a diabetes management program. In addition, we offer comprehensive family planning options, including for adoption and surrogacy, and provide specialized support teams to help employees manage all stages in the family planning journey including parenthood.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 We also offer various digital emotional wellbeing tools, including child learning and behavior support, meditation, stress management, sleep issues, depression, chronic pain and substance use.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Benefits</w:t>
      </w:r>
    </w:p>
    <w:p>
      <w:pPr>
        <w:spacing w:after="0" w:line="118"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focus on attracting and retaining employees by providing compensation and benefits packages that are competitive within the applicable market, taking into account the job position’s location and responsibilities.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competitive financial benefits such as a 401(k) retirement plan in the United States with a company match and other retirement arrangements internationally.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employee stock purchase plans in the United States, United Kingdom, India and several other European countries where most of our full-time and part-time employees can purchase our stock at a discount.</w:t>
      </w:r>
    </w:p>
    <w:p>
      <w:pPr>
        <w:spacing w:after="0" w:line="5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generally grant stock-based awards on an annual basis to a meaningful portion of our employees, with over 24,000 employees receiving such awards in 2024.</w:t>
      </w:r>
    </w:p>
    <w:p>
      <w:pPr>
        <w:spacing w:after="0" w:line="54"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financial literacy training and counseling to support employees in making their own financial decisions.</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auto"/>
        </w:rPr>
        <w:t>Available Information and Websites</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phone number is (215) 286-1700, and our principal executive offices are located at One Comcast Center, Philadelphia, PA 19103-2838.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website at www.comcastcorporation.com as soon as reasonably practicable after such reports are electronically filed with the SEC. The information posted on our websites is not incorporated into our SEC filings.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16</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uto"/>
        </w:rPr>
        <w:t>Caution Concerning Forward-Looking Statements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“will,” “would,” “will be,” “will continue,” “will likely result” and similar expressions. In evaluating these statements, you should consider various factors, including the risks and uncertainties we describe in “Risk Factors” and in other reports we file with the SEC.</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0" w:lineRule="exact"/>
        <w:rPr>
          <w:sz w:val="20"/>
          <w:szCs w:val="20"/>
          <w:color w:val="auto"/>
        </w:rPr>
      </w:pPr>
    </w:p>
    <w:p>
      <w:pPr>
        <w:spacing w:after="0" w:line="297"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17</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color w:val="006EBF"/>
        </w:rPr>
        <w:t>Item 1A: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 Industry and Operations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businesses operate in highly competitive and dynamic industries, and our businesses and results of operations could be adversely affected if we do not compete effectively.</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businesses operate in intensely competitive, consumer-driven, rapidly changing environments. We compete with a growing number of companies that provide a broad range of communications products and services and entertainment, sports, news and information content to consumers. There can be no assurance that we will be able to compete effectively against our competitors or that competition will not have an adverse effect on our businesses.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is a summary of our most significant sources of competition. Many of these competitors offer competitive pricing, packaging and/or bundling of services to customers, which further increases competition. For a more detailed description of the competition facing our businesses, see Item 1: Business and refer to the “Competition” discussion within that section.</w:t>
      </w:r>
    </w:p>
    <w:p>
      <w:pPr>
        <w:spacing w:after="0" w:line="68" w:lineRule="exact"/>
        <w:rPr>
          <w:sz w:val="20"/>
          <w:szCs w:val="20"/>
          <w:color w:val="auto"/>
        </w:rPr>
      </w:pPr>
    </w:p>
    <w:p>
      <w:pPr>
        <w:jc w:val="both"/>
        <w:ind w:left="660" w:hanging="328"/>
        <w:spacing w:after="0" w:line="24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&amp; Platforms’ broadband services compete primarily against wireline telecommunications companies, including many that are increasing deployment of fiber-based networks; wireless telecommunications companies offering internet services (using a variety of technologies, including 5G fixed wireless networks and 4G and 5G wireless broadband services); electric cooperatives and municipalities in the United States that own and operate their own broadband networks; and DBS and newer satellite broadband providers. Broadband-deployment funding initiatives at the federal and state level may result in other service providers deploying new subsidized internet access networks within our footprint, and in cases where we receive subsidies, may impose constraints on how we conduct our businesses. For a more extensive discussion of the significant risks associated with the regulation of our businesses, see “—We are subject to regulation by federal, state, local and foreign authorities, which impose additional costs and restrictions on our businesses” below and Item 1: Business and refer to the “Legislation and Regulation” discussion within that section.</w:t>
      </w:r>
    </w:p>
    <w:p>
      <w:pPr>
        <w:spacing w:after="0" w:line="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wireless and voice services compete with both telecommunications and wireless telecommunication providers.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video services consists primarily of DTC streaming service providers and aggregators, DBS providers and telecommunications companies.</w:t>
      </w:r>
    </w:p>
    <w:p>
      <w:pPr>
        <w:spacing w:after="0" w:line="6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Services Connectivity primarily competes with wireline telecommunications companies and wide area network managed service providers.</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in Content &amp; Experiences, as well as our video business, face substantial and increasing competition from providers of similar types of entertainment, sports, news and information content, as well as from other forms of entertainment, including from social networking and user-generated content, as well as tourism, recreational activities and lodging. They must compete to obtain talent, popular content (including sports programming), advertising and other resources required to successfully operate their businesses. This competition has further intensified as certain DTC streaming service providers have commissioned, and may continue to commission, high-cost programming and acquire live sports programming rights to attract viewers at significant costs.</w:t>
      </w:r>
    </w:p>
    <w:p>
      <w:pPr>
        <w:spacing w:after="0" w:line="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Competitors with significant resources, greater efficiencies of scale, fewer regulatory burdens and more competitive pricing and packaging continue to increasingly compete with our businesses in all forms. Some of these competitors could also have preferential access to customer data or other competitive information. Further, consolidation of, or cooperation between, our competitors may increase competition in all of these areas. For example, cooperation between competitors may allow them to offer a range of products and services, including aggregating certain content into a stand-alone offering, offering free or lower cost DTC streaming services, potentially on an exclusive basis, through unlimited data-usage plans for broadband and wireless services or bundling DTC streaming services on their platforms.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competitive position may be negatively affected if we do not provide our customers with a satisfactory customer experience. In addition, our ability to compete effectively depends on our perceived image and reputation among our various constituencies, including our customers, consumers, advertisers,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consumer behavior continue to adversely affect our businesses and challenge existing business models.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Distribution platforms for viewing and purchasing content continue to challenge existing business models, increase the number of competitors that our businesses face, and have driven, and will continue to drive, changes in consumer behavior as consumers seek control over when, where and how they consume content and access communications services, and how much or for how long they pay for such content.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number of entertainment choices available to consumers, including DTC streaming service providers and aggregators, social networking and user-generated content platforms, and gaming and virtual reality products and services, continue to increase, intensify audience fragmentation and disaggregate how content traditionally has been distributed to and viewed by consumers. The continuing trend of content owners, including us with Peacock, delivering their content directly to consumers, rather than through, or in addition to, traditional video distribution channels also disrupts traditional media distribution business models. As consumers increasingly turn to DTC streaming services in lieu of linear video services, which continue to experience accelerated net customer losses, our video customers and video revenues, and linear television network subscriber fees received from video service providers, each decrease. In addition to reducing traditional television viewership, these trends when coupled with time-shifting technologies, such as DVR and on demand services, have caused, and likely will continue to cause, audience ratings declines for our television networks. Shifting content consumption patterns also may result in lower demand for home entertainment products or theatrical attendance. While we have adapted some of our video and content offerings to compete in the evolving media distribution landscape, such as by offering Peacock and NOW, there also can be no assurance that we will be able to successfully compete or that Peacock will grow or sustain its revenue or user base, successfully compete as a stand-alone DTC streaming service or fully offset decreases to our linear television networks’ results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effectively anticipate or adapt to emerging competitors or changes in consumer behavior, including among younger consumers, and shifting business models could have an adverse effect on our competitive position, businesses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decline in advertisers’ expenditures or changes in advertising markets could negatively impact our businesses.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compete for the sale of advertising time with digital properties, including an increasing number of ad-supported DTC streaming service providers as advertisers have shifted, and may continue to shift, a larger portion of their total expenditures to digital media. We also compete with other online content providers, such as social networking platforms and user-generated content providers, television networks and stations, and all other advertising platforms. Because we derive substantial revenue from the sale of advertising, a decline in expenditures by advertisers, including through traditional linear television distribution models or on Peacock, could negatively impact our results of operations. We have experienced, and may continue to experience, declines caused by the economic prospects of specific advertisers or industries and economic conditions generally; increased competition for the leisure time of viewers, audience fragmentation and viewing content on DTC streaming services; use of time-shifting or advertising-blocking technologies; and regulatory intervention on advertising placement. Lower audience ratings and reduced viewership, which many of our linear television networks have experienced, and likely will continue to experience, as well as the level of popularity of Peacock, affect advertisers’ willingness to purchase advertising from us and the rates paid. Advertising sales and rates also are dependent on the methodology used for audience measurement and could be negatively affected if methodologies do not accurately reflect actual viewership levels.</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Our success depends on consumer acceptance of our content, and our businesses may be adversely affected if our content fails to achieve sufficient consumer acceptance.</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create and acquire media, sports and entertainment content, the success of which depends substantially on consumer tastes and preferences that often change in unpredictable ways. To meet the changing preferences of our consumer markets, we must consistently create, acquire, market and distribute a broad array of content and theme park attractions. We have invested, and will continue to invest, substantial amounts in content, such as the production of films and original content for television networks and streaming services, and in the creation of new theme parks and theme park attractions, before learning the extent to which they will earn consumer acceptance.</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obtain a significant portion of our content from third parties, such as movie studios, television production companies, sports organizations and other suppliers, sometimes on an exclusive basis. Competition for popular content, particularly for sports programming, is intense. Entering into or renewing contracts for such content rights or acquiring additional rights has in the past resulted, and may result in the future, in significantly increased costs, potentially over an extended contractual term. Particularly with respect to contracts for sports rights, our results of operations and cash flows over the term of a contract depend on a number of factors, including the strength of the advertising market, audience size, the timing and amount of rights payments, and the ability to secure distribution from, impose surcharges on, or obtain carriage on multichannel video providers or to grow and retain subscribers to our own DTC services. There can be no assurance that revenue generated from these contracts will exceed our costs for the rights and of producing and distributing the programming. In addition, media companies may determine not to license popular content to us, and as more content owners offer their content directly to consumers through their own platforms, they may reduce the quantity and quality of the content they license to our linear television networks or Peacock. The inability to enter into or renew some or all of these contracts on acceptable terms could reduce the reach of our programming, which could adversely affect our results of operations and businesses.</w:t>
      </w:r>
    </w:p>
    <w:p>
      <w:pPr>
        <w:spacing w:after="0" w:line="200" w:lineRule="exact"/>
        <w:rPr>
          <w:sz w:val="20"/>
          <w:szCs w:val="20"/>
          <w:color w:val="auto"/>
        </w:rPr>
      </w:pPr>
    </w:p>
    <w:p>
      <w:pPr>
        <w:spacing w:after="0" w:line="29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19</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create content for licensing to third parties and to our linear television networks or Peacock. The inability to license such content on acceptable terms or at all could negatively impact our business. Moreover, we may generate lower revenue when we opt to retain our content for our own use, including for Peacock, rather than licensing it to third parties who pay licensing fees for such content.</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content does not achieve sufficient consumer acceptance, or if we cannot obtain or retain rights to popular content on acceptable terms, or at all, our businesses may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Programming expenses for our video services are increasing on a per subscriber basis, which could adversely affect our video businesses.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programming expenses for our video services to continue to be the largest single expense item for our Residential Connectivity &amp; Platforms business and to continue to increase on a per subscriber basis. Part of these programming expenses include payments to certain local broadcast television stations in exchange for their required consent for the retransmission of broadcast network programming to video services customers; we expect to continue to be subject to demands for payment and other concessions from local broadcast television stations. These market factors may be exacerbated by consolidation in the media industry, which may further increase our programming expenses. If we are unable to offset programming cost increases through rate increases, the sale of additional services, cost management or other initiatives, the increasing cost of programming could have an adverse effect on our results of operations.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as our contracts with programming providers expire, there can be no assurance that they will be renewed on acceptable terms, or at all, in which case we may be unable to provide such programming as part of our video services, and our businesses and results of operations could be adversely affected.</w:t>
      </w:r>
    </w:p>
    <w:p>
      <w:pPr>
        <w:spacing w:after="0" w:line="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loss of programming distribution agreements, or the renewal of these agreements on less favorable terms, could adversely affect our businesses.</w:t>
      </w:r>
    </w:p>
    <w:p>
      <w:pPr>
        <w:spacing w:after="0" w:line="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linear television networks depend on their ability to secure and maintain distribution agreements with traditional and virtual multichannel video providers. The number of subscribers to our television networks has been, and likely will continue to be, reduced as a result of fewer subscribers to multichannel video providers as the media distribution business model changes. Similarly, multichannel video providers may elect not to enter into agreements to distribute some or all of our linear television networks as a result of these changing market dynamics. In addition, our broadcast television networks depend on their ability to secure and maintain network affiliation agreements with third-party local broadcast television stations in the markets where we do not own the affiliated local broadcast television station. Our owned local broadcast television stations must elect, with respect to retransmission by certain multichannel video providers, either “must-carry” status, in which we require the provider to carry the station without paying any compensation to us, or “retransmission consent,” in which we give up our right to mandatory carriage and instead seek to negotiate the terms and conditions of carriage, including the amount of compensation, if any, paid to us by such provider.</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of these types of arrangements, our ability to renew agreements on acceptable terms may be affected by evolving market dynamics and industry consolidation. There can be no assurance that any of these agreements will be entered into or renewed in the future on similar terms. The inability to enter into or renew some or all of these agreements could reduce our revenues and the reach of our programming, which could adversely affect our businesses.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businesses depend on using and protecting certain intellectual property rights and on not infringing, misappropriating or otherwise violating the intellectual property rights of others.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incur substantial monetary liability, or be enjoined preliminarily or permanently from further use of the intellectual property in question, from importing into the United States or other jurisdictions in which we operate hardware or software that uses such intellectual property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businesses could be adversely affected.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intellectual property constitutes a significant part of the value of our businesses, and our success is highly dependent on protecting the intellectual property rights of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The legal landscape for new technologies, including AI, remains uncertain, and legal developments could impact our ability to protect against unauthorized third-party use, misappropriation, reproduction or infringement or impact our ability to deploy new technologies. Our use or adoption of new and emerging technologies may also increase our exposure to intellectual property claims.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films through unauthorized distribution platforms continues to present challenges for our businesses. For example, certain entities may stream our broadcast television content illegally online without our consent and without paying us any compensation, and sporting events on our international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obtain necessary hardware, software and operational support.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third-party vendors to supply us with a significant amount of the hardware, software and operational support necessary to provide certain of our products and services. We also rely on third-party satellite transponder capacity to provide video services in Europe, as well as on third-party wireless networks to offer certain wireless services in the United States and internationally. Some of these vendors represent our primary source of supply or grant us the right to incorporate their intellectual property into some of our hardware and software products. While we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including as a result of cybersecurity vulnerabilities or incidents, faulty software updates, or any other supply chain compliance-related issues, if our demand exceeds their capacity or if they breach or terminate their agreements with us or are otherwise unable to meet our specifications or provide the equipment, products or services we need in a timely manner (or at all), or at reasonable prices, our ability to provide some products or services may be adversely affected and we may incur additional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 depend on keeping pace with technological developments.</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success is, to a large extent, dependent on our ability to acquire, develop, adopt and leverage new and existing technologies, and our competitors’ use of certain types of technology, including AI, and equipment may provide them with a competitive advantage. New technologies can materially impact our businesses in a number of ways, including affecting the demand for our products, the distribution methods of our products and content to our customers, how we create our entertainment products, the ways in which our customers can purchase and view our content and the growth of distribution platforms available to advertisers. For example, current and new wireless internet technologies (including 5G fixed wireless networks and 4G and 5G wireless broadband services) continue to evolve rapidly and may allow for greater speed and reliability for those services as compared with prior technologies and create further competition for our businesses. In addition, some companies and U.S. municipalities are building advanced fiber-based networks that provide very fast internet access speeds, and some providers offer newer satellite broadband services. We expect advances in communications technology to continue to occur in the future.</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we choose technology or equipment that is not as effective or attractive to consumers as that employed by our competitors, if we fail to employ technologies desired by consumers or that enhance our business operations, such as through the use of AI, or if we fail to execute effectively on our technology initiatives, our businesses and results of operations could be adversely affected. We also will continue to incur additional costs as we execute our technology initiatives, such as the deployment of multigigabit symmetrical speeds by leveraging our DOCSIS 4.0 technology and the development and enhancement of various streaming platforms. There can be no assurance that we can execute on these and other initiatives in a manner sufficient to grow or maintain our revenue or to successfully compete in the future. We also may generate less revenue or incur increased costs if changes in our competitors’ product offerings require that we offer certain services or enhancements at a lower or no cost to our customers or that we increase our research and development expenditures.</w:t>
      </w:r>
    </w:p>
    <w:p>
      <w:pPr>
        <w:spacing w:after="0" w:line="200" w:lineRule="exact"/>
        <w:rPr>
          <w:sz w:val="20"/>
          <w:szCs w:val="20"/>
          <w:color w:val="auto"/>
        </w:rPr>
      </w:pPr>
    </w:p>
    <w:p>
      <w:pPr>
        <w:spacing w:after="0" w:line="304"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21</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that are related to our network management, customer service operations and programming delivery and are embedded in our products and services, are critical to our business activities. In the ordinary course of our business, there are constant attempts by 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such as process breakdowns, human error, software or hardware failures or vulnerabilities in security architecture or system design.</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attack or data breach, misappropriation, misuse, leakage, falsification or accidental release or loss of information by us or a third party. Due to the nature of our businesses, we may be at a disproportionately heightened risk of these types of incidents occurring because we maintain certain information necessary to conduct our business in digital form.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Due to the complexity and interconnectedness of our systems and those of our third-party vendors, the process of enhancing our protective measures can itself create a risk of systems disruptions and security issues.</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has caused, and may from time to time in the future cause, a variety of business impacts. These include degradation or disruption of our network, products and services, excessive call volume to call centers, theft or misuse of our intellectual property or other assets, disruption of the security of our internal systems, products, services or satellite transmission signals, power outages, and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some of which we have experienced in the past, could include litigation or cause regulators to impose significant fines or other remedial measures, including with respect to relevant customer privacy rules, or otherwise have an adverse effect on our company. Despite our efforts, we expect that we will continue to experience such incidents in the future, and there can be no assurance that any such incident will not have an adverse effect on our business, reputation or results of operations. Refer to Item 1C: Cybersecurity for additional information.</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Weak economic conditions may have a negative impact on our businesses.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Weak economic conditions in the United States, in Europe or globally could adversely affect demand for any of our products and services and have a negative impact on our results of operations. For example, weak economic conditions will likely impact our customers’ discretionary spending and as a result, they may reduce the level of services to which they subscribe or may discontinue subscribing to one or more of our services altogether. This risk may be increased by the expanded availability of free or lower cost competitive services, such as certain DTC streaming services, or substitute services for broadband and voice services, such as wireless and public Wi-Fi networks. Weak economic conditions also negatively impact our advertising revenue, the performance of our films and home entertainment releases, and attendance and spending in our theme parks. In particular, the success of our theme parks and theatrical releases largely depends on consumer demand for out-of-home entertainment experiences, which may be limited by weakened economic conditions. Weak economic conditions may also cause governments and regulators to impose additional tax or product affordability regulations, which could have a negative impact on our results of operations.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Weak economic conditions and disruptions in the global financial markets, such as high interest rates, may impact our ability to obtain financing or to refinance existing debt on acceptable terms, if at all, which could increase the cost of our borrowings over time and may increase our exposure to currency fluctuations in countries where we operate. Further, inflationary pressures in the United States, in Europe and globally may also have negative impacts on our cost structure and pricing models and may impact the ability of third parties (including advertisers, customers, suppliers, wholesale distributors, retailers and content creators, among others) to satisfy their obligations to us.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other strategic initiatives present many risks, and we may not realize the financial and strategic goals that we had contemplated.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make acquisitions and investments and may pursue other strategic initiatives, such as the proposed Spin-off. In connection with such acquisitions and strategic initiatives, we may incur significant or unanticipated expenses, fail to realize anticipated benefits and synergies, have difficulty incorporating an acquired or new line of business, disrupt relationships with current and new employees, customers and vendors, incur significant debt, divert the attention of management from our current operations, or have to delay or not proceed with announced transactions or initiatives. These and other circumstances could also result in the impairment of goodwill and long-lived assets. Additionally, federal regulatory or antitrust agencies such as the FCC or DOJ or international regulators may impose restrictions on the operation of our businesses as a result of our seeking regulatory approvals for any significant acquisitions and strategic initiatives or may dissuade us from pursuing certain transactions. The occurrence of any of these events could have an adverse effect on our business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relating to doing business internationally that could adversely affect our businesses.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operate our businesses worldwide. There are risks inherent in doing business internationally, including global financial market turmoil; economic volatility and global economic slowdown; currency exchange rate fluctuations and inflationary pressures; geopolitical risks, including acts of terror and war; requirements of local laws and customs relating to the publication and distribution of content and the display and sale of advertising; import or export restrictions, tariffs, sanctions and trade regulations; difficulties in developing, staffing and managing foreign operations; issues related to occupational safety and adherence to diverse local labor laws and regulations; and potentially adverse tax developments. Additionally, although we employ foreign currency derivative instruments to hedge certain exposure to foreign currency exchange rate risks, including the British pound, euro and Japanese yen, the use of such derivative instruments may not be sufficient to mitigate exchange rate fluctuations. In addition, doing business internationally subjects us to risks relating to political or social unrest, as well as corruption and government regulations, including U.S. laws such as the Foreign Corrupt Practices Act and the U.K. Bribery Act, that impose stringent requirements on how we conduct our foreign operations. Moreover, foreign enforcement of laws and contractual rights in certain countries where we do business can be inconsistent and unpredictable, which may affect our ability to enforce our rights or make investments that we believe otherwise make strategic sense. If any of these events occur or our conduct does not comply with such laws and regulations, our businesses may be adversely affected.</w:t>
      </w:r>
    </w:p>
    <w:p>
      <w:pPr>
        <w:spacing w:after="0" w:line="200" w:lineRule="exact"/>
        <w:rPr>
          <w:sz w:val="20"/>
          <w:szCs w:val="20"/>
          <w:color w:val="auto"/>
        </w:rPr>
      </w:pPr>
    </w:p>
    <w:p>
      <w:pPr>
        <w:spacing w:after="0" w:line="30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23</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disasters, severe weather and other uncontrollable events could adversely affect our business, reputation and results of operations.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services, products and properties are vulnerable to damage from the occurrence of certain events, including natural disasters, severe weather events such as hurricanes and wildfires, and a range of other unforeseeable events such as infectious disease outbreaks, terrorist attacks or other similar events. Such events have in the past caused, and could in the future cause, a variety of adverse business impacts including degradation or disruption of our network, products and services, excessive call volume to call centers, a reduction in demand for our products, services and theme parks, disruption of our internal systems, products, services or satellite transmission signals, power outages, and damage to our or our customers’ or vendors’ equipment and properties. These events also may result in lost revenue and large expenditures to repair or replace damaged properties, products and services and could lead to litigation and regulatory fines or remedial measures, including if we inadvertently contributed to damages suffered by others.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and scope of insurance we maintain against losses resulting from these types of events likely would not be sufficient to fully cover our losses or otherwise adequately compensate us for disruptions to our business that may result. We expect that we will continue to experience some or all of these events in the future, and there can be no assurance that any such event will not have an adverse effect on our business, reputation or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key management personnel or popular on-air and creative talent could have an adverse effect on our businesses.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Content &amp; Experiences business depends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disputes, whether involving employees or sports organizations, may disrupt our operations and adversely affect our businesses.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Many of the writers, directors, actors, technical and production personnel, as well as some on-air and creative talent employees in our Content &amp; Experiences business, are covered by collective bargaining agreements or works councils. Many of these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For example, the Writers Guild of America (“Writers Guild”) and the Screen Actors Guild-American Federation of Television and Radio Artists (“SAG”) work stoppages in 2023 paused productions, which reduced content licensing revenue at our Studios segment. There can be no assurance that we will renew our collective bargaining agreements as they expire or that we can renew them on favorable terms or without any work stoppages in the future.</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labor disputes in sports organizations with which we have programming rights agreements of varying scope and duration could have an adverse effect on our businesses.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Legal, Regulatory and Governance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regulation by federal, state, local and foreign authorities, which impose additional costs and restrictions on our businesses.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businesses are subject to various federal, state, local and federal laws and regulations. In the United States in particular, the Communications Act and FCC rules and regulations affect significant aspects of our communications businesses.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streaming services and AI, may also affect our business. These legislators and regulators, along with some state attorneys general and foreign governmental authorities, have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businesses and ability to effectively compete.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327"/>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Legislative and regulatory activity has increased in recent years, particularly with respect to broadband networks. For example, Congress has approved tens of billions of dollars in new funding for broadband deployment and adoption initiatives, and may from time to time consider other proposals that address communications issues, including whether it should rewrite the Communications Act to account for changes in the communications marketplace. Federal agencies have considered adopting new regulations for communications services, including broadband, although it is uncertain whether those initiatives will continue under the new Administration. States and localities are increasingly proposing new regulations impacting communications services, including broader regulation of broadband networks. Regulators in various international jurisdictions are similarly considering changes to telecommunications and media requirements. Any of these regulations could significantly affect our business and our legal and compliance costs.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United States and foreign regulators and courts could adopt new interpretations of existing competition or antitrust laws or enact new competition or antitrust laws or regulatory tools that could negatively impact our businesses.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comply with the laws and regulations applicable to our businesses could result in administrative enforcement actions, fines, and civil and criminal liability. Any changes to the legal and regulatory framework applicable to any of our services or businesses could have an adverse impact on our businesses and results of operations. For a more extensive discussion of the significant risks associated with the regulation of our businesses, see Item 1: Business and refer to the “Legislation and Regulation” discussion within that section.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litigation or governmental investigation results could require us to pay significant amounts or lead to onerous operating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from time to time to a number of lawsuits both in the United States and in foreign countries, including claims relating to competition, intellectual property rights (including patents), employment and labor matters, personal injury and property damage, free speech, customer privacy, regulatory requirements, advertising, marketing and selling practices, and credit and collection issues. Greater constraints on the use of arbitration to resolve certain of these disputes could adversely affect our business. We also spend substantial resources complying with various regulatory and government standards, including any related investigations and litigation. We may incur significant expenses defending any such suit or government charge and may be required to pay amounts or otherwise change our operations in ways that could adversely impact our businesses, results of operations or financial condition.</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Our Class B common stock has a non-dilutable 33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us,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006EBF"/>
        </w:rPr>
        <w:t>Item 1B: Unresolved Staff Comments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25</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006EBF"/>
        </w:rPr>
        <w:t>Item 1C: Cybersecurity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involvement and input from our Board of Directors, performs an annual enterprise-wide risk management (“ERM”) assessment to identify and manage key existing and emerging risks for our company. Our ERM process assesses the characteristics and circumstances of the evolving business environment at the time and seeks to identify both the potential impacts to our company of a particular risk and the velocity with which the risk may manifest (e.g., rapidly in less than three months or more slowly in more than twelve months). Our executive management team has the overall responsibility for, and oversight of, our ERM process, and an ERM steering committee manages the process, with one or more senior business executives then monitoring and managing each of the identified risks.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Cybersecurity is among the risks identified for Board-level oversight as a result of our most recent ERM assessment, with our Audit Committee of the Board overseeing our policies, practices and assessments with respect to cybersecurity.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and/or our Audit Committee receive regular updates throughout the year on cybersecurity. Each of our Board and Audit Committee separately receives an annual report on cybersecurity matters and related risk exposures from our primary businesses’ Chief Information Security Officers (“CISOs”) and Chief Technology Officers or other similar officers (“CTOs”). Our Audit Committee also receives regular updates on our cybersecurity posture throughout the year, as appropriate. When covered during an Audit Committee meeting, the chair of the Audit Committee reports on its discussion to the full Board.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this Board-level oversight, our Cybersecurity Leadership Council (“CLC”) oversees our cybersecurity strategy and is responsible for overseeing and managing our cybersecurity risks. The CLC includes our Chief Financial Officer (“CFO”), Chief Legal Officer, head of Internal Audit, Chief Privacy and Data Strategy Officer, and lead internal securities counsel, as well as the CISOs, CTOs, CFOs and General Counsels of our primary businesses. Given the complex and varied nature of our businesses, the Connectivity &amp; Platforms and Content &amp; Experiences businesses each have a dedicated CISO who we believe is appropriately qualified to assess and manage cybersecurity risks. The Connectivity &amp; Platforms CISO has served in various roles in product security and privacy at our company since 2016 and held various leadership and technical positions in Fortune 500 companies before joining our company. The Content &amp; Experiences CISO has served in various roles in information security at our company since 2018 and held various roles in managing security operation center service portfolios and information security before joining our company.</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CLC conducts regular meetings throughout the year during which CISOs provide updates and report on meaningful cybersecurity risks, threats, incidents and vulnerabilities in accordance with the CLC’s reporting framework, as well as related priorities, mitigation and remediation activities, financial and employee resource levels, regulatory compliance, technology trends and third-party provider risks. To help inform this reporting framework, our primary businesses maintain incident response plans and other policies and procedures designed to respond to, mitigate and remediate cybersecurity incidents according to a defined set of severity ratings based on the potential impact to our business, information technology systems, network or data, including data held or information technology services provided by third-party vendors or other service providers.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that are related to our network management, customer service operations and programming delivery and are embedded in our products and services, are critical to our business activities. We frequently obtain certain confidential, proprietary and/or personal information about our customers, personnel and vendors, which in many cases is provided or made available to third-party vendors who agree to protect it. As a result, we have multiple layers of security designed to detect and block cybersecurity events, as well as a dedicated team of cybersecurity personnel, who assist our CISOs in helping to assess, identify, monitor, detect and manage cybersecurity risks, threats, vulnerabilities and incidents. In the normal course, we engage assessors, consultants and other third parties to assist in various cyber-related matters. For example, an outside consulting firm conducts a National Institute of Standards and Technology and International Organization for Standardization-based cybersecurity capability maturity assessment every three years, which is reviewed with the Audit Committee, and our security teams leverage third-party advisors, as appropriate. We also perform penetration tests, data recovery testing, security audits and risk assessments throughout the year. Our cybersecurity program also incorporates intelligence sharing capabilities about emerging threats within the telecommunications industry and other industries through collaboration with peer companies and specialized consultants and through public-private partnerships with government intelligence agencies. We hold cybersecurity trainings for our employees and request that key vendors do the same.</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26</w:t>
            </w:r>
          </w:p>
        </w:tc>
      </w:tr>
      <w:tr>
        <w:trPr>
          <w:trHeight w:val="327"/>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while we develop and maintain systems, and operate programs that seek to prevent security incidents from occurring, these systems and programs must be constantly monitored and updated in the face of sophisticated and rapidly evolving attempts to overcome our security measures and protections. The occurrence of both intentional and unintentional incidents has caused, and could cause in the future, a variety of adverse business impacts. See “Item 1A: Risk Factors” above for additional information on risks related our business, including for example risks related to cyber attacks, information and system breaches, and technology disruptions and failures; our reliance on using and protecting certain intellectual property rights; keeping pace with technological developments; legal and regulatory developments; and obtaining hardware, software and operational support from third-party vendors.</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006EBF"/>
        </w:rPr>
        <w:t>Item 2: Properties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physical assets are generally in good operating condition and are suitable and adequate for our business operations. We own our corporate headquarters, which is located in Philadelphia, Pennsylvania at One Comcast Center.</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Connectivity &amp; Platforms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physical assets for the operations of the Residential Connectivity &amp; Platforms and the Business Services Connectivity segments consist of operating plant and equipment, including our network in the United States. Refer to Item 1: Business: Network and Technology for additional information.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Connectivity &amp; Platforms business headquarters is located in One Comcast Center, Philadelphia, Pennsylvania. We also own the Comcast Technology Center, which is a center for our technology and engineering workforce located adjacent to the Comcast Center, and our Sky headquarters, located in Middlesex, United Kingdom.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or lease buildings throughout the Connectivity &amp; Platforms markets that contain administrative space, retail stores and customer service centers, and warehouses.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Content &amp; Experiences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Content &amp; Experiences business and NBCUniversal headquarters are located in New York, New York at 30 Rockefeller Plaza and its surrounding campus, which include offices and studios used by the Media segment. We own substantially all of the space we occupy at 30 Rockefeller Plaza, and we lease the spaces in the surrounding campus.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principal locations supporting our Media segment operations include our leased Telemundo headquarters and production facilities in Miami, Florida, as well as our Universal City location in Los Angeles, California, our owned CNBC headquarters and production facilities located in Englewood Cliffs, New Jersey and our leased NBC Sports headquarters and production facilities in Stamford, Connecticut.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Business: Studios Segment and Theme Parks Segment for information on properties used in those respective segment operations.</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or lease additional offices, studios, production facilities, screening rooms, retail operations, warehouse space, satellite transmission receiving facilities and data centers in numerous locations in the United States and around the world.</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color w:val="006EBF"/>
        </w:rPr>
        <w:t>Item 3: Legal Proceedings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to the consolidated financial statements included in this Annual Report on Form 10-K for a discussion of legal proceedings.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006EBF"/>
        </w:rPr>
        <w:t>Item 4: Mine Safety Disclosures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27</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28" w:lineRule="exact"/>
        <w:rPr>
          <w:sz w:val="20"/>
          <w:szCs w:val="20"/>
          <w:color w:val="auto"/>
        </w:rPr>
      </w:pPr>
    </w:p>
    <w:p>
      <w:pPr>
        <w:ind w:right="200"/>
        <w:spacing w:after="0" w:line="296" w:lineRule="auto"/>
        <w:rPr>
          <w:sz w:val="20"/>
          <w:szCs w:val="20"/>
          <w:color w:val="auto"/>
        </w:rPr>
      </w:pPr>
      <w:r>
        <w:rPr>
          <w:rFonts w:ascii="Arial" w:cs="Arial" w:eastAsia="Arial" w:hAnsi="Arial"/>
          <w:sz w:val="25"/>
          <w:szCs w:val="25"/>
          <w:color w:val="006EBF"/>
        </w:rPr>
        <w:t>Item 5: Market for Registrant’s Common Equity, Related Stockholder Matters and Issuer Purchases of Equity Securities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006EBF"/>
        </w:rPr>
        <w:t>Market Information</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Comcast’s Class A common stock is listed on The Nasdaq Stock Market LLC under the symbol CMCSA. There is no established public trading market for Comcast’s Class B common stock. The Class B common stock can be converted, on a share for share basis, into Class A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006EBF"/>
        </w:rPr>
        <w:t>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holders as of January 15, 2025 are presented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 Class</w:t>
            </w:r>
          </w:p>
        </w:tc>
        <w:tc>
          <w:tcPr>
            <w:tcW w:w="5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Record</w:t>
            </w:r>
          </w:p>
        </w:tc>
        <w:tc>
          <w:tcPr>
            <w:tcW w:w="0" w:type="dxa"/>
            <w:vAlign w:val="bottom"/>
          </w:tcPr>
          <w:p>
            <w:pPr>
              <w:spacing w:after="0"/>
              <w:rPr>
                <w:sz w:val="1"/>
                <w:szCs w:val="1"/>
                <w:color w:val="auto"/>
              </w:rPr>
            </w:pPr>
          </w:p>
        </w:tc>
      </w:tr>
      <w:tr>
        <w:trPr>
          <w:trHeight w:val="193"/>
        </w:trPr>
        <w:tc>
          <w:tcPr>
            <w:tcW w:w="6160" w:type="dxa"/>
            <w:vAlign w:val="bottom"/>
            <w:tcBorders>
              <w:bottom w:val="single" w:sz="8" w:color="auto"/>
            </w:tcBorders>
            <w:vMerge w:val="continue"/>
          </w:tcPr>
          <w:p>
            <w:pPr>
              <w:spacing w:after="0"/>
              <w:rPr>
                <w:sz w:val="16"/>
                <w:szCs w:val="16"/>
                <w:color w:val="auto"/>
              </w:rPr>
            </w:pPr>
          </w:p>
        </w:tc>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Holders</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303,127</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Holders of Class A common stock in the aggregate hold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combined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006EBF"/>
        </w:rPr>
        <w:t>Dividends</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pay quarterly dividends, although each dividend is subject to approval by our Board of Directors. Refer to Liquidity and Capital Resources in Item 7: Management’s Discussion and Analysis of Financial Condition and Results of Operations for additional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006EBF"/>
        </w:rPr>
        <w:t>Share Repurchases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Comcast’s common stock repurchases during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 Number of</w:t>
            </w:r>
          </w:p>
        </w:tc>
        <w:tc>
          <w:tcPr>
            <w:tcW w:w="4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Dollar</w:t>
            </w: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Maximum Dollar Value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4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of Shares That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Purchased as</w:t>
            </w:r>
          </w:p>
        </w:tc>
        <w:tc>
          <w:tcPr>
            <w:tcW w:w="4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48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May Yet Be Purchased</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 Number of</w:t>
            </w:r>
          </w:p>
        </w:tc>
        <w:tc>
          <w:tcPr>
            <w:tcW w:w="28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Part of Publicly</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Purchased Under the Publicly</w:t>
            </w: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Under the Publicly</w:t>
            </w:r>
          </w:p>
        </w:tc>
        <w:tc>
          <w:tcPr>
            <w:tcW w:w="0" w:type="dxa"/>
            <w:vAlign w:val="bottom"/>
          </w:tcPr>
          <w:p>
            <w:pPr>
              <w:spacing w:after="0"/>
              <w:rPr>
                <w:sz w:val="1"/>
                <w:szCs w:val="1"/>
                <w:color w:val="auto"/>
              </w:rPr>
            </w:pPr>
          </w:p>
        </w:tc>
      </w:tr>
      <w:tr>
        <w:trPr>
          <w:trHeight w:val="162"/>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Shares</w:t>
            </w:r>
          </w:p>
        </w:tc>
        <w:tc>
          <w:tcPr>
            <w:tcW w:w="280" w:type="dxa"/>
            <w:vAlign w:val="bottom"/>
          </w:tcPr>
          <w:p>
            <w:pPr>
              <w:spacing w:after="0"/>
              <w:rPr>
                <w:sz w:val="14"/>
                <w:szCs w:val="14"/>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Price Per</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Announced</w:t>
            </w: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Announced</w:t>
            </w: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188"/>
        </w:trPr>
        <w:tc>
          <w:tcPr>
            <w:tcW w:w="2500" w:type="dxa"/>
            <w:vAlign w:val="bottom"/>
            <w:vMerge w:val="continue"/>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Purchased</w:t>
            </w:r>
          </w:p>
        </w:tc>
        <w:tc>
          <w:tcPr>
            <w:tcW w:w="280" w:type="dxa"/>
            <w:vAlign w:val="bottom"/>
          </w:tcPr>
          <w:p>
            <w:pPr>
              <w:spacing w:after="0"/>
              <w:rPr>
                <w:sz w:val="16"/>
                <w:szCs w:val="16"/>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Share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Authorization</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Authorization</w:t>
            </w:r>
          </w:p>
        </w:tc>
        <w:tc>
          <w:tcPr>
            <w:tcW w:w="4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Authorization</w:t>
            </w:r>
            <w:r>
              <w:rPr>
                <w:rFonts w:ascii="Times New Roman" w:cs="Times New Roman" w:eastAsia="Times New Roman" w:hAnsi="Times New Roman"/>
                <w:sz w:val="9"/>
                <w:szCs w:val="9"/>
                <w:color w:val="auto"/>
              </w:rPr>
              <w:t>(a)</w:t>
            </w:r>
          </w:p>
        </w:tc>
        <w:tc>
          <w:tcPr>
            <w:tcW w:w="0" w:type="dxa"/>
            <w:vAlign w:val="bottom"/>
          </w:tcPr>
          <w:p>
            <w:pPr>
              <w:spacing w:after="0"/>
              <w:rPr>
                <w:sz w:val="1"/>
                <w:szCs w:val="1"/>
                <w:color w:val="auto"/>
              </w:rPr>
            </w:pPr>
          </w:p>
        </w:tc>
      </w:tr>
      <w:tr>
        <w:trPr>
          <w:trHeight w:val="23"/>
        </w:trPr>
        <w:tc>
          <w:tcPr>
            <w:tcW w:w="2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55,961,536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43.03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55,961,536</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2,408,046,377</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13,186,952,831</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56,381,926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39.29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56,381,926</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2,214,999,556</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10,971,953,275</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49,913,271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39.44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49,913,271</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1,968,792,051</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9,003,161,225</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1-31, 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16,562,668</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41.66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16,562,668</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689,999,638</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8,313,161,586</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1-30, 2024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12,943,713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43.26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12,943,713</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559,999,640</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7,753,161,946</w:t>
            </w:r>
          </w:p>
        </w:tc>
        <w:tc>
          <w:tcPr>
            <w:tcW w:w="0" w:type="dxa"/>
            <w:vAlign w:val="bottom"/>
          </w:tcPr>
          <w:p>
            <w:pPr>
              <w:spacing w:after="0"/>
              <w:rPr>
                <w:sz w:val="1"/>
                <w:szCs w:val="1"/>
                <w:color w:val="auto"/>
              </w:rPr>
            </w:pPr>
          </w:p>
        </w:tc>
      </w:tr>
      <w:tr>
        <w:trPr>
          <w:trHeight w:val="270"/>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1-31, 2024</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20,002,768</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39.89</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20,002,768</w:t>
            </w: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797,999,685</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6,955,162,262</w:t>
            </w: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211,765,882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40.80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211,765,882</w:t>
            </w: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8,639,836,946</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6,955,162,262</w:t>
            </w:r>
          </w:p>
        </w:tc>
        <w:tc>
          <w:tcPr>
            <w:tcW w:w="0" w:type="dxa"/>
            <w:vAlign w:val="bottom"/>
          </w:tcPr>
          <w:p>
            <w:pPr>
              <w:spacing w:after="0"/>
              <w:rPr>
                <w:sz w:val="1"/>
                <w:szCs w:val="1"/>
                <w:color w:val="auto"/>
              </w:rPr>
            </w:pPr>
          </w:p>
        </w:tc>
      </w:tr>
      <w:tr>
        <w:trPr>
          <w:trHeight w:val="20"/>
        </w:trPr>
        <w:tc>
          <w:tcPr>
            <w:tcW w:w="2500" w:type="dxa"/>
            <w:vAlign w:val="bottom"/>
            <w:shd w:val="clear" w:color="auto" w:fill="0C6DFF"/>
          </w:tcPr>
          <w:p>
            <w:pPr>
              <w:spacing w:after="0" w:line="20" w:lineRule="exact"/>
              <w:rPr>
                <w:sz w:val="1"/>
                <w:szCs w:val="1"/>
                <w:color w:val="auto"/>
              </w:rPr>
            </w:pPr>
          </w:p>
        </w:tc>
        <w:tc>
          <w:tcPr>
            <w:tcW w:w="1880" w:type="dxa"/>
            <w:vAlign w:val="bottom"/>
            <w:shd w:val="clear" w:color="auto" w:fill="0C6DFF"/>
          </w:tcPr>
          <w:p>
            <w:pPr>
              <w:spacing w:after="0" w:line="20" w:lineRule="exact"/>
              <w:rPr>
                <w:sz w:val="1"/>
                <w:szCs w:val="1"/>
                <w:color w:val="auto"/>
              </w:rPr>
            </w:pPr>
          </w:p>
        </w:tc>
        <w:tc>
          <w:tcPr>
            <w:tcW w:w="280" w:type="dxa"/>
            <w:vAlign w:val="bottom"/>
            <w:shd w:val="clear" w:color="auto" w:fill="0C6DFF"/>
          </w:tcPr>
          <w:p>
            <w:pPr>
              <w:spacing w:after="0" w:line="20" w:lineRule="exact"/>
              <w:rPr>
                <w:sz w:val="1"/>
                <w:szCs w:val="1"/>
                <w:color w:val="auto"/>
              </w:rPr>
            </w:pPr>
          </w:p>
        </w:tc>
        <w:tc>
          <w:tcPr>
            <w:tcW w:w="1140" w:type="dxa"/>
            <w:vAlign w:val="bottom"/>
            <w:shd w:val="clear" w:color="auto" w:fill="0C6DFF"/>
          </w:tcPr>
          <w:p>
            <w:pPr>
              <w:spacing w:after="0" w:line="20" w:lineRule="exact"/>
              <w:rPr>
                <w:sz w:val="1"/>
                <w:szCs w:val="1"/>
                <w:color w:val="auto"/>
              </w:rPr>
            </w:pPr>
          </w:p>
        </w:tc>
        <w:tc>
          <w:tcPr>
            <w:tcW w:w="1400" w:type="dxa"/>
            <w:vAlign w:val="bottom"/>
            <w:shd w:val="clear" w:color="auto" w:fill="0C6DFF"/>
          </w:tcPr>
          <w:p>
            <w:pPr>
              <w:spacing w:after="0" w:line="20" w:lineRule="exact"/>
              <w:rPr>
                <w:sz w:val="1"/>
                <w:szCs w:val="1"/>
                <w:color w:val="auto"/>
              </w:rPr>
            </w:pPr>
          </w:p>
        </w:tc>
        <w:tc>
          <w:tcPr>
            <w:tcW w:w="420" w:type="dxa"/>
            <w:vAlign w:val="bottom"/>
            <w:shd w:val="clear" w:color="auto" w:fill="0C6DFF"/>
          </w:tcPr>
          <w:p>
            <w:pPr>
              <w:spacing w:after="0" w:line="20" w:lineRule="exact"/>
              <w:rPr>
                <w:sz w:val="1"/>
                <w:szCs w:val="1"/>
                <w:color w:val="auto"/>
              </w:rPr>
            </w:pPr>
          </w:p>
        </w:tc>
        <w:tc>
          <w:tcPr>
            <w:tcW w:w="1400" w:type="dxa"/>
            <w:vAlign w:val="bottom"/>
            <w:shd w:val="clear" w:color="auto" w:fill="0C6DFF"/>
          </w:tcPr>
          <w:p>
            <w:pPr>
              <w:spacing w:after="0" w:line="20" w:lineRule="exact"/>
              <w:rPr>
                <w:sz w:val="1"/>
                <w:szCs w:val="1"/>
                <w:color w:val="auto"/>
              </w:rPr>
            </w:pPr>
          </w:p>
        </w:tc>
        <w:tc>
          <w:tcPr>
            <w:tcW w:w="480" w:type="dxa"/>
            <w:vAlign w:val="bottom"/>
            <w:shd w:val="clear" w:color="auto" w:fill="0C6DFF"/>
          </w:tcPr>
          <w:p>
            <w:pPr>
              <w:spacing w:after="0" w:line="20" w:lineRule="exact"/>
              <w:rPr>
                <w:sz w:val="1"/>
                <w:szCs w:val="1"/>
                <w:color w:val="auto"/>
              </w:rPr>
            </w:pPr>
          </w:p>
        </w:tc>
        <w:tc>
          <w:tcPr>
            <w:tcW w:w="1740" w:type="dxa"/>
            <w:vAlign w:val="bottom"/>
            <w:shd w:val="clear" w:color="auto" w:fill="0C6D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260" w:hanging="252"/>
        <w:spacing w:after="0" w:line="275" w:lineRule="auto"/>
        <w:tabs>
          <w:tab w:leader="none" w:pos="2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2022, our Board of Directors approved a share repurchase program authorization of $20 billion and in January 2024, our Board of Directors terminated the existing program and approved a new program authorization of $15 billion effective as of January 26, 2024, which had no expiration date. In January 2025, our Board of Directors terminated this existing program and approved a new program authorization of $15 billion, which has no expiration date. We expect to repurchase additional shares of our Class A common stock under this authorization in the open market or in private transactions, subject to market and other conditions.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28</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annual percentage change in the cumulative total shareholder return on Comcast’s Class A common stock during the five years ended December 31, 2024 with the cumulative total returns on the Standard &amp; Poor’s 500 Stock Index and a select peer group consisting of us and other companies engaged in the transmission and distribution and media industries. This peer group consists of our Class A common stock and the common stock of AT&amp;T Inc., Charter Communications, Inc., Fox Corp. (Class A), Lumen Technologies, Inc., Paramount Global (Class B), T-Mobile US, Inc., Verizon Communications Inc., Warner Bros. Discovery Inc. and The Walt Disney Company.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comparison assumes $100 was invested on December 31, 2019 in our Class A common stock and in each of the following indices and assumes the reinvestment of dividends.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254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34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Comcast Class A</w:t>
            </w:r>
          </w:p>
        </w:tc>
        <w:tc>
          <w:tcPr>
            <w:tcW w:w="2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Stock Index</w:t>
            </w:r>
          </w:p>
        </w:tc>
        <w:tc>
          <w:tcPr>
            <w:tcW w:w="2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006EBF"/>
        </w:rPr>
        <w:t>Item 6: [Reserved]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3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29</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006EBF"/>
        </w:rPr>
        <w:t>Item 7: Management’s Discussion and Analysis of Financial Condition and Results of Operations</w:t>
      </w:r>
    </w:p>
    <w:p>
      <w:pPr>
        <w:spacing w:after="0" w:line="149" w:lineRule="exact"/>
        <w:rPr>
          <w:sz w:val="20"/>
          <w:szCs w:val="20"/>
          <w:color w:val="auto"/>
        </w:rPr>
      </w:pPr>
    </w:p>
    <w:p>
      <w:pPr>
        <w:jc w:val="both"/>
        <w:spacing w:after="0" w:line="25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Management’s discussion and analysis of financial condition and results of operations is provided as a supplement to, and should be read in conjunction with, the consolidated financial statements and related notes (“Notes”) to enhance the understanding of our operations and our present business environment. For more information about our company’s operations and the risks facing our businesses, see Item 1: Business and Item 1A: Risk Factors, </w:t>
      </w:r>
      <w:hyperlink r:id="rId68">
        <w:r>
          <w:rPr>
            <w:rFonts w:ascii="Times New Roman" w:cs="Times New Roman" w:eastAsia="Times New Roman" w:hAnsi="Times New Roman"/>
            <w:sz w:val="18"/>
            <w:szCs w:val="18"/>
            <w:color w:val="auto"/>
          </w:rPr>
          <w:t xml:space="preserve">respectively. Refer to Item 7: Management’s Discussion and Analysis of Financial Condition and Results of Operations in our </w:t>
        </w:r>
        <w:r>
          <w:rPr>
            <w:rFonts w:ascii="Times New Roman" w:cs="Times New Roman" w:eastAsia="Times New Roman" w:hAnsi="Times New Roman"/>
            <w:sz w:val="18"/>
            <w:szCs w:val="18"/>
            <w:u w:val="single" w:color="auto"/>
            <w:color w:val="0000FF"/>
          </w:rPr>
          <w:t>2023 Annual Report on</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management’s discussion and analysis of our financial condition and results of operations for fiscal year 2022, including comparison to</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fiscal year 2023.</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Connectivity &amp; Platforms and Content &amp; Experiences. We 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 our Connectivity &amp; Platforms business in two segments: Residential Connectivity &amp; Platforms and Business Services Connectivity; and</w:t>
      </w:r>
    </w:p>
    <w:p>
      <w:pPr>
        <w:spacing w:after="0" w:line="9" w:lineRule="exact"/>
        <w:rPr>
          <w:sz w:val="20"/>
          <w:szCs w:val="20"/>
          <w:color w:val="auto"/>
        </w:rPr>
      </w:pPr>
    </w:p>
    <w:p>
      <w:pPr>
        <w:jc w:val="both"/>
        <w:ind w:firstLine="8"/>
        <w:spacing w:after="0" w:line="255"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&amp; Experiences business in three segments: Media, Studios and Theme Parks. The discussion and analysis that follows includes the results of the cable television networks and complementary digital assets proposed to be included in the Spin-off and does not reflect or give effect to what our results of operations and financial condition may be following the Spin-off, if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5863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Consolidated Revenue, Net Income Attributable to Comcast Corporation and Adjusted EBITDA</w:t>
      </w:r>
      <w:r>
        <w:rPr>
          <w:rFonts w:ascii="Arial" w:cs="Arial" w:eastAsia="Arial" w:hAnsi="Arial"/>
          <w:sz w:val="23"/>
          <w:szCs w:val="23"/>
          <w:color w:val="006EBF"/>
          <w:vertAlign w:val="superscript"/>
        </w:rPr>
        <w:t>(a)</w:t>
      </w:r>
    </w:p>
    <w:p>
      <w:pPr>
        <w:ind w:left="20"/>
        <w:spacing w:after="0"/>
        <w:rPr>
          <w:sz w:val="20"/>
          <w:szCs w:val="20"/>
          <w:color w:val="auto"/>
        </w:rPr>
      </w:pPr>
      <w:r>
        <w:rPr>
          <w:rFonts w:ascii="Times New Roman" w:cs="Times New Roman" w:eastAsia="Times New Roman" w:hAnsi="Times New Roman"/>
          <w:sz w:val="14"/>
          <w:szCs w:val="14"/>
          <w:color w:val="auto"/>
        </w:rPr>
        <w:t>(in billions)</w:t>
      </w:r>
    </w:p>
    <w:p>
      <w:pPr>
        <w:spacing w:after="0" w:line="240" w:lineRule="exact"/>
        <w:rPr>
          <w:sz w:val="20"/>
          <w:szCs w:val="20"/>
          <w:color w:val="auto"/>
        </w:rPr>
      </w:pPr>
    </w:p>
    <w:p>
      <w:pPr>
        <w:ind w:left="1820"/>
        <w:spacing w:after="0"/>
        <w:tabs>
          <w:tab w:leader="none" w:pos="3800" w:val="left"/>
          <w:tab w:leader="none" w:pos="7080" w:val="left"/>
        </w:tabs>
        <w:rPr>
          <w:sz w:val="20"/>
          <w:szCs w:val="20"/>
          <w:color w:val="auto"/>
        </w:rPr>
      </w:pPr>
      <w:r>
        <w:rPr>
          <w:rFonts w:ascii="Times New Roman" w:cs="Times New Roman" w:eastAsia="Times New Roman" w:hAnsi="Times New Roman"/>
          <w:sz w:val="14"/>
          <w:szCs w:val="14"/>
          <w:b w:val="1"/>
          <w:bCs w:val="1"/>
          <w:color w:val="auto"/>
        </w:rPr>
        <w:t>Revenue</w:t>
      </w:r>
      <w:r>
        <w:rPr>
          <w:sz w:val="20"/>
          <w:szCs w:val="20"/>
          <w:color w:val="auto"/>
        </w:rPr>
        <w:tab/>
      </w:r>
      <w:r>
        <w:rPr>
          <w:rFonts w:ascii="Times New Roman" w:cs="Times New Roman" w:eastAsia="Times New Roman" w:hAnsi="Times New Roman"/>
          <w:sz w:val="14"/>
          <w:szCs w:val="14"/>
          <w:b w:val="1"/>
          <w:bCs w:val="1"/>
          <w:color w:val="auto"/>
        </w:rPr>
        <w:t>Net Income Attributable to Comcast</w:t>
      </w:r>
      <w:r>
        <w:rPr>
          <w:sz w:val="20"/>
          <w:szCs w:val="20"/>
          <w:color w:val="auto"/>
        </w:rPr>
        <w:tab/>
      </w:r>
      <w:r>
        <w:rPr>
          <w:rFonts w:ascii="Times New Roman" w:cs="Times New Roman" w:eastAsia="Times New Roman" w:hAnsi="Times New Roman"/>
          <w:sz w:val="14"/>
          <w:szCs w:val="14"/>
          <w:b w:val="1"/>
          <w:bCs w:val="1"/>
          <w:color w:val="auto"/>
        </w:rPr>
        <w:t>Adjusted EBITDA</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15175" cy="12687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1517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260" w:hanging="252"/>
        <w:spacing w:after="0" w:line="281" w:lineRule="auto"/>
        <w:tabs>
          <w:tab w:leader="none" w:pos="25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financial measure that is not defined by generally accepted accounting principles in the United States (“GAAP”). Refer to the “Non-GAAP Financial Measures” section on page 44 for additional information, including our definition and our use of Adjusted EBITDA, and for a reconciliation from net income attributable to Comcast Corporation to Adjusted EBITDA. Revenue, Net Income Attributable to Comcast Corporation and Adjusted EBITDA charts are not presented on the same scale.</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2024 Revenue and Adjusted EBITDA Segment Contribution</w:t>
      </w:r>
      <w:r>
        <w:rPr>
          <w:rFonts w:ascii="Arial" w:cs="Arial" w:eastAsia="Arial" w:hAnsi="Arial"/>
          <w:sz w:val="23"/>
          <w:szCs w:val="23"/>
          <w:color w:val="006EB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15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4" w:lineRule="exact"/>
        <w:rPr>
          <w:sz w:val="20"/>
          <w:szCs w:val="20"/>
          <w:color w:val="auto"/>
        </w:rPr>
      </w:pPr>
    </w:p>
    <w:p>
      <w:pPr>
        <w:ind w:left="3640"/>
        <w:spacing w:after="0"/>
        <w:tabs>
          <w:tab w:leader="none" w:pos="6920" w:val="left"/>
        </w:tabs>
        <w:rPr>
          <w:sz w:val="20"/>
          <w:szCs w:val="20"/>
          <w:color w:val="auto"/>
        </w:rPr>
      </w:pPr>
      <w:r>
        <w:rPr>
          <w:rFonts w:ascii="Times New Roman" w:cs="Times New Roman" w:eastAsia="Times New Roman" w:hAnsi="Times New Roman"/>
          <w:sz w:val="14"/>
          <w:szCs w:val="14"/>
          <w:b w:val="1"/>
          <w:bCs w:val="1"/>
          <w:color w:val="auto"/>
        </w:rPr>
        <w:t>Revenue</w:t>
      </w:r>
      <w:r>
        <w:rPr>
          <w:sz w:val="20"/>
          <w:szCs w:val="20"/>
          <w:color w:val="auto"/>
        </w:rPr>
        <w:tab/>
      </w:r>
      <w:r>
        <w:rPr>
          <w:rFonts w:ascii="Times New Roman" w:cs="Times New Roman" w:eastAsia="Times New Roman" w:hAnsi="Times New Roman"/>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5657850" cy="1560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1560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15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0" w:hanging="252"/>
        <w:spacing w:after="0" w:line="302" w:lineRule="auto"/>
        <w:tabs>
          <w:tab w:leader="none" w:pos="25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Charts exclude the results of Content &amp; Experiences Headquarters and Other, Corporate and Other, and eliminations. Refer to our Management’s Discussion and Analysis of Financial Condition and Results of Operations for additional information.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2024 Annual Report on Form 10-K</w:t>
      </w:r>
      <w:r>
        <w:rPr>
          <w:sz w:val="20"/>
          <w:szCs w:val="20"/>
          <w:color w:val="auto"/>
        </w:rPr>
        <w:tab/>
      </w:r>
      <w:r>
        <w:rPr>
          <w:rFonts w:ascii="Times New Roman" w:cs="Times New Roman" w:eastAsia="Times New Roman" w:hAnsi="Times New Roman"/>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Developments</w:t>
      </w:r>
    </w:p>
    <w:p>
      <w:pPr>
        <w:spacing w:after="0" w:line="22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b w:val="1"/>
          <w:bCs w:val="1"/>
          <w:color w:val="006EBF"/>
        </w:rPr>
        <w:t>Connectivity &amp; Platforms</w:t>
      </w:r>
      <w:r>
        <w:rPr>
          <w:rFonts w:ascii="Arial" w:cs="Arial" w:eastAsia="Arial" w:hAnsi="Arial"/>
          <w:sz w:val="23"/>
          <w:szCs w:val="23"/>
          <w:b w:val="1"/>
          <w:bCs w:val="1"/>
          <w:color w:val="006EBF"/>
          <w:vertAlign w:val="superscript"/>
        </w:rPr>
        <w:t>(a)</w:t>
      </w:r>
      <w:r>
        <w:rPr>
          <w:sz w:val="20"/>
          <w:szCs w:val="20"/>
          <w:color w:val="auto"/>
        </w:rPr>
        <w:tab/>
      </w:r>
      <w:r>
        <w:rPr>
          <w:rFonts w:ascii="Arial" w:cs="Arial" w:eastAsia="Arial" w:hAnsi="Arial"/>
          <w:sz w:val="17"/>
          <w:szCs w:val="17"/>
          <w:b w:val="1"/>
          <w:bCs w:val="1"/>
          <w:color w:val="006EBF"/>
        </w:rPr>
        <w:t>Content &amp; Experiences</w:t>
      </w:r>
      <w:r>
        <w:rPr>
          <w:rFonts w:ascii="Arial" w:cs="Arial" w:eastAsia="Arial" w:hAnsi="Arial"/>
          <w:sz w:val="22"/>
          <w:szCs w:val="22"/>
          <w:b w:val="1"/>
          <w:bCs w:val="1"/>
          <w:color w:val="006EBF"/>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69850</wp:posOffset>
            </wp:positionV>
            <wp:extent cx="6300470" cy="1945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30047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and Adjusted EBITDA charts are not presented on the same scale.</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details in the charts exclude the results of Content &amp; Experiences Headquarters and Other and Eliminations and therefore the amounts do not equal the total.</w:t>
      </w:r>
    </w:p>
    <w:p>
      <w:pPr>
        <w:sectPr>
          <w:pgSz w:w="11900" w:h="16838" w:orient="portrait"/>
          <w:cols w:equalWidth="0" w:num="1">
            <w:col w:w="11220"/>
          </w:cols>
          <w:pgMar w:left="320" w:top="117" w:right="359" w:bottom="1440" w:gutter="0" w:footer="0" w:header="0"/>
        </w:sectPr>
      </w:pP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Residential Connectivity &amp; Platforms</w:t>
      </w:r>
    </w:p>
    <w:p>
      <w:pPr>
        <w:spacing w:after="0" w:line="40" w:lineRule="exact"/>
        <w:rPr>
          <w:sz w:val="20"/>
          <w:szCs w:val="20"/>
          <w:color w:val="auto"/>
        </w:rPr>
      </w:pPr>
    </w:p>
    <w:p>
      <w:pPr>
        <w:jc w:val="both"/>
        <w:ind w:left="180" w:hanging="154"/>
        <w:spacing w:after="0" w:line="257" w:lineRule="auto"/>
        <w:tabs>
          <w:tab w:leader="none" w:pos="1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remained consistent due to decreases in video and other revenue, offset by increases in domestic broadband, domestic wireless, international connectivity and advertising revenue.</w:t>
      </w:r>
    </w:p>
    <w:p>
      <w:pPr>
        <w:spacing w:after="0" w:line="1" w:lineRule="exact"/>
        <w:rPr>
          <w:rFonts w:ascii="Times New Roman" w:cs="Times New Roman" w:eastAsia="Times New Roman" w:hAnsi="Times New Roman"/>
          <w:sz w:val="18"/>
          <w:szCs w:val="18"/>
          <w:color w:val="auto"/>
        </w:rPr>
      </w:pPr>
    </w:p>
    <w:p>
      <w:pPr>
        <w:ind w:left="180" w:right="20" w:hanging="154"/>
        <w:spacing w:after="0" w:line="250" w:lineRule="auto"/>
        <w:tabs>
          <w:tab w:leader="none" w:pos="1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primarily due to a decrease in programming expenses, while revenue remained consistent.</w:t>
      </w:r>
    </w:p>
    <w:p>
      <w:pPr>
        <w:ind w:left="180" w:hanging="154"/>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increased from 37.5% to 38.2%.</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Business Services Connectivity</w:t>
      </w:r>
    </w:p>
    <w:p>
      <w:pPr>
        <w:spacing w:after="0" w:line="31" w:lineRule="exact"/>
        <w:rPr>
          <w:sz w:val="20"/>
          <w:szCs w:val="20"/>
          <w:color w:val="auto"/>
        </w:rPr>
      </w:pPr>
    </w:p>
    <w:p>
      <w:pPr>
        <w:ind w:left="180" w:right="20" w:hanging="154"/>
        <w:spacing w:after="0" w:line="250" w:lineRule="auto"/>
        <w:tabs>
          <w:tab w:leader="none" w:pos="1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due to an increase in revenue from enterprise solutions offerings and small business customers.</w:t>
      </w:r>
    </w:p>
    <w:p>
      <w:pPr>
        <w:ind w:left="180" w:right="20" w:hanging="154"/>
        <w:spacing w:after="0" w:line="250" w:lineRule="auto"/>
        <w:tabs>
          <w:tab w:leader="none" w:pos="1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due to an increase in revenue, partially offset by increased costs and expenses.</w:t>
      </w:r>
    </w:p>
    <w:p>
      <w:pPr>
        <w:ind w:left="180" w:hanging="154"/>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decreased from 57.2% to 56.7%.</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Customer Metrics</w:t>
      </w:r>
    </w:p>
    <w:p>
      <w:pPr>
        <w:spacing w:after="0" w:line="31" w:lineRule="exact"/>
        <w:rPr>
          <w:sz w:val="20"/>
          <w:szCs w:val="20"/>
          <w:color w:val="auto"/>
        </w:rPr>
      </w:pPr>
    </w:p>
    <w:p>
      <w:pPr>
        <w:ind w:left="180" w:hanging="154"/>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customer relationships decreased by 527,000 to 51.6 million.</w:t>
      </w:r>
    </w:p>
    <w:p>
      <w:pPr>
        <w:spacing w:after="0" w:line="9" w:lineRule="exact"/>
        <w:rPr>
          <w:rFonts w:ascii="Times New Roman" w:cs="Times New Roman" w:eastAsia="Times New Roman" w:hAnsi="Times New Roman"/>
          <w:sz w:val="18"/>
          <w:szCs w:val="18"/>
          <w:color w:val="auto"/>
        </w:rPr>
      </w:pPr>
    </w:p>
    <w:p>
      <w:pPr>
        <w:ind w:left="180" w:hanging="154"/>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broadband customers decreased by 411,000 to 31.8 million.</w:t>
      </w:r>
    </w:p>
    <w:p>
      <w:pPr>
        <w:spacing w:after="0" w:line="9" w:lineRule="exact"/>
        <w:rPr>
          <w:rFonts w:ascii="Times New Roman" w:cs="Times New Roman" w:eastAsia="Times New Roman" w:hAnsi="Times New Roman"/>
          <w:sz w:val="18"/>
          <w:szCs w:val="18"/>
          <w:color w:val="auto"/>
        </w:rPr>
      </w:pPr>
    </w:p>
    <w:p>
      <w:pPr>
        <w:ind w:left="180" w:hanging="154"/>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wireless lines increased by 1.2 million to 7.8 million.</w:t>
      </w:r>
    </w:p>
    <w:p>
      <w:pPr>
        <w:spacing w:after="0" w:line="9" w:lineRule="exact"/>
        <w:rPr>
          <w:rFonts w:ascii="Times New Roman" w:cs="Times New Roman" w:eastAsia="Times New Roman" w:hAnsi="Times New Roman"/>
          <w:sz w:val="18"/>
          <w:szCs w:val="18"/>
          <w:color w:val="auto"/>
        </w:rPr>
      </w:pPr>
    </w:p>
    <w:p>
      <w:pPr>
        <w:ind w:left="180" w:hanging="154"/>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video customers decreased by 1.6 million to 12.5 million.</w:t>
      </w:r>
    </w:p>
    <w:p>
      <w:pPr>
        <w:spacing w:after="0" w:line="9" w:lineRule="exact"/>
        <w:rPr>
          <w:rFonts w:ascii="Times New Roman" w:cs="Times New Roman" w:eastAsia="Times New Roman" w:hAnsi="Times New Roman"/>
          <w:sz w:val="18"/>
          <w:szCs w:val="18"/>
          <w:color w:val="auto"/>
        </w:rPr>
      </w:pPr>
    </w:p>
    <w:p>
      <w:pPr>
        <w:ind w:left="180" w:right="20" w:hanging="154"/>
        <w:spacing w:after="0" w:line="260" w:lineRule="auto"/>
        <w:tabs>
          <w:tab w:leader="none" w:pos="1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homes and businesses passed increased by 1.2 million to 63.7 million.</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31" w:lineRule="exact"/>
        <w:rPr>
          <w:sz w:val="20"/>
          <w:szCs w:val="20"/>
          <w:color w:val="auto"/>
        </w:rPr>
      </w:pPr>
    </w:p>
    <w:p>
      <w:pPr>
        <w:jc w:val="both"/>
        <w:ind w:left="180" w:right="20" w:hanging="154"/>
        <w:spacing w:after="0" w:line="253" w:lineRule="auto"/>
        <w:tabs>
          <w:tab w:leader="none" w:pos="1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Connectivity &amp; Platforms capital expenditures remained consistent at $8.3 billion, reflecting increased spending on line extensions and support capital, offset by decreased spending on customer premise equipment and scalable infrastructure.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40" w:lineRule="exact"/>
        <w:rPr>
          <w:sz w:val="20"/>
          <w:szCs w:val="20"/>
          <w:color w:val="auto"/>
        </w:rPr>
      </w:pPr>
    </w:p>
    <w:p>
      <w:pPr>
        <w:jc w:val="both"/>
        <w:ind w:left="169" w:hanging="169"/>
        <w:spacing w:after="0" w:line="255" w:lineRule="auto"/>
        <w:tabs>
          <w:tab w:leader="none" w:pos="1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primarily due to the impact of the Paris Olympics in 2024. Excluding $1.9 billion of incremental revenue associated with this event, revenue increased due to increases in domestic distribution and international networks revenue.</w:t>
      </w:r>
    </w:p>
    <w:p>
      <w:pPr>
        <w:spacing w:after="0" w:line="2" w:lineRule="exact"/>
        <w:rPr>
          <w:rFonts w:ascii="Times New Roman" w:cs="Times New Roman" w:eastAsia="Times New Roman" w:hAnsi="Times New Roman"/>
          <w:sz w:val="18"/>
          <w:szCs w:val="18"/>
          <w:color w:val="auto"/>
        </w:rPr>
      </w:pPr>
    </w:p>
    <w:p>
      <w:pPr>
        <w:jc w:val="both"/>
        <w:ind w:left="169" w:hanging="169"/>
        <w:spacing w:after="0" w:line="250" w:lineRule="auto"/>
        <w:tabs>
          <w:tab w:leader="none" w:pos="1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primarily due to an increase in revenue, partially offset by an increase in programming and production costs driven by the Paris Olympics.</w:t>
      </w:r>
    </w:p>
    <w:p>
      <w:pPr>
        <w:spacing w:after="0" w:line="1" w:lineRule="exact"/>
        <w:rPr>
          <w:rFonts w:ascii="Times New Roman" w:cs="Times New Roman" w:eastAsia="Times New Roman" w:hAnsi="Times New Roman"/>
          <w:sz w:val="18"/>
          <w:szCs w:val="18"/>
          <w:color w:val="auto"/>
        </w:rPr>
      </w:pPr>
    </w:p>
    <w:p>
      <w:pPr>
        <w:jc w:val="both"/>
        <w:ind w:left="169" w:hanging="169"/>
        <w:spacing w:after="0" w:line="253" w:lineRule="auto"/>
        <w:tabs>
          <w:tab w:leader="none" w:pos="1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Peacock generated revenue and costs and expenses of $4.9 billion and $6.7 billion in 2024, respectively, including the Paris Olympics, compared to $3.4 billion and $6.1 billion in 2023, respectively. Paid subscribers increased by 5 million to 36 million in 2024.</w:t>
      </w:r>
    </w:p>
    <w:p>
      <w:pPr>
        <w:spacing w:after="0" w:line="21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Studios</w:t>
      </w:r>
    </w:p>
    <w:p>
      <w:pPr>
        <w:spacing w:after="0" w:line="31" w:lineRule="exact"/>
        <w:rPr>
          <w:sz w:val="20"/>
          <w:szCs w:val="20"/>
          <w:color w:val="auto"/>
        </w:rPr>
      </w:pPr>
    </w:p>
    <w:p>
      <w:pPr>
        <w:jc w:val="both"/>
        <w:ind w:left="169" w:hanging="169"/>
        <w:spacing w:after="0" w:line="250" w:lineRule="auto"/>
        <w:tabs>
          <w:tab w:leader="none" w:pos="1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primarily due to decreases in theatrical and content licensing revenue. 2023 included the impact of the Writers Guild and SAG work stoppages.</w:t>
      </w:r>
    </w:p>
    <w:p>
      <w:pPr>
        <w:spacing w:after="0" w:line="1" w:lineRule="exact"/>
        <w:rPr>
          <w:rFonts w:ascii="Times New Roman" w:cs="Times New Roman" w:eastAsia="Times New Roman" w:hAnsi="Times New Roman"/>
          <w:sz w:val="18"/>
          <w:szCs w:val="18"/>
          <w:color w:val="auto"/>
        </w:rPr>
      </w:pPr>
    </w:p>
    <w:p>
      <w:pPr>
        <w:jc w:val="both"/>
        <w:ind w:left="169" w:hanging="169"/>
        <w:spacing w:after="0" w:line="255" w:lineRule="auto"/>
        <w:tabs>
          <w:tab w:leader="none" w:pos="1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due to a decrease in costs and expenses driven by programming and production, partially offset by a decrease in revenue.</w:t>
      </w:r>
    </w:p>
    <w:p>
      <w:pPr>
        <w:spacing w:after="0" w:line="20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Theme Parks</w:t>
      </w:r>
    </w:p>
    <w:p>
      <w:pPr>
        <w:spacing w:after="0" w:line="31" w:lineRule="exact"/>
        <w:rPr>
          <w:sz w:val="20"/>
          <w:szCs w:val="20"/>
          <w:color w:val="auto"/>
        </w:rPr>
      </w:pPr>
    </w:p>
    <w:p>
      <w:pPr>
        <w:jc w:val="both"/>
        <w:ind w:left="169" w:hanging="169"/>
        <w:spacing w:after="0" w:line="250" w:lineRule="auto"/>
        <w:tabs>
          <w:tab w:leader="none" w:pos="1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due to decreases in revenue at our domestic theme parks, as well as the negative impact of foreign currency at our international theme parks.</w:t>
      </w:r>
    </w:p>
    <w:p>
      <w:pPr>
        <w:spacing w:after="0" w:line="1" w:lineRule="exact"/>
        <w:rPr>
          <w:rFonts w:ascii="Times New Roman" w:cs="Times New Roman" w:eastAsia="Times New Roman" w:hAnsi="Times New Roman"/>
          <w:sz w:val="18"/>
          <w:szCs w:val="18"/>
          <w:color w:val="auto"/>
        </w:rPr>
      </w:pPr>
    </w:p>
    <w:p>
      <w:pPr>
        <w:ind w:left="169" w:hanging="169"/>
        <w:spacing w:after="0" w:line="250" w:lineRule="auto"/>
        <w:tabs>
          <w:tab w:leader="none" w:pos="1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due to a decrease in revenue and an increase in costs and expenses.</w:t>
      </w:r>
    </w:p>
    <w:p>
      <w:pPr>
        <w:ind w:left="169" w:hanging="169"/>
        <w:spacing w:after="0" w:line="260" w:lineRule="auto"/>
        <w:tabs>
          <w:tab w:leader="none" w:pos="1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continues to reflect significant spending for the development of Epic Universe in Orlando.</w:t>
      </w:r>
    </w:p>
    <w:p>
      <w:pPr>
        <w:spacing w:after="0" w:line="200" w:lineRule="exact"/>
        <w:rPr>
          <w:sz w:val="20"/>
          <w:szCs w:val="20"/>
          <w:color w:val="auto"/>
        </w:rPr>
      </w:pPr>
    </w:p>
    <w:p>
      <w:pPr>
        <w:sectPr>
          <w:pgSz w:w="11900" w:h="16838" w:orient="portrait"/>
          <w:cols w:equalWidth="0" w:num="2">
            <w:col w:w="5560" w:space="271"/>
            <w:col w:w="5389"/>
          </w:cols>
          <w:pgMar w:left="320" w:top="117" w:right="35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31</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Other</w:t>
      </w:r>
    </w:p>
    <w:p>
      <w:pPr>
        <w:spacing w:after="0" w:line="64" w:lineRule="exact"/>
        <w:rPr>
          <w:sz w:val="20"/>
          <w:szCs w:val="20"/>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 total of 212 million shares of our Class A common stock for $8.6 billion in 2024 compared to a total of 262 million shares of our Class A common stock for $11.0 billion in 2023. Raised our dividend by $0.08 to $1.24 per share on an annualized basis in January 2024 and paid $4.8 billion of dividends in 2024.</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2023, we exercised our put right requiring Disney to purchase our interest in Hulu and received $8.6 billion, representing $9.2 billion for our share of Hulu’s minimum equity value presented as an advance on the sale of our investment in our consolidated balance sheet, less $557 million for our share of prior capital calls. We expect to receive additional proceeds for the sale of our interest in Hulu following the final determination of Hulu’s fair value pursuant to a third-party appraisal process, at which time we will recognize the sale of our interest. See Note 7.</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announced our intention to create SpinCo, a new independent publicly traded company through a tax-free spin-off. We are targeting to complete the Spin-off by the end of 2025, subject to the satisfaction of customary conditions. There can be no assurance that a separation transaction will occur, or, if one does occur, of its terms or timing.</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 except per share data)</w:t>
            </w: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7"/>
                <w:szCs w:val="17"/>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6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123,731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121,572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37,026</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36,762</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0.7</w:t>
            </w: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8,073</w:t>
            </w:r>
          </w:p>
        </w:tc>
        <w:tc>
          <w:tcPr>
            <w:tcW w:w="380" w:type="dxa"/>
            <w:vAlign w:val="bottom"/>
          </w:tcPr>
          <w:p>
            <w:pPr>
              <w:spacing w:after="0"/>
              <w:rPr>
                <w:sz w:val="19"/>
                <w:szCs w:val="19"/>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7,971</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40,533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39,190</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8,729</w:t>
            </w:r>
          </w:p>
        </w:tc>
        <w:tc>
          <w:tcPr>
            <w:tcW w:w="380" w:type="dxa"/>
            <w:vAlign w:val="bottom"/>
          </w:tcPr>
          <w:p>
            <w:pPr>
              <w:spacing w:after="0"/>
              <w:rPr>
                <w:sz w:val="19"/>
                <w:szCs w:val="19"/>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8,854</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6,072</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5,482</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10.8</w:t>
            </w:r>
          </w:p>
        </w:tc>
      </w:tr>
      <w:tr>
        <w:trPr>
          <w:trHeight w:val="230"/>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100,434</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98,258</w:t>
            </w: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23,297</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23,314</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(4,134)</w:t>
            </w:r>
          </w:p>
        </w:tc>
        <w:tc>
          <w:tcPr>
            <w:tcW w:w="38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(4,087)</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29"/>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1,252</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18,673</w:t>
            </w:r>
          </w:p>
        </w:tc>
        <w:tc>
          <w:tcPr>
            <w:tcW w:w="380" w:type="dxa"/>
            <w:vAlign w:val="bottom"/>
          </w:tcPr>
          <w:p>
            <w:pPr>
              <w:spacing w:after="0"/>
              <w:rPr>
                <w:sz w:val="19"/>
                <w:szCs w:val="19"/>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20,478</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(2,796)</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(5,371)</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(48.0)</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15,877</w:t>
            </w:r>
          </w:p>
        </w:tc>
        <w:tc>
          <w:tcPr>
            <w:tcW w:w="380" w:type="dxa"/>
            <w:vAlign w:val="bottom"/>
          </w:tcPr>
          <w:p>
            <w:pPr>
              <w:spacing w:after="0"/>
              <w:rPr>
                <w:sz w:val="19"/>
                <w:szCs w:val="19"/>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15,107</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(282)</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12.0</w:t>
            </w:r>
          </w:p>
        </w:tc>
      </w:tr>
      <w:tr>
        <w:trPr>
          <w:trHeight w:val="223"/>
        </w:trPr>
        <w:tc>
          <w:tcPr>
            <w:tcW w:w="69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62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16,192</w:t>
            </w:r>
          </w:p>
        </w:tc>
        <w:tc>
          <w:tcPr>
            <w:tcW w:w="38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0C6DFF"/>
            </w:tcBorders>
          </w:tcPr>
          <w:p>
            <w:pPr>
              <w:jc w:val="right"/>
              <w:ind w:right="291"/>
              <w:spacing w:after="0"/>
              <w:rPr>
                <w:sz w:val="20"/>
                <w:szCs w:val="20"/>
                <w:color w:val="auto"/>
              </w:rPr>
            </w:pPr>
            <w:r>
              <w:rPr>
                <w:rFonts w:ascii="Times New Roman" w:cs="Times New Roman" w:eastAsia="Times New Roman" w:hAnsi="Times New Roman"/>
                <w:sz w:val="18"/>
                <w:szCs w:val="18"/>
                <w:color w:val="auto"/>
              </w:rPr>
              <w:t>15,388</w:t>
            </w:r>
          </w:p>
        </w:tc>
        <w:tc>
          <w:tcPr>
            <w:tcW w:w="11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3.73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11.7 %</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 shareholders</w:t>
            </w: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3.71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11.7 %</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3,885</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4,122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230"/>
        </w:trPr>
        <w:tc>
          <w:tcPr>
            <w:tcW w:w="69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620" w:type="dxa"/>
            <w:vAlign w:val="bottom"/>
            <w:tcBorders>
              <w:bottom w:val="single" w:sz="8" w:color="0C6DFF"/>
            </w:tcBorders>
          </w:tcPr>
          <w:p>
            <w:pPr>
              <w:spacing w:after="0"/>
              <w:rPr>
                <w:sz w:val="19"/>
                <w:szCs w:val="19"/>
                <w:color w:val="auto"/>
              </w:rPr>
            </w:pP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3,908</w:t>
            </w:r>
          </w:p>
        </w:tc>
        <w:tc>
          <w:tcPr>
            <w:tcW w:w="380" w:type="dxa"/>
            <w:vAlign w:val="bottom"/>
            <w:tcBorders>
              <w:bottom w:val="single" w:sz="8" w:color="0C6DFF"/>
            </w:tcBorders>
          </w:tcPr>
          <w:p>
            <w:pPr>
              <w:spacing w:after="0"/>
              <w:rPr>
                <w:sz w:val="19"/>
                <w:szCs w:val="19"/>
                <w:color w:val="auto"/>
              </w:rPr>
            </w:pPr>
          </w:p>
        </w:tc>
        <w:tc>
          <w:tcPr>
            <w:tcW w:w="1240" w:type="dxa"/>
            <w:vAlign w:val="bottom"/>
            <w:tcBorders>
              <w:bottom w:val="single" w:sz="8" w:color="0C6DFF"/>
            </w:tcBorders>
          </w:tcPr>
          <w:p>
            <w:pPr>
              <w:jc w:val="right"/>
              <w:ind w:right="251"/>
              <w:spacing w:after="0"/>
              <w:rPr>
                <w:sz w:val="20"/>
                <w:szCs w:val="20"/>
                <w:color w:val="auto"/>
              </w:rPr>
            </w:pPr>
            <w:r>
              <w:rPr>
                <w:rFonts w:ascii="Times New Roman" w:cs="Times New Roman" w:eastAsia="Times New Roman" w:hAnsi="Times New Roman"/>
                <w:sz w:val="18"/>
                <w:szCs w:val="18"/>
                <w:color w:val="auto"/>
              </w:rPr>
              <w:t>4,148</w:t>
            </w:r>
          </w:p>
        </w:tc>
        <w:tc>
          <w:tcPr>
            <w:tcW w:w="11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88"/>
        </w:trPr>
        <w:tc>
          <w:tcPr>
            <w:tcW w:w="694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r>
      <w:tr>
        <w:trPr>
          <w:trHeight w:val="223"/>
        </w:trPr>
        <w:tc>
          <w:tcPr>
            <w:tcW w:w="6940" w:type="dxa"/>
            <w:vAlign w:val="bottom"/>
            <w:tcBorders>
              <w:bottom w:val="single" w:sz="8" w:color="0C6D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62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38,069</w:t>
            </w:r>
          </w:p>
        </w:tc>
        <w:tc>
          <w:tcPr>
            <w:tcW w:w="38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0C6DFF"/>
            </w:tcBorders>
          </w:tcPr>
          <w:p>
            <w:pPr>
              <w:jc w:val="right"/>
              <w:ind w:right="291"/>
              <w:spacing w:after="0"/>
              <w:rPr>
                <w:sz w:val="20"/>
                <w:szCs w:val="20"/>
                <w:color w:val="auto"/>
              </w:rPr>
            </w:pPr>
            <w:r>
              <w:rPr>
                <w:rFonts w:ascii="Times New Roman" w:cs="Times New Roman" w:eastAsia="Times New Roman" w:hAnsi="Times New Roman"/>
                <w:sz w:val="18"/>
                <w:szCs w:val="18"/>
                <w:color w:val="auto"/>
              </w:rPr>
              <w:t>37,633</w:t>
            </w:r>
          </w:p>
        </w:tc>
        <w:tc>
          <w:tcPr>
            <w:tcW w:w="11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69" w:lineRule="exact"/>
        <w:rPr>
          <w:sz w:val="20"/>
          <w:szCs w:val="20"/>
          <w:color w:val="auto"/>
        </w:rPr>
      </w:pPr>
    </w:p>
    <w:p>
      <w:pPr>
        <w:ind w:left="260" w:hanging="252"/>
        <w:spacing w:after="0" w:line="302"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44 for additional information, including our definition and our use of Adjusted EBITDA, and for a reconciliation from net income attributable to Comcast Corporation to Adjusted EBITDA.</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contributions to the change in consolidated revenue made by our Connectivity &amp; Platforms and Content &amp; Experiences businesses,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863590" cy="20059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86359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Graph is presented using a truncated scale.</w:t>
      </w:r>
    </w:p>
    <w:p>
      <w:pPr>
        <w:spacing w:after="0" w:line="221" w:lineRule="exact"/>
        <w:rPr>
          <w:sz w:val="20"/>
          <w:szCs w:val="20"/>
          <w:color w:val="auto"/>
        </w:rPr>
      </w:pPr>
    </w:p>
    <w:p>
      <w:pPr>
        <w:ind w:right="2120"/>
        <w:spacing w:after="0" w:line="374" w:lineRule="auto"/>
        <w:rPr>
          <w:sz w:val="20"/>
          <w:szCs w:val="20"/>
          <w:color w:val="auto"/>
        </w:rPr>
      </w:pPr>
      <w:r>
        <w:rPr>
          <w:rFonts w:ascii="Times New Roman" w:cs="Times New Roman" w:eastAsia="Times New Roman" w:hAnsi="Times New Roman"/>
          <w:sz w:val="18"/>
          <w:szCs w:val="18"/>
          <w:color w:val="auto"/>
        </w:rPr>
        <w:t xml:space="preserve">Revenue for our segments and other businesses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illustrates the contributions to the change in consolidated costs and expenses, excluding depreciation expense and amortization expense, made by our Connectivity &amp; Platforms and Content &amp; Experiences businesses, as well as by Corporate and Other activities, including adjustments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5863590" cy="20059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86359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Graph is presented using a truncated scale.</w:t>
      </w: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for our segments and our corporate operations and other businesses are discussed separately below under the heading “Segment Operating Results.”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006EBF"/>
        </w:rPr>
        <w:t xml:space="preserve">Consolidated depreciation and amortization expense </w:t>
      </w:r>
      <w:r>
        <w:rPr>
          <w:rFonts w:ascii="Times New Roman" w:cs="Times New Roman" w:eastAsia="Times New Roman" w:hAnsi="Times New Roman"/>
          <w:sz w:val="18"/>
          <w:szCs w:val="18"/>
          <w:color w:val="000000"/>
        </w:rPr>
        <w:t>increased in 2024 compared to 2023 primarily due to increased amortization of certain</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acquisition-related intangible assets related to the linear media business, partially offset by a decrease in depreciation of our international property and equipment and a decrease in the amortization of software.</w:t>
      </w:r>
    </w:p>
    <w:p>
      <w:pPr>
        <w:spacing w:after="0" w:line="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from acquisition-related intangible assets totaled $2.7 billion and $2.3 billion in 2024 and 2023, respectively. Amounts primarily relate to customer relationship intangible assets recorded in connection with the Sky transaction in 2018 and the NBCUniversal transaction in 2011.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33</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b w:val="1"/>
          <w:bCs w:val="1"/>
          <w:color w:val="auto"/>
        </w:rPr>
        <w:t xml:space="preserve">Consolidated interest expense </w:t>
      </w:r>
      <w:r>
        <w:rPr>
          <w:rFonts w:ascii="Times New Roman" w:cs="Times New Roman" w:eastAsia="Times New Roman" w:hAnsi="Times New Roman"/>
          <w:sz w:val="18"/>
          <w:szCs w:val="18"/>
          <w:color w:val="auto"/>
        </w:rPr>
        <w:t>increased in 2024 compared to 2023 primarily due to an increase in average debt outstanding and higher weighted-average interest rates in the current year, partially offset by interest expense in the prior year associated with a collateralized obligation that was repaid in the fourth quarter of 2023.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investment and other income (loss), net </w:t>
      </w:r>
      <w:r>
        <w:rPr>
          <w:rFonts w:ascii="Times New Roman" w:cs="Times New Roman" w:eastAsia="Times New Roman" w:hAnsi="Times New Roman"/>
          <w:sz w:val="18"/>
          <w:szCs w:val="18"/>
          <w:color w:val="auto"/>
        </w:rPr>
        <w:t>increased in 2024 compared to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3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24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2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2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63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and other income (loss), net</w:t>
            </w:r>
          </w:p>
        </w:tc>
        <w:tc>
          <w:tcPr>
            <w:tcW w:w="2440" w:type="dxa"/>
            <w:vAlign w:val="bottom"/>
            <w:tcBorders>
              <w:bottom w:val="single" w:sz="8" w:color="0C6DFF"/>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580" w:type="dxa"/>
            <w:vAlign w:val="bottom"/>
            <w:tcBorders>
              <w:bottom w:val="single" w:sz="8" w:color="0C6DFF"/>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equity in net income (losses) of investees, net in 2024 compared to 2023 was primarily due to our investment in Atairos. The income (losses) at Atairos were driven by fair value adjustments on its underlying investments with income (loss) of $(474) million and $1.1 billion in 2024 and 2023, respectively.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realized and unrealized gains (losses) on equity securities, net in 2024 compared to 2023 was primarily due to higher losses on nonmarketable securities in the current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income (loss), net in 2024 compared to 2023 primarily resulted from foreign exchange remeasurement.</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in 2024 and 2023 was 15.0% and 26.2%, respectively.</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income tax expense in 2024 was primarily driven by a tax benefit from an internal corporate reorganization completed in 2024, as well as lower domestic income before income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additional information on our income taxes.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net income (loss) attributable to noncontrolling interests in 2024 compared to 2023 was primarily due to our regional sports networks.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34</w:t>
            </w:r>
          </w:p>
        </w:tc>
      </w:tr>
      <w:tr>
        <w:trPr>
          <w:trHeight w:val="327"/>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See Note 2 for additional information on our segments.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Connectivity &amp; Platforms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40" w:type="dxa"/>
            <w:vAlign w:val="bottom"/>
            <w:gridSpan w:val="2"/>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1"/>
                <w:szCs w:val="11"/>
                <w:color w:val="auto"/>
              </w:rPr>
            </w:pPr>
          </w:p>
        </w:tc>
        <w:tc>
          <w:tcPr>
            <w:tcW w:w="12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9"/>
                <w:szCs w:val="9"/>
                <w:b w:val="1"/>
                <w:bCs w:val="1"/>
                <w:color w:val="auto"/>
              </w:rPr>
              <w:t>(b)</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71,574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71,946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9,701</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9,255</w:t>
            </w:r>
          </w:p>
        </w:tc>
        <w:tc>
          <w:tcPr>
            <w:tcW w:w="9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4.8</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81,275</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81,201</w:t>
            </w:r>
          </w:p>
        </w:tc>
        <w:tc>
          <w:tcPr>
            <w:tcW w:w="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0.1 %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27,338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26,948</w:t>
            </w: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1.4 %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5,500</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5,291</w:t>
            </w:r>
          </w:p>
        </w:tc>
        <w:tc>
          <w:tcPr>
            <w:tcW w:w="9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3.9</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32,838</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32,239</w:t>
            </w:r>
          </w:p>
        </w:tc>
        <w:tc>
          <w:tcPr>
            <w:tcW w:w="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1.9 %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38.2 %</w:t>
            </w:r>
          </w:p>
        </w:tc>
        <w:tc>
          <w:tcPr>
            <w:tcW w:w="320" w:type="dxa"/>
            <w:vAlign w:val="bottom"/>
          </w:tcPr>
          <w:p>
            <w:pPr>
              <w:spacing w:after="0"/>
              <w:rPr>
                <w:sz w:val="19"/>
                <w:szCs w:val="19"/>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37.5 %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 bps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 bps</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56.7</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57.2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 bps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 bps</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 margin</w:t>
            </w:r>
          </w:p>
        </w:tc>
        <w:tc>
          <w:tcPr>
            <w:tcW w:w="300" w:type="dxa"/>
            <w:vAlign w:val="bottom"/>
            <w:tcBorders>
              <w:bottom w:val="single" w:sz="8" w:color="0C6DFF"/>
            </w:tcBorders>
          </w:tcPr>
          <w:p>
            <w:pPr>
              <w:spacing w:after="0"/>
              <w:rPr>
                <w:sz w:val="19"/>
                <w:szCs w:val="19"/>
                <w:color w:val="auto"/>
              </w:rPr>
            </w:pPr>
          </w:p>
        </w:tc>
        <w:tc>
          <w:tcPr>
            <w:tcW w:w="9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40.4 %</w:t>
            </w:r>
          </w:p>
        </w:tc>
        <w:tc>
          <w:tcPr>
            <w:tcW w:w="320" w:type="dxa"/>
            <w:vAlign w:val="bottom"/>
            <w:tcBorders>
              <w:bottom w:val="single" w:sz="8" w:color="0C6DFF"/>
            </w:tcBorders>
          </w:tcPr>
          <w:p>
            <w:pPr>
              <w:spacing w:after="0"/>
              <w:rPr>
                <w:sz w:val="19"/>
                <w:szCs w:val="19"/>
                <w:color w:val="auto"/>
              </w:rPr>
            </w:pPr>
          </w:p>
        </w:tc>
        <w:tc>
          <w:tcPr>
            <w:tcW w:w="1220" w:type="dxa"/>
            <w:vAlign w:val="bottom"/>
            <w:tcBorders>
              <w:bottom w:val="single" w:sz="8" w:color="0C6DFF"/>
            </w:tcBorders>
          </w:tcPr>
          <w:p>
            <w:pPr>
              <w:jc w:val="right"/>
              <w:ind w:right="232"/>
              <w:spacing w:after="0"/>
              <w:rPr>
                <w:sz w:val="20"/>
                <w:szCs w:val="20"/>
                <w:color w:val="auto"/>
              </w:rPr>
            </w:pPr>
            <w:r>
              <w:rPr>
                <w:rFonts w:ascii="Times New Roman" w:cs="Times New Roman" w:eastAsia="Times New Roman" w:hAnsi="Times New Roman"/>
                <w:sz w:val="18"/>
                <w:szCs w:val="18"/>
                <w:color w:val="auto"/>
              </w:rPr>
              <w:t>39.7 %</w:t>
            </w:r>
          </w:p>
        </w:tc>
        <w:tc>
          <w:tcPr>
            <w:tcW w:w="9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 bps</w:t>
            </w:r>
          </w:p>
        </w:tc>
        <w:tc>
          <w:tcPr>
            <w:tcW w:w="12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 bps</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60" w:right="20" w:hanging="252"/>
        <w:spacing w:after="0" w:line="291"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Adjusted EBITDA margin is Adjusted EBITDA as a percentage of revenue. We believe this metric is useful particularly as we continue to focus on growing our higher-margin businesses and improving overall operating cost management. The changes reflect the year-over-year basis point changes in the rounded Adjusted EBITDA margins.</w:t>
      </w:r>
    </w:p>
    <w:p>
      <w:pPr>
        <w:spacing w:after="0" w:line="1" w:lineRule="exact"/>
        <w:rPr>
          <w:rFonts w:ascii="Times New Roman" w:cs="Times New Roman" w:eastAsia="Times New Roman" w:hAnsi="Times New Roman"/>
          <w:sz w:val="14"/>
          <w:szCs w:val="14"/>
          <w:color w:val="auto"/>
        </w:rPr>
      </w:pPr>
    </w:p>
    <w:p>
      <w:pPr>
        <w:ind w:left="260" w:hanging="252"/>
        <w:spacing w:after="0" w:line="282" w:lineRule="auto"/>
        <w:tabs>
          <w:tab w:leader="none" w:pos="25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44 for additional information, including our definition and our use of constant currency, and for a reconciliation of constant currency amounts.</w:t>
      </w:r>
    </w:p>
    <w:p>
      <w:pPr>
        <w:spacing w:after="0" w:line="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focus on growing our higher-margin connectivity businesses while managing overall operating costs. We also continue to invest in our network to support higher-speed broadband offerings and to expand the number of homes and businesses passed. A competitive environment, which has increased in recent years, has had negative impacts on our customer relationships additions/(losses). In addition, government funding for the Affordable Connectivity Program, which provided a monthly discount towards broadband service for eligible low-income households, expired during the second quarter of 2024, which had a negative impact on our residential domestic broadband customer relationships. We believe our residential connectivity revenue will increase as a result of growth in average domestic broadband revenue per customer, as well as increases in domestic wireless and international connectivity revenue. At the same time, we expect continued declines in video revenue as a result of domestic customer net losses due to shifting video consumption patterns and the competitive environment, although customer net losses typically mitigate the impact of continued rate increases on programming expenses. We also expect continued declines in other revenue related to declines in wireline voice revenue. We believe our Business Services Connectivity segment will continue to grow by offering competitive services, including enterprise solutions.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35</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Connectivity &amp; Platforms Customer Metrics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color w:val="auto"/>
              </w:rPr>
              <w:t>Net Additions / (Losses)</w:t>
            </w:r>
          </w:p>
        </w:tc>
        <w:tc>
          <w:tcPr>
            <w:tcW w:w="0" w:type="dxa"/>
            <w:vAlign w:val="bottom"/>
          </w:tcPr>
          <w:p>
            <w:pPr>
              <w:spacing w:after="0"/>
              <w:rPr>
                <w:sz w:val="1"/>
                <w:szCs w:val="1"/>
                <w:color w:val="auto"/>
              </w:rPr>
            </w:pPr>
          </w:p>
        </w:tc>
      </w:tr>
      <w:tr>
        <w:trPr>
          <w:trHeight w:val="2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7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Domestic Residential Connectivity &amp; Platforms customer relationships</w:t>
            </w:r>
            <w:r>
              <w:rPr>
                <w:rFonts w:ascii="Times New Roman" w:cs="Times New Roman" w:eastAsia="Times New Roman" w:hAnsi="Times New Roman"/>
                <w:sz w:val="23"/>
                <w:szCs w:val="23"/>
                <w:color w:val="auto"/>
                <w:vertAlign w:val="superscript"/>
              </w:rPr>
              <w:t>(a)</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31,172</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31,648</w:t>
            </w: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(476)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International Residential Connectivity &amp; Platforms customer relationships</w:t>
            </w:r>
            <w:r>
              <w:rPr>
                <w:rFonts w:ascii="Times New Roman" w:cs="Times New Roman" w:eastAsia="Times New Roman" w:hAnsi="Times New Roman"/>
                <w:sz w:val="23"/>
                <w:szCs w:val="23"/>
                <w:color w:val="auto"/>
                <w:vertAlign w:val="superscript"/>
              </w:rPr>
              <w:t>(a)</w:t>
            </w:r>
          </w:p>
        </w:tc>
        <w:tc>
          <w:tcPr>
            <w:tcW w:w="17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17,811</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17,847</w:t>
            </w:r>
          </w:p>
        </w:tc>
        <w:tc>
          <w:tcPr>
            <w:tcW w:w="12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(36)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65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Business Services Connectivity customer relationships</w:t>
            </w:r>
            <w:r>
              <w:rPr>
                <w:rFonts w:ascii="Times New Roman" w:cs="Times New Roman" w:eastAsia="Times New Roman" w:hAnsi="Times New Roman"/>
                <w:sz w:val="23"/>
                <w:szCs w:val="23"/>
                <w:color w:val="auto"/>
                <w:vertAlign w:val="superscript"/>
              </w:rPr>
              <w:t>(b)</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2,626</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2,641</w:t>
            </w: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Connectivity &amp; Platforms customer relationships</w:t>
            </w:r>
          </w:p>
        </w:tc>
        <w:tc>
          <w:tcPr>
            <w:tcW w:w="17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51,609</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52,136</w:t>
            </w:r>
          </w:p>
        </w:tc>
        <w:tc>
          <w:tcPr>
            <w:tcW w:w="12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(527)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Broadband</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Residential customers</w:t>
            </w:r>
          </w:p>
        </w:tc>
        <w:tc>
          <w:tcPr>
            <w:tcW w:w="17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29,373</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29,748</w:t>
            </w:r>
          </w:p>
        </w:tc>
        <w:tc>
          <w:tcPr>
            <w:tcW w:w="12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(375)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 customers</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2,469</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2,505</w:t>
            </w: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(36)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broadband customers</w:t>
            </w:r>
          </w:p>
        </w:tc>
        <w:tc>
          <w:tcPr>
            <w:tcW w:w="17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31,842</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32,253</w:t>
            </w:r>
          </w:p>
        </w:tc>
        <w:tc>
          <w:tcPr>
            <w:tcW w:w="12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(411)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Wireless</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domestic wireless lines</w:t>
            </w:r>
            <w:r>
              <w:rPr>
                <w:rFonts w:ascii="Times New Roman" w:cs="Times New Roman" w:eastAsia="Times New Roman" w:hAnsi="Times New Roman"/>
                <w:sz w:val="23"/>
                <w:szCs w:val="23"/>
                <w:color w:val="auto"/>
                <w:vertAlign w:val="superscript"/>
              </w:rPr>
              <w:t>(c)</w:t>
            </w:r>
          </w:p>
        </w:tc>
        <w:tc>
          <w:tcPr>
            <w:tcW w:w="17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7,826</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6,588</w:t>
            </w:r>
          </w:p>
        </w:tc>
        <w:tc>
          <w:tcPr>
            <w:tcW w:w="12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1,237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Video</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video customers</w:t>
            </w:r>
          </w:p>
        </w:tc>
        <w:tc>
          <w:tcPr>
            <w:tcW w:w="17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12,523</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14,106</w:t>
            </w:r>
          </w:p>
        </w:tc>
        <w:tc>
          <w:tcPr>
            <w:tcW w:w="12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(1,583)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homes and businesses passed</w:t>
            </w:r>
            <w:r>
              <w:rPr>
                <w:rFonts w:ascii="Times New Roman" w:cs="Times New Roman" w:eastAsia="Times New Roman" w:hAnsi="Times New Roman"/>
                <w:sz w:val="23"/>
                <w:szCs w:val="23"/>
                <w:color w:val="auto"/>
                <w:vertAlign w:val="superscript"/>
              </w:rPr>
              <w:t>(d)</w:t>
            </w:r>
          </w:p>
        </w:tc>
        <w:tc>
          <w:tcPr>
            <w:tcW w:w="17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63,692</w:t>
            </w: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62,457</w:t>
            </w:r>
          </w:p>
        </w:tc>
        <w:tc>
          <w:tcPr>
            <w:tcW w:w="1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auto"/>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Domestic broadband penetration of homes and businesses passed</w:t>
            </w:r>
            <w:r>
              <w:rPr>
                <w:rFonts w:ascii="Times New Roman" w:cs="Times New Roman" w:eastAsia="Times New Roman" w:hAnsi="Times New Roman"/>
                <w:sz w:val="23"/>
                <w:szCs w:val="23"/>
                <w:color w:val="auto"/>
                <w:vertAlign w:val="superscript"/>
              </w:rPr>
              <w:t>(e)</w:t>
            </w:r>
          </w:p>
        </w:tc>
        <w:tc>
          <w:tcPr>
            <w:tcW w:w="17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49.8 %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60" w:hanging="252"/>
        <w:spacing w:after="0" w:line="254"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w:t>
      </w:r>
    </w:p>
    <w:p>
      <w:pPr>
        <w:spacing w:after="0" w:line="1" w:lineRule="exact"/>
        <w:rPr>
          <w:rFonts w:ascii="Times New Roman" w:cs="Times New Roman" w:eastAsia="Times New Roman" w:hAnsi="Times New Roman"/>
          <w:sz w:val="14"/>
          <w:szCs w:val="14"/>
          <w:color w:val="auto"/>
        </w:rPr>
      </w:pPr>
    </w:p>
    <w:p>
      <w:pPr>
        <w:jc w:val="both"/>
        <w:ind w:left="260" w:hanging="252"/>
        <w:spacing w:after="0" w:line="261" w:lineRule="auto"/>
        <w:tabs>
          <w:tab w:leader="none" w:pos="25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Services Connectivity customer metrics are generally counted based on the number of locations receiving services, including locations within our network in the United States, as well as locations outside of our network both in the United States and internationally. Certain arrangements whereby third parties provide connectivity services leveraging our network are also generally counted based on the number of locations served.</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wireless lines represent the number of residential and business customers’ wireless devices. An individual customer relationship may have multiple wireless lines.</w:t>
      </w:r>
    </w:p>
    <w:p>
      <w:pPr>
        <w:spacing w:after="0" w:line="41" w:lineRule="exact"/>
        <w:rPr>
          <w:rFonts w:ascii="Times New Roman" w:cs="Times New Roman" w:eastAsia="Times New Roman" w:hAnsi="Times New Roman"/>
          <w:sz w:val="14"/>
          <w:szCs w:val="14"/>
          <w:color w:val="auto"/>
        </w:rPr>
      </w:pPr>
    </w:p>
    <w:p>
      <w:pPr>
        <w:ind w:left="260" w:hanging="252"/>
        <w:spacing w:after="0" w:line="261" w:lineRule="auto"/>
        <w:tabs>
          <w:tab w:leader="none" w:pos="25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Connectivity &amp; Platforms domestic homes and businesses are considered passed if we can connect them to our network in the United States without further extending the transmission lines. Homes and businesses passed is an estimate based on the best available information.</w:t>
      </w: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domestic customers located within our network by the number of domestic homes and businesses passed.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0" w:type="dxa"/>
            <w:vAlign w:val="bottom"/>
            <w:gridSpan w:val="2"/>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4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169"/>
        </w:trPr>
        <w:tc>
          <w:tcPr>
            <w:tcW w:w="59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Average monthly total Connectivity &amp; Platforms revenue per customer</w:t>
            </w: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130.57</w:t>
            </w: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0.9 %</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0.4 %</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relationship</w:t>
            </w:r>
          </w:p>
        </w:tc>
        <w:tc>
          <w:tcPr>
            <w:tcW w:w="40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480" w:type="dxa"/>
            <w:vAlign w:val="bottom"/>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monthly total Connectivity &amp; Platforms Adjusted EBITDA per customer</w:t>
            </w: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52.75</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2.7 %</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relationship</w:t>
            </w:r>
          </w:p>
        </w:tc>
        <w:tc>
          <w:tcPr>
            <w:tcW w:w="4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48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hanging="252"/>
        <w:spacing w:after="0" w:line="282" w:lineRule="auto"/>
        <w:tabs>
          <w:tab w:leader="none" w:pos="2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 section on page 44 for additional information, including our definition and our use of constant currency, and for a reconciliation of constant currency amounts.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36</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Connectivity &amp; Platforms — Supplemental Costs and Expenses Information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includes each segment’s direct costs and an allocation of shared costs.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gridSpan w:val="2"/>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4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496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(g)</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16,881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Technical and support</w:t>
            </w:r>
            <w:r>
              <w:rPr>
                <w:rFonts w:ascii="Times New Roman" w:cs="Times New Roman" w:eastAsia="Times New Roman" w:hAnsi="Times New Roman"/>
                <w:sz w:val="23"/>
                <w:szCs w:val="23"/>
                <w:color w:val="auto"/>
                <w:vertAlign w:val="superscript"/>
              </w:rPr>
              <w:t>(b)</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4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2.7</w:t>
            </w:r>
          </w:p>
        </w:tc>
        <w:tc>
          <w:tcPr>
            <w:tcW w:w="132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Direct product costs</w:t>
            </w:r>
            <w:r>
              <w:rPr>
                <w:rFonts w:ascii="Times New Roman" w:cs="Times New Roman" w:eastAsia="Times New Roman" w:hAnsi="Times New Roman"/>
                <w:sz w:val="23"/>
                <w:szCs w:val="23"/>
                <w:color w:val="auto"/>
                <w:vertAlign w:val="superscript"/>
              </w:rPr>
              <w:t>(c)</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6,607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48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7.5</w:t>
            </w:r>
          </w:p>
        </w:tc>
        <w:tc>
          <w:tcPr>
            <w:tcW w:w="1320" w:type="dxa"/>
            <w:vAlign w:val="bottom"/>
          </w:tcPr>
          <w:p>
            <w:pPr>
              <w:jc w:val="center"/>
              <w:ind w:left="514"/>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Marketing and promotion</w:t>
            </w:r>
            <w:r>
              <w:rPr>
                <w:rFonts w:ascii="Times New Roman" w:cs="Times New Roman" w:eastAsia="Times New Roman" w:hAnsi="Times New Roman"/>
                <w:sz w:val="23"/>
                <w:szCs w:val="23"/>
                <w:color w:val="auto"/>
                <w:vertAlign w:val="superscript"/>
              </w:rPr>
              <w:t>(d)</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4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1.1</w:t>
            </w:r>
          </w:p>
        </w:tc>
        <w:tc>
          <w:tcPr>
            <w:tcW w:w="132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b w:val="1"/>
                <w:bCs w:val="1"/>
                <w:color w:val="auto"/>
              </w:rPr>
              <w:t>0.6</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Customer service</w:t>
            </w:r>
            <w:r>
              <w:rPr>
                <w:rFonts w:ascii="Times New Roman" w:cs="Times New Roman" w:eastAsia="Times New Roman" w:hAnsi="Times New Roman"/>
                <w:sz w:val="23"/>
                <w:szCs w:val="23"/>
                <w:color w:val="auto"/>
                <w:vertAlign w:val="superscript"/>
              </w:rPr>
              <w:t>(e)</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480" w:type="dxa"/>
            <w:vAlign w:val="bottom"/>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(1.9)</w:t>
            </w:r>
          </w:p>
        </w:tc>
        <w:tc>
          <w:tcPr>
            <w:tcW w:w="1320" w:type="dxa"/>
            <w:vAlign w:val="bottom"/>
          </w:tcPr>
          <w:p>
            <w:pPr>
              <w:jc w:val="center"/>
              <w:ind w:left="494"/>
              <w:spacing w:after="0"/>
              <w:rPr>
                <w:sz w:val="20"/>
                <w:szCs w:val="20"/>
                <w:color w:val="auto"/>
              </w:rPr>
            </w:pPr>
            <w:r>
              <w:rPr>
                <w:rFonts w:ascii="Times New Roman" w:cs="Times New Roman" w:eastAsia="Times New Roman" w:hAnsi="Times New Roman"/>
                <w:sz w:val="18"/>
                <w:szCs w:val="18"/>
                <w:b w:val="1"/>
                <w:bCs w:val="1"/>
                <w:color w:val="auto"/>
                <w:w w:val="98"/>
              </w:rPr>
              <w:t>(2.3)</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9,828</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48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b w:val="1"/>
                <w:bCs w:val="1"/>
                <w:color w:val="auto"/>
                <w:w w:val="98"/>
              </w:rPr>
              <w:t>(0.6)</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costs and expenses</w:t>
            </w:r>
          </w:p>
        </w:tc>
        <w:tc>
          <w:tcPr>
            <w:tcW w:w="142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48,438</w:t>
            </w:r>
          </w:p>
        </w:tc>
        <w:tc>
          <w:tcPr>
            <w:tcW w:w="38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1480" w:type="dxa"/>
            <w:vAlign w:val="bottom"/>
            <w:tcBorders>
              <w:bottom w:val="single" w:sz="8" w:color="0C6DFF"/>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w:t>
            </w:r>
          </w:p>
        </w:tc>
        <w:tc>
          <w:tcPr>
            <w:tcW w:w="13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60" w:hanging="252"/>
        <w:spacing w:after="0" w:line="275" w:lineRule="auto"/>
        <w:tabs>
          <w:tab w:leader="none" w:pos="25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ind w:left="260" w:right="20" w:hanging="252"/>
        <w:spacing w:after="0" w:line="281" w:lineRule="auto"/>
        <w:tabs>
          <w:tab w:leader="none" w:pos="25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support expenses primarily consists of costs for labor to complete service call and installation activities; and costs for network operations and satellite transmission, product development, fulfillment and provisioning.</w:t>
      </w:r>
    </w:p>
    <w:p>
      <w:pPr>
        <w:spacing w:after="0" w:line="1" w:lineRule="exact"/>
        <w:rPr>
          <w:rFonts w:ascii="Times New Roman" w:cs="Times New Roman" w:eastAsia="Times New Roman" w:hAnsi="Times New Roman"/>
          <w:sz w:val="14"/>
          <w:szCs w:val="14"/>
          <w:color w:val="auto"/>
        </w:rPr>
      </w:pPr>
    </w:p>
    <w:p>
      <w:pPr>
        <w:ind w:left="260" w:right="20" w:hanging="252"/>
        <w:spacing w:after="0" w:line="291" w:lineRule="auto"/>
        <w:tabs>
          <w:tab w:leader="none" w:pos="25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product costs primarily consists of access fees related to using wireless and broadband networks owned by third parties to deliver our services and costs of products sold, including wireless devices and Sky Glass smart televisions.</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 expenses primarily consists of the costs associated with attracting new customers and promoting our service offerings.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expenses primarily consists of the personnel and other costs associated with customer service and certain selling activities.</w:t>
      </w:r>
    </w:p>
    <w:p>
      <w:pPr>
        <w:spacing w:after="0" w:line="41" w:lineRule="exact"/>
        <w:rPr>
          <w:rFonts w:ascii="Times New Roman" w:cs="Times New Roman" w:eastAsia="Times New Roman" w:hAnsi="Times New Roman"/>
          <w:sz w:val="14"/>
          <w:szCs w:val="14"/>
          <w:color w:val="auto"/>
        </w:rPr>
      </w:pPr>
    </w:p>
    <w:p>
      <w:pPr>
        <w:ind w:left="260" w:hanging="252"/>
        <w:spacing w:after="0" w:line="291" w:lineRule="auto"/>
        <w:tabs>
          <w:tab w:leader="none" w:pos="25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primarily consists of administrative personnel costs; franchise and other regulatory fees; fees paid to third parties where we sell advertising on their behalf; bad debt; building and office expenses, taxes and billing costs; and other business, headquarters and support costs necessary to operate the Connectivity &amp; Platforms business.</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25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44 for additional information, including our definition and our use of constant currency, and for a reconciliation of constant currency amounts.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Residential Connectivity &amp; Platforms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40" w:type="dxa"/>
            <w:vAlign w:val="bottom"/>
            <w:gridSpan w:val="2"/>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1"/>
                <w:szCs w:val="11"/>
                <w:color w:val="auto"/>
              </w:rPr>
            </w:pPr>
          </w:p>
        </w:tc>
        <w:tc>
          <w:tcPr>
            <w:tcW w:w="130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broadband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26,228</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25,489</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2.9 %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2.9 %</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wireless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4,273</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3,664</w:t>
            </w:r>
          </w:p>
        </w:tc>
        <w:tc>
          <w:tcPr>
            <w:tcW w:w="11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16.6</w:t>
            </w: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16.6</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4,854</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4,207</w:t>
            </w: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15.4</w:t>
            </w: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35,355</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33,359</w:t>
            </w:r>
          </w:p>
        </w:tc>
        <w:tc>
          <w:tcPr>
            <w:tcW w:w="11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6.0</w:t>
            </w: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26,872</w:t>
            </w:r>
          </w:p>
        </w:tc>
        <w:tc>
          <w:tcPr>
            <w:tcW w:w="400" w:type="dxa"/>
            <w:vAlign w:val="bottom"/>
          </w:tcPr>
          <w:p>
            <w:pPr>
              <w:spacing w:after="0"/>
              <w:rPr>
                <w:sz w:val="19"/>
                <w:szCs w:val="19"/>
                <w:color w:val="auto"/>
              </w:rPr>
            </w:pP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28,797</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(6.7)</w:t>
            </w: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4,089</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3,969</w:t>
            </w:r>
          </w:p>
        </w:tc>
        <w:tc>
          <w:tcPr>
            <w:tcW w:w="11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3.0</w:t>
            </w: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5,259</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5,820</w:t>
            </w:r>
          </w:p>
        </w:tc>
        <w:tc>
          <w:tcPr>
            <w:tcW w:w="11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(9.6)</w:t>
            </w: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71,574</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71,946</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(0.5)</w:t>
            </w:r>
          </w:p>
        </w:tc>
        <w:tc>
          <w:tcPr>
            <w:tcW w:w="1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16,881</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18,067</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(6.6)</w:t>
            </w:r>
          </w:p>
        </w:tc>
        <w:tc>
          <w:tcPr>
            <w:tcW w:w="1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27,355</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26,932</w:t>
            </w: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1.6</w:t>
            </w: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44,237</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44,998</w:t>
            </w: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(1.7)</w:t>
            </w:r>
          </w:p>
        </w:tc>
        <w:tc>
          <w:tcPr>
            <w:tcW w:w="1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27,338</w:t>
            </w:r>
          </w:p>
        </w:tc>
        <w:tc>
          <w:tcPr>
            <w:tcW w:w="4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0C6DFF"/>
            </w:tcBorders>
          </w:tcPr>
          <w:p>
            <w:pPr>
              <w:jc w:val="right"/>
              <w:ind w:right="451"/>
              <w:spacing w:after="0"/>
              <w:rPr>
                <w:sz w:val="20"/>
                <w:szCs w:val="20"/>
                <w:color w:val="auto"/>
              </w:rPr>
            </w:pPr>
            <w:r>
              <w:rPr>
                <w:rFonts w:ascii="Times New Roman" w:cs="Times New Roman" w:eastAsia="Times New Roman" w:hAnsi="Times New Roman"/>
                <w:sz w:val="18"/>
                <w:szCs w:val="18"/>
                <w:color w:val="auto"/>
              </w:rPr>
              <w:t>26,948</w:t>
            </w:r>
          </w:p>
        </w:tc>
        <w:tc>
          <w:tcPr>
            <w:tcW w:w="1120" w:type="dxa"/>
            <w:vAlign w:val="bottom"/>
            <w:tcBorders>
              <w:bottom w:val="single" w:sz="8" w:color="0C6DFF"/>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1.4 %</w:t>
            </w:r>
          </w:p>
        </w:tc>
        <w:tc>
          <w:tcPr>
            <w:tcW w:w="13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0" w:hanging="252"/>
        <w:spacing w:after="0" w:line="302" w:lineRule="auto"/>
        <w:tabs>
          <w:tab w:leader="none" w:pos="25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44 for additional information, including our definition and our use of constant currency, and for a reconciliation of constant currency amounts.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37</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Revenue</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006EBF"/>
        </w:rPr>
        <w:t xml:space="preserve">Domestic broadband revenue </w:t>
      </w:r>
      <w:r>
        <w:rPr>
          <w:rFonts w:ascii="Times New Roman" w:cs="Times New Roman" w:eastAsia="Times New Roman" w:hAnsi="Times New Roman"/>
          <w:sz w:val="18"/>
          <w:szCs w:val="18"/>
          <w:color w:val="000000"/>
        </w:rPr>
        <w:t>primarily consists of revenue from sales of broadband services to residential customers in the United States, including</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equipment and installation services. Domestic broadband revenue also includes revenue related to Xumo Stream Boxes and commission revenue from the sale of certain DTC streaming services.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broadband revenue increased in 2024 primarily due to an increase in average rates.</w:t>
      </w:r>
    </w:p>
    <w:p>
      <w:pPr>
        <w:spacing w:after="0" w:line="116"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006EBF"/>
        </w:rPr>
        <w:t xml:space="preserve">Domestic wireless revenue </w:t>
      </w:r>
      <w:r>
        <w:rPr>
          <w:rFonts w:ascii="Times New Roman" w:cs="Times New Roman" w:eastAsia="Times New Roman" w:hAnsi="Times New Roman"/>
          <w:sz w:val="18"/>
          <w:szCs w:val="18"/>
          <w:color w:val="000000"/>
        </w:rPr>
        <w:t>primarily consists of revenue from sales of wireless services and devices, including handsets, tablets and smart watches, to</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residential customers in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wireless revenue increased in 2024 primarily due to an increase in the number of customer lines and device sales.</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006EBF"/>
        </w:rPr>
        <w:t xml:space="preserve">International connectivity revenue </w:t>
      </w:r>
      <w:r>
        <w:rPr>
          <w:rFonts w:ascii="Times New Roman" w:cs="Times New Roman" w:eastAsia="Times New Roman" w:hAnsi="Times New Roman"/>
          <w:sz w:val="18"/>
          <w:szCs w:val="18"/>
          <w:color w:val="000000"/>
        </w:rPr>
        <w:t>primarily consists of revenue from sales of broadband services, including equipment and installation services,</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wireless services and wireless devices to residential customers in the United Kingdom and Italy, as well as commission revenue from the sale of certain third-party DTC streaming services.</w:t>
      </w:r>
    </w:p>
    <w:p>
      <w:pPr>
        <w:spacing w:after="0" w:line="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connectivity revenue increased in 2024 primarily due to an increase in broadband revenue resulting from an increase in average rates and an increase in wireless revenue primarily resulting from an increase in the sale of wireless services. This increase includes the positive impact of foreign currency.</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006EBF"/>
        </w:rPr>
        <w:t xml:space="preserve">Video revenue </w:t>
      </w:r>
      <w:r>
        <w:rPr>
          <w:rFonts w:ascii="Times New Roman" w:cs="Times New Roman" w:eastAsia="Times New Roman" w:hAnsi="Times New Roman"/>
          <w:sz w:val="18"/>
          <w:szCs w:val="18"/>
          <w:color w:val="000000"/>
        </w:rPr>
        <w:t>primarily consists of revenue from sales of video services to residential and business customers across the Connectivity &amp; Platforms</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markets, including equipment and installation services. Video revenue includes pay-per-view and other transactional revenue and franchise fees, as well as revenue from sales of certain hardware, including Sky Glass smart televisions.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Video revenue decreased in 2024 due to declines in the overall number of video customers, partially offset by an overall increase in average rates.</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006EBF"/>
        </w:rPr>
        <w:t xml:space="preserve">Advertising revenue </w:t>
      </w:r>
      <w:r>
        <w:rPr>
          <w:rFonts w:ascii="Times New Roman" w:cs="Times New Roman" w:eastAsia="Times New Roman" w:hAnsi="Times New Roman"/>
          <w:sz w:val="18"/>
          <w:szCs w:val="18"/>
          <w:color w:val="000000"/>
        </w:rPr>
        <w:t>primarily consists of revenue from the sale of advertising across our platforms in the Connectivity &amp; Platforms markets, including</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advertising as part of our distribution agreements with cable networks in the United States, and advertising on Sky-branded entertainment television networks and on our digital properties. Advertising also includes revenue where we enter into representation agreements under which we sell advertising on behalf of third parties and from our advanced advertising businesses.</w:t>
      </w:r>
    </w:p>
    <w:p>
      <w:pPr>
        <w:spacing w:after="0" w:line="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revenue increased in 2024 primarily driven by an increase in domestic political advertising, partially offset by lower domestic nonpolitical advertising.</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006EBF"/>
        </w:rPr>
        <w:t xml:space="preserve">Other revenue </w:t>
      </w:r>
      <w:r>
        <w:rPr>
          <w:rFonts w:ascii="Times New Roman" w:cs="Times New Roman" w:eastAsia="Times New Roman" w:hAnsi="Times New Roman"/>
          <w:sz w:val="18"/>
          <w:szCs w:val="18"/>
          <w:color w:val="000000"/>
        </w:rPr>
        <w:t>primarily consists of revenue in the Connectivity &amp; Platforms markets from sales of wireline voice services to residential customers; our</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residential security and automation services businesses; the licensing of our technology platforms to other multichannel video providers; the distribution of certain of our Sky-branded entertainment television networks to third-party video service providers; commissions from electronic retailing networks; and certain billing and collection fees.</w:t>
      </w:r>
    </w:p>
    <w:p>
      <w:pPr>
        <w:spacing w:after="0" w:line="20" w:lineRule="exact"/>
        <w:rPr>
          <w:sz w:val="20"/>
          <w:szCs w:val="20"/>
          <w:color w:val="auto"/>
        </w:rPr>
      </w:pPr>
    </w:p>
    <w:p>
      <w:pPr>
        <w:ind w:right="740"/>
        <w:spacing w:after="0" w:line="366" w:lineRule="auto"/>
        <w:rPr>
          <w:sz w:val="20"/>
          <w:szCs w:val="20"/>
          <w:color w:val="auto"/>
        </w:rPr>
      </w:pPr>
      <w:r>
        <w:rPr>
          <w:rFonts w:ascii="Times New Roman" w:cs="Times New Roman" w:eastAsia="Times New Roman" w:hAnsi="Times New Roman"/>
          <w:sz w:val="18"/>
          <w:szCs w:val="18"/>
          <w:color w:val="auto"/>
        </w:rPr>
        <w:t xml:space="preserve">Other revenue decreased in 2024 primarily due to a decrease in residential wireline voice revenue driven by a decline in the number of customers. </w:t>
      </w:r>
      <w:r>
        <w:rPr>
          <w:rFonts w:ascii="Arial" w:cs="Arial" w:eastAsia="Arial" w:hAnsi="Arial"/>
          <w:sz w:val="18"/>
          <w:szCs w:val="18"/>
          <w:b w:val="1"/>
          <w:bCs w:val="1"/>
          <w:color w:val="auto"/>
        </w:rPr>
        <w:t>Residential Connectivity &amp; Platforms Segment – Costs and Expenses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Programming expenses </w:t>
      </w:r>
      <w:r>
        <w:rPr>
          <w:rFonts w:ascii="Times New Roman" w:cs="Times New Roman" w:eastAsia="Times New Roman" w:hAnsi="Times New Roman"/>
          <w:sz w:val="18"/>
          <w:szCs w:val="18"/>
          <w:color w:val="000000"/>
        </w:rPr>
        <w:t>decreased in 2024 primarily due to a decline in the number of domestic video subscribers, partially offset by domestic</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contractual rate increases.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Other expenses </w:t>
      </w:r>
      <w:r>
        <w:rPr>
          <w:rFonts w:ascii="Times New Roman" w:cs="Times New Roman" w:eastAsia="Times New Roman" w:hAnsi="Times New Roman"/>
          <w:sz w:val="18"/>
          <w:szCs w:val="18"/>
          <w:color w:val="000000"/>
        </w:rPr>
        <w:t>increased in 2024 primarily due to an increase in direct product costs, the impact of foreign currency and higher technical and support</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costs, partially offset by lower severance charges in 2024 compared to severance and other charges in 2023.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327"/>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Business Services Connectivity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vMerge w:val="restart"/>
          </w:tcPr>
          <w:p>
            <w:pPr>
              <w:jc w:val="right"/>
              <w:ind w:right="435"/>
              <w:spacing w:after="0"/>
              <w:rPr>
                <w:sz w:val="20"/>
                <w:szCs w:val="20"/>
                <w:color w:val="auto"/>
              </w:rPr>
            </w:pPr>
            <w:r>
              <w:rPr>
                <w:rFonts w:ascii="Times New Roman" w:cs="Times New Roman" w:eastAsia="Times New Roman" w:hAnsi="Times New Roman"/>
                <w:sz w:val="14"/>
                <w:szCs w:val="14"/>
                <w:color w:val="auto"/>
              </w:rPr>
              <w:t>2023</w:t>
            </w:r>
          </w:p>
        </w:tc>
        <w:tc>
          <w:tcPr>
            <w:tcW w:w="1300" w:type="dxa"/>
            <w:vAlign w:val="bottom"/>
            <w:tcBorders>
              <w:top w:val="single" w:sz="8" w:color="auto"/>
            </w:tcBorders>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9,701</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9,255</w:t>
            </w: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4.8 %</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4,201</w:t>
            </w: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rPr>
              <w:t>3,964</w:t>
            </w:r>
          </w:p>
        </w:tc>
        <w:tc>
          <w:tcPr>
            <w:tcW w:w="13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80" w:type="dxa"/>
            <w:vAlign w:val="bottom"/>
            <w:tcBorders>
              <w:bottom w:val="single" w:sz="8" w:color="0C6D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560" w:type="dxa"/>
            <w:vAlign w:val="bottom"/>
            <w:tcBorders>
              <w:bottom w:val="single" w:sz="8" w:color="0C6D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0C6DFF"/>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5,291</w:t>
            </w:r>
          </w:p>
        </w:tc>
        <w:tc>
          <w:tcPr>
            <w:tcW w:w="1300" w:type="dxa"/>
            <w:vAlign w:val="bottom"/>
            <w:tcBorders>
              <w:bottom w:val="single" w:sz="8" w:color="0C6D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3.9 %</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006EBF"/>
        </w:rPr>
        <w:t xml:space="preserve">Business services connectivity revenue </w:t>
      </w:r>
      <w:r>
        <w:rPr>
          <w:rFonts w:ascii="Times New Roman" w:cs="Times New Roman" w:eastAsia="Times New Roman" w:hAnsi="Times New Roman"/>
          <w:sz w:val="18"/>
          <w:szCs w:val="18"/>
          <w:color w:val="000000"/>
        </w:rPr>
        <w:t>primarily consists of revenue from our service offerings for small business locations in the United States, which</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include broadband, wireline voice and wireless services, as well as our enterprise solutions offerings, and our business connectivity service offerings in the United Kingdom.</w:t>
      </w:r>
    </w:p>
    <w:p>
      <w:pPr>
        <w:spacing w:after="0" w:line="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services connectivity revenue increased in 2024 primarily due to an increase in revenue from enterprise solutions offerings and from higher rates from small business customers.</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Business services connectivity costs and expenses </w:t>
      </w:r>
      <w:r>
        <w:rPr>
          <w:rFonts w:ascii="Times New Roman" w:cs="Times New Roman" w:eastAsia="Times New Roman" w:hAnsi="Times New Roman"/>
          <w:sz w:val="18"/>
          <w:szCs w:val="18"/>
          <w:color w:val="000000"/>
        </w:rPr>
        <w:t>increased in 2024 primarily due to increases in direct product costs, marketing and promotion</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expenses, and technical and support expenses. Severance charges in 2024 were consistent compared to severance and other charges in 2023.</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Content &amp; Experiences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1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55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Media</w:t>
            </w:r>
          </w:p>
        </w:tc>
        <w:tc>
          <w:tcPr>
            <w:tcW w:w="2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28,148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25,355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11.0 %</w:t>
            </w:r>
          </w:p>
        </w:tc>
      </w:tr>
      <w:tr>
        <w:trPr>
          <w:trHeight w:val="229"/>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Studios</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11,625</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3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Theme Parks</w:t>
            </w:r>
          </w:p>
        </w:tc>
        <w:tc>
          <w:tcPr>
            <w:tcW w:w="2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8,617</w:t>
            </w:r>
          </w:p>
        </w:tc>
        <w:tc>
          <w:tcPr>
            <w:tcW w:w="40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8,947</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3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Headquarters and Other</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(21.7)</w:t>
            </w:r>
          </w:p>
        </w:tc>
      </w:tr>
      <w:tr>
        <w:trPr>
          <w:trHeight w:val="230"/>
        </w:trPr>
        <w:tc>
          <w:tcPr>
            <w:tcW w:w="5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2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(2,798)</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(2,800)</w:t>
            </w:r>
          </w:p>
        </w:tc>
        <w:tc>
          <w:tcPr>
            <w:tcW w:w="11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23"/>
        </w:trPr>
        <w:tc>
          <w:tcPr>
            <w:tcW w:w="55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revenue</w:t>
            </w:r>
          </w:p>
        </w:tc>
        <w:tc>
          <w:tcPr>
            <w:tcW w:w="22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45,108</w:t>
            </w:r>
          </w:p>
        </w:tc>
        <w:tc>
          <w:tcPr>
            <w:tcW w:w="4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43,191</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Media</w:t>
            </w:r>
          </w:p>
        </w:tc>
        <w:tc>
          <w:tcPr>
            <w:tcW w:w="2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2,955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r>
      <w:tr>
        <w:trPr>
          <w:trHeight w:val="23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Studios</w:t>
            </w:r>
          </w:p>
        </w:tc>
        <w:tc>
          <w:tcPr>
            <w:tcW w:w="2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c>
          <w:tcPr>
            <w:tcW w:w="40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1,269</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10.7</w:t>
            </w:r>
          </w:p>
        </w:tc>
      </w:tr>
      <w:tr>
        <w:trPr>
          <w:trHeight w:val="229"/>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Theme Parks</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3,345</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(11.8)</w:t>
            </w:r>
          </w:p>
        </w:tc>
      </w:tr>
      <w:tr>
        <w:trPr>
          <w:trHeight w:val="23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Headquarters and Other</w:t>
            </w:r>
          </w:p>
        </w:tc>
        <w:tc>
          <w:tcPr>
            <w:tcW w:w="2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w:t>
            </w:r>
          </w:p>
        </w:tc>
        <w:tc>
          <w:tcPr>
            <w:tcW w:w="40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(946)</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12.2</w:t>
            </w:r>
          </w:p>
        </w:tc>
      </w:tr>
      <w:tr>
        <w:trPr>
          <w:trHeight w:val="230"/>
        </w:trPr>
        <w:tc>
          <w:tcPr>
            <w:tcW w:w="55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2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5.9</w:t>
            </w:r>
          </w:p>
        </w:tc>
      </w:tr>
      <w:tr>
        <w:trPr>
          <w:trHeight w:val="223"/>
        </w:trPr>
        <w:tc>
          <w:tcPr>
            <w:tcW w:w="55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Adjusted EBITDA</w:t>
            </w:r>
          </w:p>
        </w:tc>
        <w:tc>
          <w:tcPr>
            <w:tcW w:w="22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6,735</w:t>
            </w:r>
          </w:p>
        </w:tc>
        <w:tc>
          <w:tcPr>
            <w:tcW w:w="4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tcPr>
          <w:p>
            <w:pPr>
              <w:jc w:val="right"/>
              <w:ind w:right="271"/>
              <w:spacing w:after="0"/>
              <w:rPr>
                <w:sz w:val="20"/>
                <w:szCs w:val="20"/>
                <w:color w:val="auto"/>
              </w:rPr>
            </w:pPr>
            <w:r>
              <w:rPr>
                <w:rFonts w:ascii="Times New Roman" w:cs="Times New Roman" w:eastAsia="Times New Roman" w:hAnsi="Times New Roman"/>
                <w:sz w:val="18"/>
                <w:szCs w:val="18"/>
                <w:color w:val="auto"/>
              </w:rPr>
              <w:t>6,700</w:t>
            </w:r>
          </w:p>
        </w:tc>
        <w:tc>
          <w:tcPr>
            <w:tcW w:w="11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0.5 %</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continued growth in paid subscribers and advertising revenue at Peacock. We expect to continue to incur significant costs related to content and marketing at Peacock. Revenue and programming expenses are also impacted by the timing of certain sporting events, including the Olympics in the third quarter of 2024 and our acquisition of NBA rights, which begin in 2025.</w:t>
      </w:r>
    </w:p>
    <w:p>
      <w:pPr>
        <w:spacing w:after="0" w:line="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 The Writers Guild and the SAG work stoppages from May to September 2023 and July to November 2023, respectively, resulted in reduced content licensing revenue at our Studios segment and reduced programming and production costs at both our Studios and Media segments in 2023.</w:t>
      </w:r>
    </w:p>
    <w:p>
      <w:pPr>
        <w:spacing w:after="0" w:line="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significantly in existing and new theme park attractions, hotels and infrastructure, including Epic Universe in Orlando, which we expect will open in May 2025, as well as in new destinations and experiences, which we believe will have a positive impact on attendance and guest spending at our theme parks.</w:t>
      </w:r>
    </w:p>
    <w:p>
      <w:pPr>
        <w:spacing w:after="0" w:line="200" w:lineRule="exact"/>
        <w:rPr>
          <w:sz w:val="20"/>
          <w:szCs w:val="20"/>
          <w:color w:val="auto"/>
        </w:rPr>
      </w:pPr>
    </w:p>
    <w:p>
      <w:pPr>
        <w:spacing w:after="0" w:line="280"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39</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Media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48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 advertising</w:t>
            </w:r>
          </w:p>
        </w:tc>
        <w:tc>
          <w:tcPr>
            <w:tcW w:w="2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8,600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16.4 %</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distribution</w:t>
            </w:r>
          </w:p>
        </w:tc>
        <w:tc>
          <w:tcPr>
            <w:tcW w:w="2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10,663</w:t>
            </w: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10.9</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 networks</w:t>
            </w:r>
          </w:p>
        </w:tc>
        <w:tc>
          <w:tcPr>
            <w:tcW w:w="2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4,282</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4,109</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29"/>
        </w:trPr>
        <w:tc>
          <w:tcPr>
            <w:tcW w:w="4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9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1,983</w:t>
            </w:r>
          </w:p>
        </w:tc>
        <w:tc>
          <w:tcPr>
            <w:tcW w:w="11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28,148</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25,355</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18,968</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16,921</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12.1</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2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1,389</w:t>
            </w: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229"/>
        </w:trPr>
        <w:tc>
          <w:tcPr>
            <w:tcW w:w="4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4,577</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4,091</w:t>
            </w:r>
          </w:p>
        </w:tc>
        <w:tc>
          <w:tcPr>
            <w:tcW w:w="11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11.9</w:t>
            </w:r>
          </w:p>
        </w:tc>
      </w:tr>
      <w:tr>
        <w:trPr>
          <w:trHeight w:val="223"/>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9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25,017</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22,400</w:t>
            </w:r>
          </w:p>
        </w:tc>
        <w:tc>
          <w:tcPr>
            <w:tcW w:w="11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11.7</w:t>
            </w:r>
          </w:p>
        </w:tc>
      </w:tr>
      <w:tr>
        <w:trPr>
          <w:trHeight w:val="223"/>
        </w:trPr>
        <w:tc>
          <w:tcPr>
            <w:tcW w:w="48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2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3,130</w:t>
            </w:r>
          </w:p>
        </w:tc>
        <w:tc>
          <w:tcPr>
            <w:tcW w:w="4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tcPr>
          <w:p>
            <w:pPr>
              <w:jc w:val="right"/>
              <w:ind w:right="272"/>
              <w:spacing w:after="0"/>
              <w:rPr>
                <w:sz w:val="20"/>
                <w:szCs w:val="20"/>
                <w:color w:val="auto"/>
              </w:rPr>
            </w:pPr>
            <w:r>
              <w:rPr>
                <w:rFonts w:ascii="Times New Roman" w:cs="Times New Roman" w:eastAsia="Times New Roman" w:hAnsi="Times New Roman"/>
                <w:sz w:val="18"/>
                <w:szCs w:val="18"/>
                <w:color w:val="auto"/>
              </w:rPr>
              <w:t>2,955</w:t>
            </w:r>
          </w:p>
        </w:tc>
        <w:tc>
          <w:tcPr>
            <w:tcW w:w="11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increased in 2024 primarily due to the Paris Olympics in 2024. Excluding incremental revenue associated with this event, revenue increased in 2024 driven by increases in domestic distribution and international networks revenue.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55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28,148</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25,355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11.0 %</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revenue, excluding Olympics</w:t>
            </w:r>
          </w:p>
        </w:tc>
        <w:tc>
          <w:tcPr>
            <w:tcW w:w="2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26,242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25,355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3.5 %</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domestic advertising revenue</w:t>
            </w:r>
          </w:p>
        </w:tc>
        <w:tc>
          <w:tcPr>
            <w:tcW w:w="2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8,600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16.4 %</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Domestic advertising revenue, excluding Olympics</w:t>
            </w:r>
          </w:p>
        </w:tc>
        <w:tc>
          <w:tcPr>
            <w:tcW w:w="2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8,576</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8,600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(0.3) %</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distribution revenue</w:t>
            </w:r>
          </w:p>
        </w:tc>
        <w:tc>
          <w:tcPr>
            <w:tcW w:w="2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10,663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10.9 %</w:t>
            </w:r>
          </w:p>
        </w:tc>
      </w:tr>
      <w:tr>
        <w:trPr>
          <w:trHeight w:val="23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Olympics</w:t>
            </w:r>
          </w:p>
        </w:tc>
        <w:tc>
          <w:tcPr>
            <w:tcW w:w="2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Domestic distribution revenue, excluding Olympics</w:t>
            </w:r>
          </w:p>
        </w:tc>
        <w:tc>
          <w:tcPr>
            <w:tcW w:w="2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11,353</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10,663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6.5 %</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2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Domestic advertising revenue </w:t>
      </w:r>
      <w:r>
        <w:rPr>
          <w:rFonts w:ascii="Times New Roman" w:cs="Times New Roman" w:eastAsia="Times New Roman" w:hAnsi="Times New Roman"/>
          <w:sz w:val="18"/>
          <w:szCs w:val="18"/>
          <w:color w:val="000000"/>
        </w:rPr>
        <w:t>primarily consists of revenue generated from sales of advertising on our linear television networks, Peacock and other</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digital properties operating predominantly in the United States.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advertising revenue increased in 2024 primarily due to the Paris Olympics in 2024. Excluding incremental revenue associated with this event, domestic advertising revenue remained consistent in 2024 primarily due to a decrease in revenue at our linear television networks, offset by an increase in revenue at Peacock.</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006EBF"/>
        </w:rPr>
        <w:t xml:space="preserve">Domestic distribution revenue </w:t>
      </w:r>
      <w:r>
        <w:rPr>
          <w:rFonts w:ascii="Times New Roman" w:cs="Times New Roman" w:eastAsia="Times New Roman" w:hAnsi="Times New Roman"/>
          <w:sz w:val="18"/>
          <w:szCs w:val="18"/>
          <w:color w:val="000000"/>
        </w:rPr>
        <w:t>primarily consists of revenue generated from the distribution of our television networks operating predominantly in the</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United States to traditional and virtual multichannel video providers, and from NBC-affiliated and Telemundo-affiliated local broadcast television stations. Our revenue from distribution agreements is generally based on the number of subscribers receiving the programming on our television networks and a per subscriber fee. Distribution revenue also includes Peacock subscription fees.</w:t>
      </w:r>
    </w:p>
    <w:p>
      <w:pPr>
        <w:spacing w:after="0" w:line="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Domestic distribution revenue increased in 2024, including the impact of the Paris Olympics in 2024. Excluding incremental revenue associated with this event, domestic distribution revenue increased in 2024 primarily due to an increase in Peacock paid subscribers, partially offset by a decrease in revenue at our linear television networks. The decrease at our networks was primarily due to a decline in the number of subscribers, partially offset by contractual rate increases.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006EBF"/>
        </w:rPr>
        <w:t xml:space="preserve">International networks revenue </w:t>
      </w:r>
      <w:r>
        <w:rPr>
          <w:rFonts w:ascii="Times New Roman" w:cs="Times New Roman" w:eastAsia="Times New Roman" w:hAnsi="Times New Roman"/>
          <w:sz w:val="18"/>
          <w:szCs w:val="18"/>
          <w:color w:val="000000"/>
        </w:rPr>
        <w:t>primarily consists of revenue generated by our networks operating predominantly outside the United States, including</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the Sky Sports networks in the United Kingdom and Italy. This revenue primarily results from the distribution of our television networks to traditional and virtual multichannel video providers and other platforms, as well as sales of advertising. A significant portion of this revenue comes from the Residential Connectivity &amp; Platforms segment.</w:t>
      </w:r>
    </w:p>
    <w:p>
      <w:pPr>
        <w:spacing w:after="0" w:line="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 networks revenue increased in 2024 primarily due to an increase in revenue associated with the distribution of sports networks and the positive impact of foreign currency.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Other revenue </w:t>
      </w:r>
      <w:r>
        <w:rPr>
          <w:rFonts w:ascii="Times New Roman" w:cs="Times New Roman" w:eastAsia="Times New Roman" w:hAnsi="Times New Roman"/>
          <w:sz w:val="18"/>
          <w:szCs w:val="18"/>
          <w:color w:val="000000"/>
        </w:rPr>
        <w:t>primarily consists of revenue generated from various digital properties and the licensing of our owned content and technology.</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Media segment total revenue included $4.9 billion and $3.4 billion related to Peacock in 2024 and 2023, respectively, including amounts related to the Paris Olympics in 2024. We had 36 million and 31 million paid subscribers of Peacock as of 2024 and 2023, respectively. Peacock paid subscribers represent customers from which we recognize distribution revenue, including both customers that pay us directly and customers receiving the service through arrangements with companies who sell Peacock on our behalf. In these arrangements, paid subscribers are counted based on the terms of the arrangement when the related revenue is recognized. As a result, certain customers are counted when they activate their account, while other customers are counted when the Peacock service is made available to them as part of their bundled service offering regardless of whether it is activated.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Costs and Expenses</w:t>
      </w:r>
    </w:p>
    <w:p>
      <w:pPr>
        <w:spacing w:after="0" w:line="11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Programming and production costs </w:t>
      </w:r>
      <w:r>
        <w:rPr>
          <w:rFonts w:ascii="Times New Roman" w:cs="Times New Roman" w:eastAsia="Times New Roman" w:hAnsi="Times New Roman"/>
          <w:sz w:val="18"/>
          <w:szCs w:val="18"/>
          <w:color w:val="000000"/>
        </w:rPr>
        <w:t>primarily consists of the amortization of owned and licensed content, including sports rights, direct production</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costs, production overhead, on-air talent costs and costs associated with the distribution of our television networks to multichannel video providers.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Programming and production costs increased in 2024 primarily due to costs associated with the Paris Olympics, an increase in other sports programming costs for our domestic television networks, the impact of foreign currency, an increase in entertainment content costs for our television networks, including the impact of the Writers Guild and SAG work stoppages in the prior year, and higher programming costs at Peacock.</w:t>
      </w:r>
    </w:p>
    <w:p>
      <w:pPr>
        <w:spacing w:after="0" w:line="67"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006EBF"/>
        </w:rPr>
        <w:t xml:space="preserve">Marketing and promotion expenses </w:t>
      </w:r>
      <w:r>
        <w:rPr>
          <w:rFonts w:ascii="Times New Roman" w:cs="Times New Roman" w:eastAsia="Times New Roman" w:hAnsi="Times New Roman"/>
          <w:sz w:val="18"/>
          <w:szCs w:val="18"/>
          <w:color w:val="000000"/>
        </w:rPr>
        <w:t>primarily consists of the costs associated with promoting our television networks, Peacock and other digital</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properties.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and promotion expenses increased in 2024 primarily due to increased costs associated with the Paris Olympics, partially offset by lower costs related to marketing for entertainment programming.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Other expenses </w:t>
      </w:r>
      <w:r>
        <w:rPr>
          <w:rFonts w:ascii="Times New Roman" w:cs="Times New Roman" w:eastAsia="Times New Roman" w:hAnsi="Times New Roman"/>
          <w:sz w:val="18"/>
          <w:szCs w:val="18"/>
          <w:color w:val="000000"/>
        </w:rPr>
        <w:t>primarily consists of salaries, employee benefits, rent and other overhead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increased in 2024 primarily due to an increase in costs related to Peacock and higher severance charges in 2024.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Media segment total costs and expenses included $6.7 billion and $6.1 billion related to Peacock in 2024 and 2023, respectively, including amounts related to the Paris Olympics in 2024.</w:t>
      </w:r>
    </w:p>
    <w:p>
      <w:pPr>
        <w:spacing w:after="0" w:line="200" w:lineRule="exact"/>
        <w:rPr>
          <w:sz w:val="20"/>
          <w:szCs w:val="20"/>
          <w:color w:val="auto"/>
        </w:rPr>
      </w:pPr>
    </w:p>
    <w:p>
      <w:pPr>
        <w:spacing w:after="0" w:line="212"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41</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Studios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7"/>
                <w:szCs w:val="17"/>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48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2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8,231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29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1,693</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2,079</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(18.6)</w:t>
            </w:r>
          </w:p>
        </w:tc>
      </w:tr>
      <w:tr>
        <w:trPr>
          <w:trHeight w:val="230"/>
        </w:trPr>
        <w:tc>
          <w:tcPr>
            <w:tcW w:w="4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1,315</w:t>
            </w:r>
          </w:p>
        </w:tc>
        <w:tc>
          <w:tcPr>
            <w:tcW w:w="11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11,092</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11,625</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9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7,257</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7,958</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2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380" w:type="dxa"/>
            <w:vAlign w:val="bottom"/>
          </w:tcPr>
          <w:p>
            <w:pPr>
              <w:spacing w:after="0"/>
              <w:rPr>
                <w:sz w:val="19"/>
                <w:szCs w:val="19"/>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1,579</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229"/>
        </w:trPr>
        <w:tc>
          <w:tcPr>
            <w:tcW w:w="4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818</w:t>
            </w:r>
          </w:p>
        </w:tc>
        <w:tc>
          <w:tcPr>
            <w:tcW w:w="11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15.7</w:t>
            </w:r>
          </w:p>
        </w:tc>
      </w:tr>
      <w:tr>
        <w:trPr>
          <w:trHeight w:val="22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9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9,687</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10,356</w:t>
            </w:r>
          </w:p>
        </w:tc>
        <w:tc>
          <w:tcPr>
            <w:tcW w:w="11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223"/>
        </w:trPr>
        <w:tc>
          <w:tcPr>
            <w:tcW w:w="48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40" w:type="dxa"/>
            <w:vAlign w:val="bottom"/>
            <w:tcBorders>
              <w:bottom w:val="single" w:sz="8" w:color="0C6D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c>
          <w:tcPr>
            <w:tcW w:w="380" w:type="dxa"/>
            <w:vAlign w:val="bottom"/>
            <w:tcBorders>
              <w:bottom w:val="single" w:sz="8" w:color="0C6D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0C6D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1,269</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10.7 %</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006EBF"/>
        </w:rPr>
        <w:t xml:space="preserve">Content licensing revenue </w:t>
      </w:r>
      <w:r>
        <w:rPr>
          <w:rFonts w:ascii="Times New Roman" w:cs="Times New Roman" w:eastAsia="Times New Roman" w:hAnsi="Times New Roman"/>
          <w:sz w:val="18"/>
          <w:szCs w:val="18"/>
          <w:color w:val="000000"/>
        </w:rPr>
        <w:t>primarily relates to the licensing of our owned film and television content in the United States and internationally to television</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networks and DTC streaming service providers, as well as through video on demand services provided by multichannel video providers and other service providers.</w:t>
      </w:r>
    </w:p>
    <w:p>
      <w:pPr>
        <w:spacing w:after="0" w:line="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Content licensing revenue decreased in 2024 primarily due to the timing of when content was made available by our film studios, partially offset by the timing of when content was made available by our television studios under licensing agreements, including the impact of the Writers Guild and SAG work stoppages in the prior year.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Theatrical revenue </w:t>
      </w:r>
      <w:r>
        <w:rPr>
          <w:rFonts w:ascii="Times New Roman" w:cs="Times New Roman" w:eastAsia="Times New Roman" w:hAnsi="Times New Roman"/>
          <w:sz w:val="18"/>
          <w:szCs w:val="18"/>
          <w:color w:val="000000"/>
        </w:rPr>
        <w:t>primarily relates to the worldwide distribution of our produced and acquired films for exhibition in movie theaters.</w:t>
      </w:r>
    </w:p>
    <w:p>
      <w:pPr>
        <w:spacing w:after="0" w:line="6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Theatrical revenue decreased in 2024 primarily due to higher revenue from releases in our 2023 slate, including </w:t>
      </w:r>
      <w:r>
        <w:rPr>
          <w:rFonts w:ascii="Times New Roman" w:cs="Times New Roman" w:eastAsia="Times New Roman" w:hAnsi="Times New Roman"/>
          <w:sz w:val="18"/>
          <w:szCs w:val="18"/>
          <w:i w:val="1"/>
          <w:iCs w:val="1"/>
          <w:color w:val="auto"/>
        </w:rPr>
        <w:t>The Super Mario Bros. Movie,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Oppenheimer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Fast X, </w:t>
      </w:r>
      <w:r>
        <w:rPr>
          <w:rFonts w:ascii="Times New Roman" w:cs="Times New Roman" w:eastAsia="Times New Roman" w:hAnsi="Times New Roman"/>
          <w:sz w:val="18"/>
          <w:szCs w:val="18"/>
          <w:color w:val="auto"/>
        </w:rPr>
        <w:t>compared to revenue from releases in our 2024 slate, including</w:t>
      </w:r>
      <w:r>
        <w:rPr>
          <w:rFonts w:ascii="Times New Roman" w:cs="Times New Roman" w:eastAsia="Times New Roman" w:hAnsi="Times New Roman"/>
          <w:sz w:val="18"/>
          <w:szCs w:val="18"/>
          <w:i w:val="1"/>
          <w:iCs w:val="1"/>
          <w:color w:val="auto"/>
        </w:rPr>
        <w:t xml:space="preserve"> Despicable Me 4, Wicked, and Kung Fu Panda 4</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Other revenue </w:t>
      </w:r>
      <w:r>
        <w:rPr>
          <w:rFonts w:ascii="Times New Roman" w:cs="Times New Roman" w:eastAsia="Times New Roman" w:hAnsi="Times New Roman"/>
          <w:sz w:val="18"/>
          <w:szCs w:val="18"/>
          <w:color w:val="000000"/>
        </w:rPr>
        <w:t>primarily consists of the sale of physical and digital home entertainment products, as well as the production and licensing of live stage</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plays and the distribution of content produced by third parties.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Costs and Expenses</w:t>
      </w:r>
    </w:p>
    <w:p>
      <w:pPr>
        <w:spacing w:after="0" w:line="11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Programming and production costs </w:t>
      </w:r>
      <w:r>
        <w:rPr>
          <w:rFonts w:ascii="Times New Roman" w:cs="Times New Roman" w:eastAsia="Times New Roman" w:hAnsi="Times New Roman"/>
          <w:sz w:val="18"/>
          <w:szCs w:val="18"/>
          <w:color w:val="000000"/>
        </w:rPr>
        <w:t>primarily consists of the amortization of capitalized film and television production and acquisition costs; residuals</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and participations expenses; and distribution expenses.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Programming and production costs decreased in 2024 primarily due to lower costs associated with theatrical releases, partially offset by higher costs associated with content licensing sales, including the impact of the Writers Guild and SAG work stoppages in the prior year.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Marketing and promotion expenses </w:t>
      </w:r>
      <w:r>
        <w:rPr>
          <w:rFonts w:ascii="Times New Roman" w:cs="Times New Roman" w:eastAsia="Times New Roman" w:hAnsi="Times New Roman"/>
          <w:sz w:val="18"/>
          <w:szCs w:val="18"/>
          <w:color w:val="000000"/>
        </w:rPr>
        <w:t>primarily consists of expenses associated with advertising for our theatrical releases.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and promotion expenses decreased in 2024 primarily due to decreased spending on current year and upcoming theatrical film releases.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Other expenses </w:t>
      </w:r>
      <w:r>
        <w:rPr>
          <w:rFonts w:ascii="Times New Roman" w:cs="Times New Roman" w:eastAsia="Times New Roman" w:hAnsi="Times New Roman"/>
          <w:sz w:val="18"/>
          <w:szCs w:val="18"/>
          <w:color w:val="000000"/>
        </w:rPr>
        <w:t>include salaries, employee benefits, rent and other overhead expenses.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0"/>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7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w w:val="99"/>
              </w:rPr>
              <w:t>2023 to 2024</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7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8,617</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8,947</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3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5,668</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5,602</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23"/>
        </w:trPr>
        <w:tc>
          <w:tcPr>
            <w:tcW w:w="40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780" w:type="dxa"/>
            <w:vAlign w:val="bottom"/>
            <w:tcBorders>
              <w:bottom w:val="single" w:sz="8" w:color="0C6D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w:t>
            </w:r>
          </w:p>
        </w:tc>
        <w:tc>
          <w:tcPr>
            <w:tcW w:w="44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3,345</w:t>
            </w:r>
          </w:p>
        </w:tc>
        <w:tc>
          <w:tcPr>
            <w:tcW w:w="10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r>
      <w:tr>
        <w:trPr>
          <w:trHeight w:val="807"/>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3780" w:type="dxa"/>
            <w:vAlign w:val="bottom"/>
          </w:tcPr>
          <w:p>
            <w:pPr>
              <w:jc w:val="right"/>
              <w:ind w:right="2096"/>
              <w:spacing w:after="0"/>
              <w:rPr>
                <w:sz w:val="20"/>
                <w:szCs w:val="20"/>
                <w:color w:val="auto"/>
              </w:rPr>
            </w:pPr>
            <w:r>
              <w:rPr>
                <w:rFonts w:ascii="Times New Roman" w:cs="Times New Roman" w:eastAsia="Times New Roman" w:hAnsi="Times New Roman"/>
                <w:sz w:val="14"/>
                <w:szCs w:val="14"/>
                <w:b w:val="1"/>
                <w:bCs w:val="1"/>
                <w:color w:val="auto"/>
              </w:rPr>
              <w:t>42</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8"/>
        </w:trPr>
        <w:tc>
          <w:tcPr>
            <w:tcW w:w="40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Theme parks segment revenue </w:t>
      </w:r>
      <w:r>
        <w:rPr>
          <w:rFonts w:ascii="Times New Roman" w:cs="Times New Roman" w:eastAsia="Times New Roman" w:hAnsi="Times New Roman"/>
          <w:sz w:val="18"/>
          <w:szCs w:val="18"/>
          <w:color w:val="000000"/>
        </w:rPr>
        <w:t>primarily relates to guest spending at our theme parks, including ticket sales and in-park spending, and to our consumer</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products business.</w:t>
      </w:r>
    </w:p>
    <w:p>
      <w:pPr>
        <w:spacing w:after="0" w:line="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Theme park segment revenue decreased in 2024 primarily due to decreases at our domestic theme parks primarily driven by decreased park attendance, as well as the negative impact of foreign currency at our international theme parks.</w:t>
      </w:r>
    </w:p>
    <w:p>
      <w:pPr>
        <w:spacing w:after="0" w:line="5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Theme parks segment costs and expenses </w:t>
      </w:r>
      <w:r>
        <w:rPr>
          <w:rFonts w:ascii="Times New Roman" w:cs="Times New Roman" w:eastAsia="Times New Roman" w:hAnsi="Times New Roman"/>
          <w:sz w:val="18"/>
          <w:szCs w:val="18"/>
          <w:color w:val="000000"/>
        </w:rPr>
        <w:t>primarily consists of theme park operations, including repairs and maintenance and related administrative</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expenses; food, beverage and merchandise costs; labor costs; and sales and marketing costs.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Theme parks segment costs and expenses increased in 2024 primarily due to higher costs associated with park operations and preopening costs for Epic Universe, partially offset by the impact of foreign currency. We expect to incur additional preopening costs for Epic Universe ahead of the expected opening in May 2025.</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Content &amp; Experiences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006EBF"/>
        </w:rPr>
        <w:t>Headquarters and Other Results of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0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48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r>
      <w:tr>
        <w:trPr>
          <w:trHeight w:val="229"/>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1,010</w:t>
            </w:r>
          </w:p>
        </w:tc>
        <w:tc>
          <w:tcPr>
            <w:tcW w:w="11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(12.8)</w:t>
            </w:r>
          </w:p>
        </w:tc>
      </w:tr>
      <w:tr>
        <w:trPr>
          <w:trHeight w:val="223"/>
        </w:trPr>
        <w:tc>
          <w:tcPr>
            <w:tcW w:w="48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w:t>
            </w:r>
          </w:p>
        </w:tc>
        <w:tc>
          <w:tcPr>
            <w:tcW w:w="440" w:type="dxa"/>
            <w:vAlign w:val="bottom"/>
            <w:tcBorders>
              <w:bottom w:val="single" w:sz="8" w:color="0C6D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0C6D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(946)</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and Other expenses primarily consists of overhead, personnel and other costs necessary to operate the Content &amp; Experiences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decreased in 2024 primarily due to higher severance charges in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Eliminations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48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(2,798)</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(2,800)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3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(2,880)</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(2,877)</w:t>
            </w:r>
          </w:p>
        </w:tc>
        <w:tc>
          <w:tcPr>
            <w:tcW w:w="11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23"/>
        </w:trPr>
        <w:tc>
          <w:tcPr>
            <w:tcW w:w="48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4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4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increase or decrease to the extent that additional content is made available to our other segments within the Content &amp; Experiences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for additional information on transactions between our segments.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48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b w:val="1"/>
                <w:bCs w:val="1"/>
                <w:color w:val="auto"/>
                <w:w w:val="98"/>
              </w:rPr>
              <w:t>2,933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r>
      <w:tr>
        <w:trPr>
          <w:trHeight w:val="23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8"/>
                <w:szCs w:val="18"/>
                <w:b w:val="1"/>
                <w:bCs w:val="1"/>
                <w:color w:val="auto"/>
                <w:w w:val="98"/>
              </w:rPr>
              <w:t>4,308</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4,098</w:t>
            </w:r>
          </w:p>
        </w:tc>
        <w:tc>
          <w:tcPr>
            <w:tcW w:w="11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23"/>
        </w:trPr>
        <w:tc>
          <w:tcPr>
            <w:tcW w:w="48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4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rPr>
              <w:t>(1,376)</w:t>
            </w:r>
          </w:p>
        </w:tc>
        <w:tc>
          <w:tcPr>
            <w:tcW w:w="4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(1,335)</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primarily consists of overhead and personnel costs; Sky-branded video services and television networks in Germany; Comcast Spectacor, which owns the Philadelphia Flyers and the Wells Fargo Center arena in Philadelphia, Pennsylvania; and Xumo, our consolidated streaming platform joint venture.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Corporate and Other revenue </w:t>
      </w:r>
      <w:r>
        <w:rPr>
          <w:rFonts w:ascii="Times New Roman" w:cs="Times New Roman" w:eastAsia="Times New Roman" w:hAnsi="Times New Roman"/>
          <w:sz w:val="18"/>
          <w:szCs w:val="18"/>
          <w:color w:val="000000"/>
        </w:rPr>
        <w:t>increased in 2024 reflecting higher revenue across each of our other businesses.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006EBF"/>
        </w:rPr>
        <w:t xml:space="preserve">Corporate and Other costs and expenses </w:t>
      </w:r>
      <w:r>
        <w:rPr>
          <w:rFonts w:ascii="Times New Roman" w:cs="Times New Roman" w:eastAsia="Times New Roman" w:hAnsi="Times New Roman"/>
          <w:sz w:val="18"/>
          <w:szCs w:val="18"/>
          <w:color w:val="000000"/>
        </w:rPr>
        <w:t>increased in 2024 primarily due to increases related to corporate functions and increased marketing</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associated with the Paris Olympics, partially offset by lower costs related to Sky operations in Germany, including charges related to entertainment content and the impact of the timing of recognition of costs in the prior year as a result of the 2022 FIFA World Cup. We will have expanded German broadcast rights to Bundesliga beginning with the 2025/2026 season, which will result in an increase in programming and production costs.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43</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48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(5,583)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29"/>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(5,611)</w:t>
            </w:r>
          </w:p>
        </w:tc>
        <w:tc>
          <w:tcPr>
            <w:tcW w:w="11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23"/>
        </w:trPr>
        <w:tc>
          <w:tcPr>
            <w:tcW w:w="48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4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4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Borders>
              <w:bottom w:val="single" w:sz="8" w:color="0C6D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NM</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Amounts are affected by the periodic broadcast of the Olympic Games, including the Paris Olympics in 2024. Refer to Note 2 for additional information on transactions between our segments.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7115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from Net Income Attributable to Comcast Corporation to Adjusted EBITDA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6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2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16,192</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8,729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6,072</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30"/>
        </w:trPr>
        <w:tc>
          <w:tcPr>
            <w:tcW w:w="62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(a)</w:t>
            </w:r>
          </w:p>
        </w:tc>
        <w:tc>
          <w:tcPr>
            <w:tcW w:w="2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2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0" w:type="dxa"/>
            <w:vAlign w:val="bottom"/>
            <w:tcBorders>
              <w:bottom w:val="single" w:sz="8" w:color="0C6D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38,069</w:t>
            </w:r>
          </w:p>
        </w:tc>
        <w:tc>
          <w:tcPr>
            <w:tcW w:w="520" w:type="dxa"/>
            <w:vAlign w:val="bottom"/>
            <w:tcBorders>
              <w:bottom w:val="single" w:sz="8" w:color="0C6D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37,633</w:t>
            </w:r>
          </w:p>
        </w:tc>
      </w:tr>
    </w:tbl>
    <w:p>
      <w:pPr>
        <w:spacing w:after="0" w:line="85" w:lineRule="exact"/>
        <w:rPr>
          <w:sz w:val="20"/>
          <w:szCs w:val="20"/>
          <w:color w:val="auto"/>
        </w:rPr>
      </w:pPr>
    </w:p>
    <w:p>
      <w:pPr>
        <w:ind w:left="260" w:right="20" w:hanging="252"/>
        <w:spacing w:after="0" w:line="302" w:lineRule="auto"/>
        <w:tabs>
          <w:tab w:leader="none" w:pos="25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impact of certain events, gains, losses or other charges that are excluded from Adjusted EBITDA, including costs associated with the Spin-off and costs related to our investment portfolio.</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44</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Reconciliation of Connectivity &amp; Platforms Constant Currency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00" w:type="dxa"/>
            <w:vAlign w:val="bottom"/>
          </w:tcPr>
          <w:p>
            <w:pPr>
              <w:spacing w:after="0"/>
              <w:rPr>
                <w:sz w:val="11"/>
                <w:szCs w:val="11"/>
                <w:color w:val="auto"/>
              </w:rPr>
            </w:pPr>
          </w:p>
        </w:tc>
        <w:tc>
          <w:tcPr>
            <w:tcW w:w="1100" w:type="dxa"/>
            <w:vAlign w:val="bottom"/>
            <w:gridSpan w:val="2"/>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As Reported</w:t>
            </w:r>
          </w:p>
        </w:tc>
        <w:tc>
          <w:tcPr>
            <w:tcW w:w="1160" w:type="dxa"/>
            <w:vAlign w:val="bottom"/>
            <w:gridSpan w:val="3"/>
          </w:tcPr>
          <w:p>
            <w:pPr>
              <w:jc w:val="center"/>
              <w:ind w:left="16"/>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220" w:type="dxa"/>
            <w:vAlign w:val="bottom"/>
          </w:tcPr>
          <w:p>
            <w:pPr>
              <w:spacing w:after="0"/>
              <w:rPr>
                <w:sz w:val="11"/>
                <w:szCs w:val="11"/>
                <w:color w:val="auto"/>
              </w:rPr>
            </w:pPr>
          </w:p>
        </w:tc>
        <w:tc>
          <w:tcPr>
            <w:tcW w:w="128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color w:val="auto"/>
              </w:rPr>
              <w:t>Currency</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71,946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72,301</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9,255</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9,256</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81,201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81,557</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27,008</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5,291</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5,291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32,239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32,299</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37.5 %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 bps</w:t>
            </w:r>
          </w:p>
        </w:tc>
        <w:tc>
          <w:tcPr>
            <w:tcW w:w="22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bps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 margin</w:t>
            </w:r>
          </w:p>
        </w:tc>
        <w:tc>
          <w:tcPr>
            <w:tcW w:w="300" w:type="dxa"/>
            <w:vAlign w:val="bottom"/>
            <w:tcBorders>
              <w:bottom w:val="single" w:sz="8" w:color="0C6DFF"/>
            </w:tcBorders>
          </w:tcPr>
          <w:p>
            <w:pPr>
              <w:spacing w:after="0"/>
              <w:rPr>
                <w:sz w:val="19"/>
                <w:szCs w:val="19"/>
                <w:color w:val="auto"/>
              </w:rPr>
            </w:pPr>
          </w:p>
        </w:tc>
        <w:tc>
          <w:tcPr>
            <w:tcW w:w="180" w:type="dxa"/>
            <w:vAlign w:val="bottom"/>
            <w:tcBorders>
              <w:bottom w:val="single" w:sz="8" w:color="0C6DFF"/>
            </w:tcBorders>
          </w:tcPr>
          <w:p>
            <w:pPr>
              <w:spacing w:after="0"/>
              <w:rPr>
                <w:sz w:val="19"/>
                <w:szCs w:val="19"/>
                <w:color w:val="auto"/>
              </w:rPr>
            </w:pPr>
          </w:p>
        </w:tc>
        <w:tc>
          <w:tcPr>
            <w:tcW w:w="920" w:type="dxa"/>
            <w:vAlign w:val="bottom"/>
            <w:tcBorders>
              <w:bottom w:val="single" w:sz="8" w:color="0C6DFF"/>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39.7 %</w:t>
            </w:r>
          </w:p>
        </w:tc>
        <w:tc>
          <w:tcPr>
            <w:tcW w:w="140" w:type="dxa"/>
            <w:vAlign w:val="bottom"/>
            <w:tcBorders>
              <w:bottom w:val="single" w:sz="8" w:color="0C6DFF"/>
            </w:tcBorders>
          </w:tcPr>
          <w:p>
            <w:pPr>
              <w:spacing w:after="0"/>
              <w:rPr>
                <w:sz w:val="19"/>
                <w:szCs w:val="19"/>
                <w:color w:val="auto"/>
              </w:rPr>
            </w:pPr>
          </w:p>
        </w:tc>
        <w:tc>
          <w:tcPr>
            <w:tcW w:w="160" w:type="dxa"/>
            <w:vAlign w:val="bottom"/>
            <w:tcBorders>
              <w:bottom w:val="single" w:sz="8" w:color="0C6DFF"/>
            </w:tcBorders>
          </w:tcPr>
          <w:p>
            <w:pPr>
              <w:spacing w:after="0"/>
              <w:rPr>
                <w:sz w:val="19"/>
                <w:szCs w:val="19"/>
                <w:color w:val="auto"/>
              </w:rPr>
            </w:pPr>
          </w:p>
        </w:tc>
        <w:tc>
          <w:tcPr>
            <w:tcW w:w="1080" w:type="dxa"/>
            <w:vAlign w:val="bottom"/>
            <w:tcBorders>
              <w:bottom w:val="single" w:sz="8" w:color="0C6DFF"/>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 bps</w:t>
            </w:r>
          </w:p>
        </w:tc>
        <w:tc>
          <w:tcPr>
            <w:tcW w:w="220" w:type="dxa"/>
            <w:vAlign w:val="bottom"/>
            <w:tcBorders>
              <w:bottom w:val="single" w:sz="8" w:color="0C6DFF"/>
            </w:tcBorders>
          </w:tcPr>
          <w:p>
            <w:pPr>
              <w:spacing w:after="0"/>
              <w:rPr>
                <w:sz w:val="19"/>
                <w:szCs w:val="19"/>
                <w:color w:val="auto"/>
              </w:rPr>
            </w:pPr>
          </w:p>
        </w:tc>
        <w:tc>
          <w:tcPr>
            <w:tcW w:w="1060" w:type="dxa"/>
            <w:vAlign w:val="bottom"/>
            <w:tcBorders>
              <w:bottom w:val="single" w:sz="8" w:color="0C6DFF"/>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39.6 %</w:t>
            </w:r>
          </w:p>
        </w:tc>
        <w:tc>
          <w:tcPr>
            <w:tcW w:w="0" w:type="dxa"/>
            <w:vAlign w:val="bottom"/>
          </w:tcPr>
          <w:p>
            <w:pPr>
              <w:spacing w:after="0"/>
              <w:rPr>
                <w:sz w:val="1"/>
                <w:szCs w:val="1"/>
                <w:color w:val="auto"/>
              </w:rPr>
            </w:pPr>
          </w:p>
        </w:tc>
      </w:tr>
      <w:tr>
        <w:trPr>
          <w:trHeight w:val="510"/>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As Reported</w:t>
            </w:r>
          </w:p>
        </w:tc>
        <w:tc>
          <w:tcPr>
            <w:tcW w:w="140" w:type="dxa"/>
            <w:vAlign w:val="bottom"/>
          </w:tcPr>
          <w:p>
            <w:pPr>
              <w:spacing w:after="0"/>
              <w:rPr>
                <w:sz w:val="11"/>
                <w:szCs w:val="11"/>
                <w:color w:val="auto"/>
              </w:rPr>
            </w:pPr>
          </w:p>
        </w:tc>
        <w:tc>
          <w:tcPr>
            <w:tcW w:w="124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7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Currency</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total Connectivity &amp; Platforms revenue per customer relationship</w:t>
            </w:r>
          </w:p>
        </w:tc>
        <w:tc>
          <w:tcPr>
            <w:tcW w:w="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monthly total Connectivity &amp; Platforms Adjusted EBITDA per customer relationship</w:t>
            </w:r>
          </w:p>
        </w:tc>
        <w:tc>
          <w:tcPr>
            <w:tcW w:w="4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0" w:type="dxa"/>
            <w:vAlign w:val="bottom"/>
          </w:tcPr>
          <w:p>
            <w:pPr>
              <w:spacing w:after="0"/>
              <w:rPr>
                <w:sz w:val="1"/>
                <w:szCs w:val="1"/>
                <w:color w:val="auto"/>
              </w:rPr>
            </w:pPr>
          </w:p>
        </w:tc>
      </w:tr>
      <w:tr>
        <w:trPr>
          <w:trHeight w:val="537"/>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As Reported</w:t>
            </w:r>
          </w:p>
        </w:tc>
        <w:tc>
          <w:tcPr>
            <w:tcW w:w="140" w:type="dxa"/>
            <w:vAlign w:val="bottom"/>
          </w:tcPr>
          <w:p>
            <w:pPr>
              <w:spacing w:after="0"/>
              <w:rPr>
                <w:sz w:val="11"/>
                <w:szCs w:val="11"/>
                <w:color w:val="auto"/>
              </w:rPr>
            </w:pPr>
          </w:p>
        </w:tc>
        <w:tc>
          <w:tcPr>
            <w:tcW w:w="124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71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Currency</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Technical and support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27</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product costs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84</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service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53</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costs and expenses</w:t>
            </w:r>
          </w:p>
        </w:tc>
        <w:tc>
          <w:tcPr>
            <w:tcW w:w="480" w:type="dxa"/>
            <w:vAlign w:val="bottom"/>
            <w:tcBorders>
              <w:bottom w:val="single" w:sz="8" w:color="0C6DFF"/>
            </w:tcBorders>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48,962</w:t>
            </w:r>
          </w:p>
        </w:tc>
        <w:tc>
          <w:tcPr>
            <w:tcW w:w="1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0C6D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20" w:type="dxa"/>
            <w:vAlign w:val="bottom"/>
            <w:tcBorders>
              <w:bottom w:val="single" w:sz="8" w:color="0C6D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49,259</w:t>
            </w:r>
          </w:p>
        </w:tc>
        <w:tc>
          <w:tcPr>
            <w:tcW w:w="0" w:type="dxa"/>
            <w:vAlign w:val="bottom"/>
          </w:tcPr>
          <w:p>
            <w:pPr>
              <w:spacing w:after="0"/>
              <w:rPr>
                <w:sz w:val="1"/>
                <w:szCs w:val="1"/>
                <w:color w:val="auto"/>
              </w:rPr>
            </w:pPr>
          </w:p>
        </w:tc>
      </w:tr>
      <w:tr>
        <w:trPr>
          <w:trHeight w:val="672"/>
        </w:trPr>
        <w:tc>
          <w:tcPr>
            <w:tcW w:w="7180" w:type="dxa"/>
            <w:vAlign w:val="bottom"/>
          </w:tcPr>
          <w:p>
            <w:pPr>
              <w:ind w:left="5520"/>
              <w:spacing w:after="0"/>
              <w:rPr>
                <w:sz w:val="20"/>
                <w:szCs w:val="20"/>
                <w:color w:val="auto"/>
              </w:rPr>
            </w:pPr>
            <w:r>
              <w:rPr>
                <w:rFonts w:ascii="Times New Roman" w:cs="Times New Roman" w:eastAsia="Times New Roman" w:hAnsi="Times New Roman"/>
                <w:sz w:val="14"/>
                <w:szCs w:val="14"/>
                <w:b w:val="1"/>
                <w:bCs w:val="1"/>
                <w:color w:val="auto"/>
              </w:rPr>
              <w:t>45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0" w:type="dxa"/>
            <w:vAlign w:val="bottom"/>
          </w:tcPr>
          <w:p>
            <w:pPr>
              <w:spacing w:after="0"/>
              <w:rPr>
                <w:sz w:val="1"/>
                <w:szCs w:val="1"/>
                <w:color w:val="auto"/>
              </w:rPr>
            </w:pPr>
          </w:p>
        </w:tc>
      </w:tr>
      <w:tr>
        <w:trPr>
          <w:trHeight w:val="341"/>
        </w:trPr>
        <w:tc>
          <w:tcPr>
            <w:tcW w:w="7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Reconciliation of Residential Connectivity &amp; Platforms Constant Currency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1"/>
                <w:szCs w:val="11"/>
                <w:color w:val="auto"/>
              </w:rPr>
            </w:pPr>
          </w:p>
        </w:tc>
        <w:tc>
          <w:tcPr>
            <w:tcW w:w="10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As Reported</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color w:val="auto"/>
                <w:w w:val="99"/>
              </w:rPr>
              <w:t>Currency</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broadband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25,489</w:t>
            </w:r>
          </w:p>
        </w:tc>
        <w:tc>
          <w:tcPr>
            <w:tcW w:w="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wireless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4,207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33,359</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33,472</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0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28,797</w:t>
            </w:r>
          </w:p>
        </w:tc>
        <w:tc>
          <w:tcPr>
            <w:tcW w:w="3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28,966</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3,969</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5,820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71,946</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355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72,301</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18,067</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26,932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27,126</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44,998</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45,293</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0C6DFF"/>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26,948</w:t>
            </w:r>
          </w:p>
        </w:tc>
        <w:tc>
          <w:tcPr>
            <w:tcW w:w="300" w:type="dxa"/>
            <w:vAlign w:val="bottom"/>
            <w:tcBorders>
              <w:bottom w:val="single" w:sz="8" w:color="0C6DFF"/>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60</w:t>
            </w:r>
          </w:p>
        </w:tc>
        <w:tc>
          <w:tcPr>
            <w:tcW w:w="300" w:type="dxa"/>
            <w:vAlign w:val="bottom"/>
            <w:tcBorders>
              <w:bottom w:val="single" w:sz="8" w:color="0C6DFF"/>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27,008</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billions)</w:t>
            </w:r>
          </w:p>
        </w:tc>
        <w:tc>
          <w:tcPr>
            <w:tcW w:w="3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4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51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3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4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3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Refer to the “Contractual Obligations” discussion below for additional information regarding our cash requirements.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entered into a new revolving credit facility in May 2024 (see Note 6). 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December 31, 2024, amounts available under our revolving credit facility, net of amounts outstanding under our commercial paper program and outstanding letters of credit and bank guarantees, totaled $11.8 billion.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46</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customary covenants and restrictions set forth in agreements related to debt issued at Comcast and certain of our subsidiaries, including the indentures governing our public debt securities and the credit agreement governing the Comcast revolving credit facility. Our revolving credit facility contains a financial covenant pertaining to leverage, which is the ratio of debt to EBITDA, as defined in the agreement. Compliance with this financial covenant is tested on a quarterly basis. As of December 31, 2024, we met this financial covenant, and we expect to remain in compliance with this financial covenant and other covenants related to our debt.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Net Cash Provided by Operating Activities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1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23,297</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14,802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14,336</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3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interest</w:t>
            </w:r>
          </w:p>
        </w:tc>
        <w:tc>
          <w:tcPr>
            <w:tcW w:w="3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income taxes</w:t>
            </w:r>
          </w:p>
        </w:tc>
        <w:tc>
          <w:tcPr>
            <w:tcW w:w="3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3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3"/>
        </w:trPr>
        <w:tc>
          <w:tcPr>
            <w:tcW w:w="57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14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27,673</w:t>
            </w:r>
          </w:p>
        </w:tc>
        <w:tc>
          <w:tcPr>
            <w:tcW w:w="5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28,501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in 2024 was primarily related to the timing of amortization and related payments for our film and television costs, including the timing of sports, which was partially offset by reduced spending in the prior year due to the work stoppages.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payments of interest in 2024 was primarily due to the payments of interest in the prior year associated with our collateralized obligation which was repaid in the fourth quarter of 2023, partially offset by increased debt balances following debt issuances in the current year and higher weighted-average interest rates.</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Payments of income taxes increased in 2024 and included higher payments in the current year related to the 2023 tax year, primarily driven by the taxable gain recognized on our investment in Hulu. Payments of income taxes in 2024 were favorably impacted by the timing of transferable tax credit purchases, as payments for certain tax credits used in 2024 will be made in 2025. Additionally, we expect to receive a federal income tax refund in 2025 as a result of carrying back a capital loss created primarily as part of a 2024 internal corporate reorganization to offset capital gains recognized in our federal income tax returns for 2021 through 2023 (see Note 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in 2024 primarily due to net proceeds received as an advance on the sale of our interest in Hulu in the prior year (see Note 7), partially offset by decreased cash paid for intangible assets related to software development in the current year and decreased purchases of investments.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receive additional proceeds for the sale of our interest in Hulu following the finalization of the third-party appraisal process, at which time we will recognize the sale of our interest. See Note 7.</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2023, we entered into an agreement with T-Mobile to sell certain of our spectrum licenses. The agreement provides us with a right to remove certain licenses from the transaction, which will result in total cash consideration between $1.2 billion and $3.3 billion. The sale is expected to close in 2028 subject to various conditions and approvals.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Capital Expenditures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remained consistent in 2024 compared to 2023. Spending on theme park attractions increased in 2024, and included costs associated with the construction of Epic Universe. 2023 expenditures included the acquisition of land for potential theme park expansion opportunities. The costs associated with the construction of Universal Beijing Resort are presented separately in our consolidated statements of cash flows. See Note 7.</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significant capital expenditures are within the Connectivity &amp; Platforms business, and we expect that this will continue in the future. Connectivity &amp; Platforms’ capital expenditures remained consistent in 2024 compared to 2023 primarily due to increased spending on line extensions and support capital, offset by decreased spending on customer premise equipment and scalable infrastructure. The table below summarizes the capital expenditures we incurred in our segments in the Connectivity &amp; Platforms business in 2024 and 2023.</w:t>
      </w:r>
    </w:p>
    <w:p>
      <w:pPr>
        <w:spacing w:after="0" w:line="200" w:lineRule="exact"/>
        <w:rPr>
          <w:sz w:val="20"/>
          <w:szCs w:val="20"/>
          <w:color w:val="auto"/>
        </w:rPr>
      </w:pPr>
    </w:p>
    <w:p>
      <w:pPr>
        <w:spacing w:after="0" w:line="284"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47</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3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premise equipment</w:t>
            </w:r>
          </w:p>
        </w:tc>
        <w:tc>
          <w:tcPr>
            <w:tcW w:w="3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Scalable infrastructure</w:t>
            </w:r>
          </w:p>
        </w:tc>
        <w:tc>
          <w:tcPr>
            <w:tcW w:w="3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3,024</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 extensions</w:t>
            </w:r>
          </w:p>
        </w:tc>
        <w:tc>
          <w:tcPr>
            <w:tcW w:w="3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2,691</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Support capital</w:t>
            </w:r>
          </w:p>
        </w:tc>
        <w:tc>
          <w:tcPr>
            <w:tcW w:w="3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3"/>
        </w:trPr>
        <w:tc>
          <w:tcPr>
            <w:tcW w:w="53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8,286</w:t>
            </w:r>
          </w:p>
        </w:tc>
        <w:tc>
          <w:tcPr>
            <w:tcW w:w="5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capital expenditures in 2025 will continue to be focused on investments in the Connectivity &amp; Platforms business in scalable infrastructure as we increase capacity and continue to execute our plans to upgrade our network to deliver multigigabit symmetrical speeds, in line extensions for the expansion of homes and businesses passed, and in the continued deployment of wireless gateways. In addition, we expect to continue investment in existing and new attractions at our Universal theme parks, including Epic Universe. Capital expenditures for subsequent years will depend on numerous factors, including competition, changes in technology, regulatory changes, the timing and rate of deployment of new services, the capacity required for existing services, the timing of new attractions at our theme parks and potential acquisitions.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decreased in 2024 primarily due to repayment of a collateralized obligation in the prior year (see Note 7), a decrease in repurchases of common stock under our share repurchase program and employee plans, lower repurchases and repayments of debt in the current year, repayments of short-term borrowings, net in the prior year and higher proceeds from borrowings in the current year.</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2024, we issued €1.8 billion aggregate principal amount of fixed-rate euro senior notes maturing in 2032 and 2036 and entered into a corresponding cross-currency swap, effectively converting the debt to an aggregate U.S. dollar principal amount of $2.0 billion with a weighted-average interest rate of 4.72%. We also issued £750 million ($1.0 billion using exchange rates on the date of issuance) principal amount of fixed rate sterling senior notes maturing in 2040 with an interest rate of 5.25%. The net proceeds from this issuance were intended for working capital and general corporate purposes, including the early redemption of $725 million of our outstanding 5.25% Notes due 2025, which was completed in October 2024, and the repayment of certain of our other outstanding debt with near-term maturities. In May 2024, we issued $3.3 billion aggregate principal amount of fixed-rate senior notes, which have maturities ranging between 2029 and 2054 and a weighted-average interest rate of 5.38%. The net proceeds from this issuance were used for the repayment of our outstanding commercial paper, and for working capital and general corporate purposes.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we made debt repayments of $3.6 billion, including $1.9 billion principal amount of notes due at maturity and $750 million of 5.250% Notes due 2025, $391 million of 3.950% Notes due 2025, $256 million of 3.375% Notes due 2025, and $104 million of 3.150% Notes due 2026.</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6 and 7 for additional information on our financing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Share Repurchases and Dividends</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2021, we restarted our share repurchase program, which had been paused since the beginning of 2019. In January 2024, our Board of Directors terminated our existing program and approved a new share repurchase program authorization of $15 billion effective as of January 26, 2024, which had no expiration date. In 2024, we repurchased a total of 212 million shares of our Class A common stock for $8.6 billion under our authorization programs. We did not purchase any shares outside of these programs. As of December 31, 2024, we had $7.0 billion remaining under the authorization, and in January 2025, our Board of Directors terminated the existing program and approved a new share repurchase program authorization of $15 billion, which has no expiration date. We expect to repurchase additional shares of our Class A common stock under this new authorization in the open market or in private transactions, subject to market and other conditions.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our Board of Directors declared quarterly dividends of $0.31 per share, including our fourth quarter dividend payable in January 2025 and we made dividend payments of $4.8 billion. In January 2025, our Board of Directors approved a 6.5% increase in our dividend to $1.32 per share on an annualized basis and approved our first quarter dividend of $0.33 per share, to be paid in April 2025. We expect to continue to pay quarterly dividends, although each dividend is subject to approval by our Board of Directors.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48</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 below summarizes share repurchases and dividend payments. In addition, we paid $463 million and $291 million in 2024 and 2023, respectively, related to employee taxes associated with the administration of our share-based compensation plans and excise taxes related to share repurchases. Our share repurchases have more than offset dilution that resulted from issuing our Class A common stock in connection with our share-based compensation plans in those years, thereby having the effect of reducing the total number of our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891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05" w:lineRule="exact"/>
        <w:rPr>
          <w:sz w:val="20"/>
          <w:szCs w:val="20"/>
          <w:color w:val="auto"/>
        </w:rPr>
      </w:pPr>
    </w:p>
    <w:p>
      <w:pPr>
        <w:ind w:left="20" w:right="100"/>
        <w:spacing w:after="0"/>
        <w:rPr>
          <w:sz w:val="20"/>
          <w:szCs w:val="20"/>
          <w:color w:val="auto"/>
        </w:rPr>
      </w:pPr>
      <w:r>
        <w:rPr>
          <w:rFonts w:ascii="Arial" w:cs="Arial" w:eastAsia="Arial" w:hAnsi="Arial"/>
          <w:sz w:val="18"/>
          <w:szCs w:val="18"/>
          <w:color w:val="006EBF"/>
        </w:rPr>
        <w:t>Share Repurchases Under Share Repurchase Program Authorization and Dividends Paid and Weighted-Average Number of Common Shares Outstanding - Diluted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in billions and 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15175" cy="1611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1517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most significant contractual obligations as of December 31, 2024:</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 of December 31, 2024 (in billions)</w:t>
            </w:r>
          </w:p>
        </w:tc>
        <w:tc>
          <w:tcPr>
            <w:tcW w:w="356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color w:val="auto"/>
                <w:w w:val="94"/>
              </w:rPr>
              <w:t>Total</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Within the next 12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Beyond the next</w:t>
            </w:r>
          </w:p>
        </w:tc>
        <w:tc>
          <w:tcPr>
            <w:tcW w:w="0" w:type="dxa"/>
            <w:vAlign w:val="bottom"/>
          </w:tcPr>
          <w:p>
            <w:pPr>
              <w:spacing w:after="0"/>
              <w:rPr>
                <w:sz w:val="1"/>
                <w:szCs w:val="1"/>
                <w:color w:val="auto"/>
              </w:rPr>
            </w:pPr>
          </w:p>
        </w:tc>
      </w:tr>
      <w:tr>
        <w:trPr>
          <w:trHeight w:val="188"/>
        </w:trPr>
        <w:tc>
          <w:tcPr>
            <w:tcW w:w="5440" w:type="dxa"/>
            <w:vAlign w:val="bottom"/>
            <w:vMerge w:val="continue"/>
          </w:tcPr>
          <w:p>
            <w:pPr>
              <w:spacing w:after="0"/>
              <w:rPr>
                <w:sz w:val="16"/>
                <w:szCs w:val="16"/>
                <w:color w:val="auto"/>
              </w:rPr>
            </w:pPr>
          </w:p>
        </w:tc>
        <w:tc>
          <w:tcPr>
            <w:tcW w:w="3560" w:type="dxa"/>
            <w:vAlign w:val="bottom"/>
            <w:vMerge w:val="continue"/>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months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months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60" w:type="dxa"/>
            <w:vAlign w:val="bottom"/>
            <w:tcBorders>
              <w:top w:val="single" w:sz="8" w:color="auto"/>
            </w:tcBorders>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(a)</w:t>
            </w:r>
          </w:p>
        </w:tc>
        <w:tc>
          <w:tcPr>
            <w:tcW w:w="28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44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3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Programming and production obligations</w:t>
            </w:r>
          </w:p>
        </w:tc>
        <w:tc>
          <w:tcPr>
            <w:tcW w:w="2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Amounts represent the face value of debt and exclude interest payments.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largest contractual obligations relate to our outstanding debt. As of December 31, 2024, our debt had a weighted-average time to maturity of approximately 16 years. Including the effects of our derivative financial instruments, as of December 31, 2024, our debt had a weighted-average interest rate based on the stated coupons of 3.7% and the percentage of our debt obligations that were fixed-rate debt was 98%. We typically fund and expect to continue to be able to fund debt maturities and interest payments with cash flows generated in our operations; existing cash, cash equivalents and investments; or proceeds from additional external financing. See Note 6 and Item 7A for additional information on our debt.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have significant contractual obligations associated with our programming and production expenses. We have multiyear agreements for television and/or streaming rights of sporting events, such as for the NBA, the NFL, the Olympics and the English Premier League, which represent the substantial majority of our programming and production obligations. Connectivity &amp; Platforms’ programming expenses related to the distribution of third-party television networks are generally acquired under multiyear distribution agreements with fees based on the number of subscribers receiving the television network programming and a per subscriber fee. The amounts included in the table above relate to minimum guaranteed commitments for these distribution agreements or fixed fees, and as a result, we expect the total fees to be paid under these arrangements to be significantly higher than the amounts included above. We have funded and expect to continue to be able to fund our programming and production obligations with the cash generated from our operations. As of December 31, 2024, approximately 37% of cash payments related to our programming and production obligations are due after five years, of which the vast majority related to multiyear sports rights agreements. See Note 4 for additional information on programming and production costs.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other contractual obligations relate primarily to operating leases (see Note 14) and other arrangements recorded in our consolidated balance sheets and/or disclosed in the notes to our financial statements, including benefit plan obligations (see Note 10), liabilities for uncertain tax positions (see Note 5), our remaining unfunded capital commitment to Atairos (see Note 7) and a contractual obligation related to an interest held by a third party in the revenue of certain theme parks (see Note 14).</w:t>
      </w:r>
    </w:p>
    <w:p>
      <w:pPr>
        <w:spacing w:after="0" w:line="200" w:lineRule="exact"/>
        <w:rPr>
          <w:sz w:val="20"/>
          <w:szCs w:val="20"/>
          <w:color w:val="auto"/>
        </w:rPr>
      </w:pPr>
    </w:p>
    <w:p>
      <w:pPr>
        <w:spacing w:after="0" w:line="297"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49</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Debt and Guarantee Structure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8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Cross-Guarantees</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8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94.6</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NBCUniversal</w:t>
            </w:r>
            <w:r>
              <w:rPr>
                <w:rFonts w:ascii="Times New Roman" w:cs="Times New Roman" w:eastAsia="Times New Roman" w:hAnsi="Times New Roman"/>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Comcast Cable</w:t>
            </w:r>
            <w:r>
              <w:rPr>
                <w:rFonts w:ascii="Times New Roman" w:cs="Times New Roman" w:eastAsia="Times New Roman" w:hAnsi="Times New Roman"/>
                <w:sz w:val="23"/>
                <w:szCs w:val="23"/>
                <w:color w:val="auto"/>
                <w:vertAlign w:val="superscript"/>
              </w:rPr>
              <w:t>(a)</w:t>
            </w: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One-Way Guarantees</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Not Guaranteed</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Universal Beijing Resort</w:t>
            </w:r>
            <w:r>
              <w:rPr>
                <w:rFonts w:ascii="Times New Roman" w:cs="Times New Roman" w:eastAsia="Times New Roman" w:hAnsi="Times New Roman"/>
                <w:sz w:val="23"/>
                <w:szCs w:val="23"/>
                <w:color w:val="auto"/>
                <w:vertAlign w:val="superscript"/>
              </w:rPr>
              <w:t>(b)</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 for acquisition accounting and hedged</w:t>
            </w:r>
          </w:p>
        </w:tc>
        <w:tc>
          <w:tcPr>
            <w:tcW w:w="8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positions, net</w:t>
            </w: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860" w:type="dxa"/>
            <w:vAlign w:val="bottom"/>
            <w:tcBorders>
              <w:bottom w:val="single" w:sz="8" w:color="0C6D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720" w:type="dxa"/>
            <w:vAlign w:val="bottom"/>
            <w:tcBorders>
              <w:bottom w:val="single" w:sz="8" w:color="0C6D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40" w:hanging="332"/>
        <w:spacing w:after="0" w:line="281" w:lineRule="auto"/>
        <w:tabs>
          <w:tab w:leader="none" w:pos="33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7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6EBF"/>
        </w:rPr>
        <w:t>Cross-Guarantees</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combined Guarantors have noncurrent notes payable to non-guarantor subsidiaries of $88 billion and $136 billion, respectively, and noncurrent notes receivable from non-guarantor subsidiaries of $14 billion and $18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50</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One-Way Guarantees</w:t>
      </w:r>
    </w:p>
    <w:p>
      <w:pPr>
        <w:spacing w:after="0" w:line="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Comcast provides full and unconditional guarantees of certain debt issued by Sky Limited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including all of its senior notes, and other consolidated subsidiaries not subject to the periodic reporting requirements of the SEC.</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and 2023, Comcast and Comcast Holdings, the combined issuer and guarantor of the guaranteed subordinated debt, have noncurrent senior notes payable to non-guarantor subsidiaries of $53 billion and $104 billion, respectively, and noncurrent notes receivable from non-guarantor subsidiaries of $10 billion and $14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estimates associated with the valuation and impairment testing of goodwill and cable franchise rights and the accounting for film and television costs are critical in the preparation of our consolidated financial statements. Management has discussed the development and selection of these critical accounting estimates with the Audit Committee of our Board of Directors, and the Audit Committee has reviewed the related disclosures below. See also Notes 4 and 9.</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Goodwill and Cable Franchise Rights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assess the recoverability of our goodwill and indefinite-lived intangible assets, including cable franchise rights,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or an indefinite-lived intangible asset is less than its carrying amount. A quantitative assessment is performed if the qualitative assessment results in a more-likely-than-not determination or if a qualitative assessment is not performed. In connection with our impairment assessment process, from time to time, we perform quantitative assessments of our reporting units and cable franchise rights in order to support our qualitative assessments.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006EBF"/>
        </w:rPr>
        <w:t>Goodwill</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results from business combinations and represents the excess amount of the consideration paid over the identifiable assets and liabilities recorded in the acquisition. We test goodwill for impairment at the reporting unit level.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our reporting units primarily based on a discounted cash flow analysis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200" w:lineRule="exact"/>
        <w:rPr>
          <w:sz w:val="20"/>
          <w:szCs w:val="20"/>
          <w:color w:val="auto"/>
        </w:rPr>
      </w:pPr>
    </w:p>
    <w:p>
      <w:pPr>
        <w:spacing w:after="0" w:line="280"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51</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performed qualitative assessments in 2024 for goodwill in our Residential Connectivity &amp; Platforms, Business Services Connectivity, Studios and Theme Parks segments in connection with our annual impairment testing. These analyses considered the results of previous quantitative assessments, and also considered various factors that would affect the estimated fair value of these reporting units in our qualitative assessments, including changes in projected future cash flows, recent market transactions and overall macroeconomic conditions, discount rates, and changes in our market capitalization. Based on these assessments, we concluded that it was more likely than not that the estimated fair values of our reporting units were substantially higher than their carrying values and that the performance of a quantitative impairment test was not required. We performed a quantitative assessment in 2024 for goodwill in our Media segment. Based on this assessment, the estimated fair value of the Media reporting unit substantially exceeded its carrying value and no impairment was required.</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conditions, laws and regulations, and key assumptions made in future quantitative assessments, such as expected cash flows, competitive factors, discount rates, and value indications from market transactions, including the proposed Spin-off of businesses within our Media segment, could negatively impact the results of future impairment testing and could result in the recognition of an impairment charge.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Cable Franchise Rights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cable franchise rights assets result from agreements we have with state and local governments that allow us to construct and operate a cable business within a specified geographic area. The value of a franchise is derived from the economic benefits we receive from the right to solicit new customers and to market additional services in a particular service area. The amounts we record for cable franchise rights are primarily a result of cable system acquisitions. Typically when we acquire a cable system, the most significant asset we record is the value of the cable franchise rights.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our cable franchise rights primarily based on a discounted cash flow analysis that involves significant judgment, including the estimate of future cash flows and the selection of discount rates.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we performed a qualitative assessment of our cable franchise rights. At the time of our previous quantitative assessment in 2022, which was pursuant to our practice of performing quantitative assessments of cable franchise rights approximately once every four years, the estimated fair values of our franchise rights substantially exceeded their carrying values. We also considered various factors that would affect the estimated fair values of our cable franchise rights in our qualitative assessment, including changes in our projected future cash flows, recent market transactions and overall macroeconomic conditions, discount rates, and changes in our market capitalization. Based on this assessment, we concluded that it was more likely than not that the estimated fair values of our cable franchise rights were substantially higher than the carrying values and that the performance of a quantitative impairment test was not required.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conditions, laws and regulations, and key assumptions made in future quantitative assessments, such as expected cash flows, competitive factors, discount rates, and value indications from market transactions, could negatively impact the results of future impairment testing and could result in the recognition of an impairment charge.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1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We have determined that the predominant monetization strategy for the substantial majority of our content is on an individual basis.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estimates of ultimate revenue for films generally include revenue from all sources that are expected to be earned within 10 years from the date of a film’s initial release. These estimates are based on the distribution strategy and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from content licensing across multiple platforms and home entertainment sales, are revised based on historical relationships and an analysis of current market trends.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52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television series or other owned television programming, the most sensitive factor affecting our estimate of ultimate revenue is whether the series can be successfully licensed beyond its initial license window. Initial estimates of ultimate revenue are limited to the amount of revenue attributed to the initial license window. Once it is determined that a television series or other owned television programming can be licensed beyond the initial license window, revenue estimates for these additional windows or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content is amortized as the associated programs are used, incorporating estimated viewing patterns.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Capitalized film and television costs are subject to impairment testing when certain triggering events are identified. The substantial majority of our owned content is evaluated for impairment on an individual title basis. Licensed content that is not part of a film group is tested for impairment primarily on a channel, network or platform basis, with the exception of our broadcast networks and owned local broadcast television stations, which are tested on a daypart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film and television costs were not material in any of the periods presented.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200" w:lineRule="exact"/>
        <w:rPr>
          <w:sz w:val="20"/>
          <w:szCs w:val="20"/>
          <w:color w:val="auto"/>
        </w:rPr>
      </w:pPr>
    </w:p>
    <w:p>
      <w:pPr>
        <w:spacing w:after="0" w:line="26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53</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color w:val="006EBF"/>
        </w:rPr>
        <w:t>Item 7A: Quantitative and Qualitative Disclosures About Market Risk</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monitor our exposure to the risk of adverse changes in interest rates through the use of techniques that include market valuation and sensitivity analyses. We do not engage in any speculative or leveraged derivative transactions.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interest rate derivative financial instruments, which primarily include cross-currency swaps and interest rate swaps, represent an integral part of our interest rate risk management program.</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our interest rate derivative financial instruments to our consolidated interest expense was an increase of $49 million in 2024, a decrease of $56 million in 2023 and a decrease of $66 million in 2022. Interest rate derivative financial instruments may have a significant effect on consolidated interest expense in the future.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summarizes by contractual year of maturity the principal amount of our debt, notional amount of our interest rate instruments, effective rates, and fair values subject to interest rate risk maintained by us as of December 31, 2024. We had no variable rate debt outstanding as of December 31, 2024. We estimate interest rates on variable rate swaps using the relevant average implied forward rates through the year of maturity based on the yield curve in effect on December 31, 2024, plus the applicable borrowing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Estimated</w:t>
            </w:r>
          </w:p>
        </w:tc>
        <w:tc>
          <w:tcPr>
            <w:tcW w:w="0" w:type="dxa"/>
            <w:vAlign w:val="bottom"/>
          </w:tcPr>
          <w:p>
            <w:pPr>
              <w:spacing w:after="0"/>
              <w:rPr>
                <w:sz w:val="1"/>
                <w:szCs w:val="1"/>
                <w:color w:val="auto"/>
              </w:rPr>
            </w:pPr>
          </w:p>
        </w:tc>
      </w:tr>
      <w:tr>
        <w:trPr>
          <w:trHeight w:val="148"/>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9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Pr>
          <w:p>
            <w:pPr>
              <w:spacing w:after="0"/>
              <w:rPr>
                <w:sz w:val="12"/>
                <w:szCs w:val="12"/>
                <w:color w:val="auto"/>
              </w:rPr>
            </w:pP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9"/>
              </w:rPr>
              <w:t>2026</w:t>
            </w:r>
          </w:p>
        </w:tc>
        <w:tc>
          <w:tcPr>
            <w:tcW w:w="380" w:type="dxa"/>
            <w:vAlign w:val="bottom"/>
          </w:tcPr>
          <w:p>
            <w:pPr>
              <w:spacing w:after="0"/>
              <w:rPr>
                <w:sz w:val="12"/>
                <w:szCs w:val="12"/>
                <w:color w:val="auto"/>
              </w:rPr>
            </w:pP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9"/>
              </w:rPr>
              <w:t>2027</w:t>
            </w:r>
          </w:p>
        </w:tc>
        <w:tc>
          <w:tcPr>
            <w:tcW w:w="380" w:type="dxa"/>
            <w:vAlign w:val="bottom"/>
          </w:tcPr>
          <w:p>
            <w:pPr>
              <w:spacing w:after="0"/>
              <w:rPr>
                <w:sz w:val="12"/>
                <w:szCs w:val="12"/>
                <w:color w:val="auto"/>
              </w:rPr>
            </w:pP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9"/>
              </w:rPr>
              <w:t>2028</w:t>
            </w:r>
          </w:p>
        </w:tc>
        <w:tc>
          <w:tcPr>
            <w:tcW w:w="3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3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Thereafter</w:t>
            </w:r>
          </w:p>
        </w:tc>
        <w:tc>
          <w:tcPr>
            <w:tcW w:w="3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Fair Value as of</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22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Fixed-rate debt</w:t>
            </w: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97"/>
              </w:rPr>
              <w:t>4.9</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Average interest rate</w:t>
            </w:r>
            <w:r>
              <w:rPr>
                <w:rFonts w:ascii="Times New Roman" w:cs="Times New Roman" w:eastAsia="Times New Roman" w:hAnsi="Times New Roman"/>
                <w:sz w:val="23"/>
                <w:szCs w:val="23"/>
                <w:color w:val="auto"/>
                <w:vertAlign w:val="superscript"/>
              </w:rPr>
              <w:t>(a)</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1.7 %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3.3 %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4.0 %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Fixed-to-Variable Interest Rate Swaps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Notional amount</w:t>
            </w:r>
            <w:r>
              <w:rPr>
                <w:rFonts w:ascii="Times New Roman" w:cs="Times New Roman" w:eastAsia="Times New Roman" w:hAnsi="Times New Roman"/>
                <w:sz w:val="23"/>
                <w:szCs w:val="23"/>
                <w:color w:val="auto"/>
                <w:vertAlign w:val="superscript"/>
              </w:rPr>
              <w:t>(b)</w:t>
            </w:r>
          </w:p>
        </w:tc>
        <w:tc>
          <w:tcPr>
            <w:tcW w:w="9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pay rate</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6.5 %</w:t>
            </w:r>
          </w:p>
        </w:tc>
        <w:tc>
          <w:tcPr>
            <w:tcW w:w="380" w:type="dxa"/>
            <w:vAlign w:val="bottom"/>
          </w:tcPr>
          <w:p>
            <w:pPr>
              <w:spacing w:after="0"/>
              <w:rPr>
                <w:sz w:val="19"/>
                <w:szCs w:val="19"/>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6.3 %</w:t>
            </w:r>
          </w:p>
        </w:tc>
        <w:tc>
          <w:tcPr>
            <w:tcW w:w="380" w:type="dxa"/>
            <w:vAlign w:val="bottom"/>
          </w:tcPr>
          <w:p>
            <w:pPr>
              <w:spacing w:after="0"/>
              <w:rPr>
                <w:sz w:val="19"/>
                <w:szCs w:val="19"/>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6.8 %</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receive rate</w:t>
            </w: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3.3 %</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3.6 %</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4.2 %</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40" w:hanging="232"/>
        <w:spacing w:after="0"/>
        <w:tabs>
          <w:tab w:leader="none" w:pos="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effects of our fixed-to-fixed cross-currency swaps, which are discussed further below under the heading “Foreign Exchange Risk Management.”</w:t>
      </w:r>
    </w:p>
    <w:p>
      <w:pPr>
        <w:spacing w:after="0" w:line="136" w:lineRule="exact"/>
        <w:rPr>
          <w:rFonts w:ascii="Times New Roman" w:cs="Times New Roman" w:eastAsia="Times New Roman" w:hAnsi="Times New Roman"/>
          <w:sz w:val="14"/>
          <w:szCs w:val="14"/>
          <w:color w:val="auto"/>
        </w:rPr>
      </w:pPr>
    </w:p>
    <w:p>
      <w:pPr>
        <w:ind w:left="260" w:hanging="252"/>
        <w:spacing w:after="0" w:line="302" w:lineRule="auto"/>
        <w:tabs>
          <w:tab w:leader="none" w:pos="2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Notional amounts are used to calculate the interest to be paid or received and do not represent our exposure to credit loss. The estimated fair value approximates the amount of payments to be made or proceeds to be received to settle the outstanding contracts, excluding accrued interest.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1 and 6 for additional information.</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54</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operations in a number of countries outside the United States, and certain of our operations are conducted in foreign currencies. The value of these currencies, primarily including the British pound, euro, Japanese yen and Chinese yuan, fluctuates relative to the U.S. dollar. These changes could adversely affect the U.S. dollar equivalent value of our non-U.S. dollar operations, which could negatively affect our business, financial condition or results of operations in a given period or in specific territories.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overall strategy to manage the level of exposure to the risk of foreign exchange rate fluctuations, we enter into derivative financial instruments related to a significant portion of our foreign currency exposure for transactions denominated in currencies other than the functional currency of the transacting entity. We use cross-currency swaps as fair value and cash flow hedges for certain debt obligations denominated in a currency other than the functional currency of the issuer. Cross-currency swaps effectively convert foreign currency denominated debt to debt denominated in the functional currency, which hedge currency exchange risks associated with foreign currency denominated debt. We also enter into foreign currency forward contracts that change in value as currency exchange rates fluctuate to protect the functional currency equivalent value of non-functional currency denominated assets, liabilities, commitments, and forecasted non-functional currency revenue and expenses. In accordance with our policy, we hedge forecasted foreign currency transactions for periods generally not to exceed 30 months. Certain of these derivatives are designated as fair value hedges, including foreign currency forwards designated as fair value hedges on our foreign currency intercompany loans receivable.</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exposed to foreign exchange risk on the consolidation of our foreign operations. We have foreign currency denominated debt and cross-currency swaps designated as hedges of our net investments in certain of these subsidiaries.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additional information.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analyzed our foreign currency exposure related to our foreign operations as of December 31, 2024, including our hedging contracts, to identify assets and liabilities denominated in a currency other than their functional currency. For those assets and liabilities, we then evaluated the effect of a hypothetical 10% shift in currency exchange rates, inclusive of the effects of derivatives. The results of our analysis indicate that such a shift in exchange rates would not have a material impact on our 2024 net income attributable to Comcast Corporation.</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2024 and 2023, we were not required to post collateral under the terms of these agreements, nor did we hold any collateral under the terms of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55</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006EBF"/>
        </w:rPr>
        <w:t>Item 8: Comcast Corporation Financial Statements and Supplementary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Index</w:t>
            </w:r>
          </w:p>
        </w:tc>
        <w:tc>
          <w:tcPr>
            <w:tcW w:w="62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Page</w:t>
            </w:r>
          </w:p>
        </w:tc>
      </w:tr>
      <w:tr>
        <w:trPr>
          <w:trHeight w:val="2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6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of Management</w:t>
            </w:r>
          </w:p>
        </w:tc>
        <w:tc>
          <w:tcPr>
            <w:tcW w:w="3300" w:type="dxa"/>
            <w:vAlign w:val="bottom"/>
            <w:gridSpan w:val="20"/>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57</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2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60" w:type="dxa"/>
            <w:vAlign w:val="bottom"/>
            <w:gridSpan w:val="3"/>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8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60" w:type="dxa"/>
            <w:vAlign w:val="bottom"/>
            <w:tcBorders>
              <w:top w:val="single" w:sz="8" w:color="0000FF"/>
            </w:tcBorders>
            <w:gridSpan w:val="8"/>
          </w:tcPr>
          <w:p>
            <w:pPr>
              <w:spacing w:after="0"/>
              <w:rPr>
                <w:sz w:val="24"/>
                <w:szCs w:val="24"/>
                <w:color w:val="auto"/>
              </w:rPr>
            </w:pPr>
          </w:p>
        </w:tc>
        <w:tc>
          <w:tcPr>
            <w:tcW w:w="1240" w:type="dxa"/>
            <w:vAlign w:val="bottom"/>
            <w:gridSpan w:val="6"/>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880" w:type="dxa"/>
            <w:vAlign w:val="bottom"/>
            <w:gridSpan w:val="18"/>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1620" w:type="dxa"/>
            <w:vAlign w:val="bottom"/>
            <w:gridSpan w:val="9"/>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820" w:type="dxa"/>
            <w:vAlign w:val="bottom"/>
            <w:gridSpan w:val="11"/>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1: Summary of Significant Accounting Policies</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Note 2: Segment Information</w:t>
            </w:r>
          </w:p>
        </w:tc>
        <w:tc>
          <w:tcPr>
            <w:tcW w:w="5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Note 3: Revenue</w:t>
            </w:r>
          </w:p>
        </w:tc>
        <w:tc>
          <w:tcPr>
            <w:tcW w:w="2220" w:type="dxa"/>
            <w:vAlign w:val="bottom"/>
            <w:gridSpan w:val="15"/>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4: Programming and Production Costs</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Note 5: Income Taxes</w:t>
            </w:r>
          </w:p>
        </w:tc>
        <w:tc>
          <w:tcPr>
            <w:tcW w:w="1560" w:type="dxa"/>
            <w:vAlign w:val="bottom"/>
            <w:tcBorders>
              <w:top w:val="single" w:sz="8" w:color="0000FF"/>
            </w:tcBorders>
            <w:gridSpan w:val="12"/>
          </w:tcPr>
          <w:p>
            <w:pPr>
              <w:spacing w:after="0"/>
              <w:rPr>
                <w:sz w:val="24"/>
                <w:szCs w:val="24"/>
                <w:color w:val="auto"/>
              </w:rPr>
            </w:pPr>
          </w:p>
        </w:tc>
        <w:tc>
          <w:tcPr>
            <w:tcW w:w="1180" w:type="dxa"/>
            <w:vAlign w:val="bottom"/>
            <w:gridSpan w:val="5"/>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6: Debt</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Note 7: Investments and Variable Interest Entities</w:t>
            </w:r>
          </w:p>
        </w:tc>
        <w:tc>
          <w:tcPr>
            <w:tcW w:w="740" w:type="dxa"/>
            <w:vAlign w:val="bottom"/>
            <w:gridSpan w:val="2"/>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 8: Property and Equipment</w:t>
            </w:r>
          </w:p>
        </w:tc>
        <w:tc>
          <w:tcPr>
            <w:tcW w:w="1980" w:type="dxa"/>
            <w:vAlign w:val="bottom"/>
            <w:gridSpan w:val="13"/>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9: Goodwill and Intangible Assets</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 10: Employee Benefit Plans</w:t>
            </w:r>
          </w:p>
        </w:tc>
        <w:tc>
          <w:tcPr>
            <w:tcW w:w="1480" w:type="dxa"/>
            <w:vAlign w:val="bottom"/>
            <w:gridSpan w:val="8"/>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Note 11: Equity</w:t>
            </w:r>
          </w:p>
        </w:tc>
        <w:tc>
          <w:tcPr>
            <w:tcW w:w="1200" w:type="dxa"/>
            <w:vAlign w:val="bottom"/>
            <w:tcBorders>
              <w:top w:val="single" w:sz="8" w:color="0000FF"/>
            </w:tcBorders>
            <w:gridSpan w:val="7"/>
          </w:tcPr>
          <w:p>
            <w:pPr>
              <w:spacing w:after="0"/>
              <w:rPr>
                <w:sz w:val="24"/>
                <w:szCs w:val="24"/>
                <w:color w:val="auto"/>
              </w:rPr>
            </w:pPr>
          </w:p>
        </w:tc>
        <w:tc>
          <w:tcPr>
            <w:tcW w:w="1920" w:type="dxa"/>
            <w:vAlign w:val="bottom"/>
            <w:gridSpan w:val="12"/>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 12: Share-Based Compensation</w:t>
            </w:r>
          </w:p>
        </w:tc>
        <w:tc>
          <w:tcPr>
            <w:tcW w:w="1660" w:type="dxa"/>
            <w:vAlign w:val="bottom"/>
            <w:gridSpan w:val="10"/>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 13: Supplemental Financial Information</w:t>
            </w:r>
          </w:p>
        </w:tc>
        <w:tc>
          <w:tcPr>
            <w:tcW w:w="1040" w:type="dxa"/>
            <w:vAlign w:val="bottom"/>
            <w:gridSpan w:val="4"/>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14: Commitments and Contingencies</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top w:val="single" w:sz="8" w:color="0000FF"/>
              <w:bottom w:val="single" w:sz="8" w:color="auto"/>
            </w:tcBorders>
          </w:tcPr>
          <w:p>
            <w:pPr>
              <w:spacing w:after="0"/>
              <w:rPr>
                <w:sz w:val="13"/>
                <w:szCs w:val="13"/>
                <w:color w:val="auto"/>
              </w:rPr>
            </w:pPr>
          </w:p>
        </w:tc>
        <w:tc>
          <w:tcPr>
            <w:tcW w:w="100" w:type="dxa"/>
            <w:vAlign w:val="bottom"/>
            <w:tcBorders>
              <w:top w:val="single" w:sz="8" w:color="0000FF"/>
              <w:bottom w:val="single" w:sz="8" w:color="auto"/>
            </w:tcBorders>
          </w:tcPr>
          <w:p>
            <w:pPr>
              <w:spacing w:after="0"/>
              <w:rPr>
                <w:sz w:val="13"/>
                <w:szCs w:val="13"/>
                <w:color w:val="auto"/>
              </w:rPr>
            </w:pPr>
          </w:p>
        </w:tc>
        <w:tc>
          <w:tcPr>
            <w:tcW w:w="180" w:type="dxa"/>
            <w:vAlign w:val="bottom"/>
            <w:tcBorders>
              <w:top w:val="single" w:sz="8" w:color="0000FF"/>
              <w:bottom w:val="single" w:sz="8" w:color="auto"/>
            </w:tcBorders>
          </w:tcPr>
          <w:p>
            <w:pPr>
              <w:spacing w:after="0"/>
              <w:rPr>
                <w:sz w:val="13"/>
                <w:szCs w:val="13"/>
                <w:color w:val="auto"/>
              </w:rPr>
            </w:pPr>
          </w:p>
        </w:tc>
        <w:tc>
          <w:tcPr>
            <w:tcW w:w="240" w:type="dxa"/>
            <w:vAlign w:val="bottom"/>
            <w:tcBorders>
              <w:top w:val="single" w:sz="8" w:color="0000FF"/>
              <w:bottom w:val="single" w:sz="8" w:color="auto"/>
            </w:tcBorders>
          </w:tcPr>
          <w:p>
            <w:pPr>
              <w:spacing w:after="0"/>
              <w:rPr>
                <w:sz w:val="13"/>
                <w:szCs w:val="13"/>
                <w:color w:val="auto"/>
              </w:rPr>
            </w:pPr>
          </w:p>
        </w:tc>
        <w:tc>
          <w:tcPr>
            <w:tcW w:w="140" w:type="dxa"/>
            <w:vAlign w:val="bottom"/>
            <w:tcBorders>
              <w:top w:val="single" w:sz="8" w:color="0000FF"/>
              <w:bottom w:val="single" w:sz="8" w:color="auto"/>
            </w:tcBorders>
          </w:tcPr>
          <w:p>
            <w:pPr>
              <w:spacing w:after="0"/>
              <w:rPr>
                <w:sz w:val="13"/>
                <w:szCs w:val="13"/>
                <w:color w:val="auto"/>
              </w:rPr>
            </w:pPr>
          </w:p>
        </w:tc>
        <w:tc>
          <w:tcPr>
            <w:tcW w:w="320" w:type="dxa"/>
            <w:vAlign w:val="bottom"/>
            <w:tcBorders>
              <w:top w:val="single" w:sz="8" w:color="0000FF"/>
              <w:bottom w:val="single" w:sz="8" w:color="auto"/>
            </w:tcBorders>
          </w:tcPr>
          <w:p>
            <w:pPr>
              <w:spacing w:after="0"/>
              <w:rPr>
                <w:sz w:val="13"/>
                <w:szCs w:val="13"/>
                <w:color w:val="auto"/>
              </w:rPr>
            </w:pPr>
          </w:p>
        </w:tc>
        <w:tc>
          <w:tcPr>
            <w:tcW w:w="200" w:type="dxa"/>
            <w:vAlign w:val="bottom"/>
            <w:tcBorders>
              <w:top w:val="single" w:sz="8" w:color="0000FF"/>
              <w:bottom w:val="single" w:sz="8" w:color="auto"/>
            </w:tcBorders>
          </w:tcPr>
          <w:p>
            <w:pPr>
              <w:spacing w:after="0"/>
              <w:rPr>
                <w:sz w:val="13"/>
                <w:szCs w:val="13"/>
                <w:color w:val="auto"/>
              </w:rPr>
            </w:pPr>
          </w:p>
        </w:tc>
        <w:tc>
          <w:tcPr>
            <w:tcW w:w="120" w:type="dxa"/>
            <w:vAlign w:val="bottom"/>
            <w:tcBorders>
              <w:top w:val="single" w:sz="8" w:color="0000FF"/>
              <w:bottom w:val="single" w:sz="8" w:color="auto"/>
            </w:tcBorders>
          </w:tcPr>
          <w:p>
            <w:pPr>
              <w:spacing w:after="0"/>
              <w:rPr>
                <w:sz w:val="13"/>
                <w:szCs w:val="13"/>
                <w:color w:val="auto"/>
              </w:rPr>
            </w:pPr>
          </w:p>
        </w:tc>
        <w:tc>
          <w:tcPr>
            <w:tcW w:w="120" w:type="dxa"/>
            <w:vAlign w:val="bottom"/>
            <w:tcBorders>
              <w:top w:val="single" w:sz="8" w:color="0000FF"/>
              <w:bottom w:val="single" w:sz="8" w:color="auto"/>
            </w:tcBorders>
          </w:tcPr>
          <w:p>
            <w:pPr>
              <w:spacing w:after="0"/>
              <w:rPr>
                <w:sz w:val="13"/>
                <w:szCs w:val="13"/>
                <w:color w:val="auto"/>
              </w:rPr>
            </w:pPr>
          </w:p>
        </w:tc>
        <w:tc>
          <w:tcPr>
            <w:tcW w:w="60" w:type="dxa"/>
            <w:vAlign w:val="bottom"/>
            <w:tcBorders>
              <w:top w:val="single" w:sz="8" w:color="0000FF"/>
              <w:bottom w:val="single" w:sz="8" w:color="auto"/>
            </w:tcBorders>
          </w:tcPr>
          <w:p>
            <w:pPr>
              <w:spacing w:after="0"/>
              <w:rPr>
                <w:sz w:val="13"/>
                <w:szCs w:val="13"/>
                <w:color w:val="auto"/>
              </w:rPr>
            </w:pPr>
          </w:p>
        </w:tc>
        <w:tc>
          <w:tcPr>
            <w:tcW w:w="100" w:type="dxa"/>
            <w:vAlign w:val="bottom"/>
            <w:tcBorders>
              <w:top w:val="single" w:sz="8" w:color="0000FF"/>
              <w:bottom w:val="single" w:sz="8" w:color="auto"/>
            </w:tcBorders>
          </w:tcPr>
          <w:p>
            <w:pPr>
              <w:spacing w:after="0"/>
              <w:rPr>
                <w:sz w:val="13"/>
                <w:szCs w:val="13"/>
                <w:color w:val="auto"/>
              </w:rPr>
            </w:pPr>
          </w:p>
        </w:tc>
        <w:tc>
          <w:tcPr>
            <w:tcW w:w="160" w:type="dxa"/>
            <w:vAlign w:val="bottom"/>
            <w:tcBorders>
              <w:top w:val="single" w:sz="8" w:color="0000FF"/>
              <w:bottom w:val="single" w:sz="8" w:color="auto"/>
            </w:tcBorders>
          </w:tcPr>
          <w:p>
            <w:pPr>
              <w:spacing w:after="0"/>
              <w:rPr>
                <w:sz w:val="13"/>
                <w:szCs w:val="13"/>
                <w:color w:val="auto"/>
              </w:rPr>
            </w:pPr>
          </w:p>
        </w:tc>
        <w:tc>
          <w:tcPr>
            <w:tcW w:w="40" w:type="dxa"/>
            <w:vAlign w:val="bottom"/>
            <w:tcBorders>
              <w:top w:val="single" w:sz="8" w:color="0000FF"/>
              <w:bottom w:val="single" w:sz="8" w:color="auto"/>
            </w:tcBorders>
          </w:tcPr>
          <w:p>
            <w:pPr>
              <w:spacing w:after="0"/>
              <w:rPr>
                <w:sz w:val="13"/>
                <w:szCs w:val="13"/>
                <w:color w:val="auto"/>
              </w:rPr>
            </w:pPr>
          </w:p>
        </w:tc>
        <w:tc>
          <w:tcPr>
            <w:tcW w:w="140" w:type="dxa"/>
            <w:vAlign w:val="bottom"/>
            <w:tcBorders>
              <w:top w:val="single" w:sz="8" w:color="0000FF"/>
              <w:bottom w:val="single" w:sz="8" w:color="auto"/>
            </w:tcBorders>
          </w:tcPr>
          <w:p>
            <w:pPr>
              <w:spacing w:after="0"/>
              <w:rPr>
                <w:sz w:val="13"/>
                <w:szCs w:val="13"/>
                <w:color w:val="auto"/>
              </w:rPr>
            </w:pPr>
          </w:p>
        </w:tc>
        <w:tc>
          <w:tcPr>
            <w:tcW w:w="220" w:type="dxa"/>
            <w:vAlign w:val="bottom"/>
            <w:tcBorders>
              <w:top w:val="single" w:sz="8" w:color="0000FF"/>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60" w:type="dxa"/>
            <w:vAlign w:val="bottom"/>
            <w:tcBorders>
              <w:bottom w:val="single" w:sz="8" w:color="auto"/>
            </w:tcBorders>
          </w:tcPr>
          <w:p>
            <w:pPr>
              <w:spacing w:after="0"/>
              <w:rPr>
                <w:sz w:val="13"/>
                <w:szCs w:val="13"/>
                <w:color w:val="auto"/>
              </w:rPr>
            </w:pPr>
          </w:p>
        </w:tc>
        <w:tc>
          <w:tcPr>
            <w:tcW w:w="180" w:type="dxa"/>
            <w:vAlign w:val="bottom"/>
            <w:tcBorders>
              <w:top w:val="single" w:sz="8" w:color="0000FF"/>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672"/>
        </w:trPr>
        <w:tc>
          <w:tcPr>
            <w:tcW w:w="20" w:type="dxa"/>
            <w:vAlign w:val="bottom"/>
          </w:tcPr>
          <w:p>
            <w:pPr>
              <w:spacing w:after="0"/>
              <w:rPr>
                <w:sz w:val="24"/>
                <w:szCs w:val="24"/>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5660" w:type="dxa"/>
            <w:vAlign w:val="bottom"/>
          </w:tcPr>
          <w:p>
            <w:pPr>
              <w:jc w:val="right"/>
              <w:ind w:right="4914"/>
              <w:spacing w:after="0"/>
              <w:rPr>
                <w:sz w:val="20"/>
                <w:szCs w:val="20"/>
                <w:color w:val="auto"/>
              </w:rPr>
            </w:pPr>
            <w:r>
              <w:rPr>
                <w:rFonts w:ascii="Times New Roman" w:cs="Times New Roman" w:eastAsia="Times New Roman" w:hAnsi="Times New Roman"/>
                <w:sz w:val="14"/>
                <w:szCs w:val="14"/>
                <w:b w:val="1"/>
                <w:bCs w:val="1"/>
                <w:color w:val="auto"/>
              </w:rPr>
              <w:t>56</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Report of Management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the preparation, integrity and fair presentation of information in the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the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11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the system of internal control over financial reporting based on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 Based on this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 concluded that the system of internal control over financial reporting was effective as of December 31, 2024. The effectiveness of internal control over financial reporting has been audited by Deloitte &amp; Touche LLP, an independent registered public accounting firm, as stated in their report, which is included herein.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which is comprised solely of independent directors, has oversight responsibility for our financial reporting process and the audits of the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BRIAN L. ROBERTS</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JASON S. ARMSTRONG</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DANIEL C. MURDOCK</w:t>
            </w:r>
          </w:p>
        </w:tc>
      </w:tr>
      <w:tr>
        <w:trPr>
          <w:trHeight w:val="218"/>
        </w:trPr>
        <w:tc>
          <w:tcPr>
            <w:tcW w:w="3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Brian L. Roberts</w:t>
            </w:r>
          </w:p>
        </w:tc>
        <w:tc>
          <w:tcPr>
            <w:tcW w:w="240" w:type="dxa"/>
            <w:vAlign w:val="bottom"/>
          </w:tcPr>
          <w:p>
            <w:pPr>
              <w:spacing w:after="0"/>
              <w:rPr>
                <w:sz w:val="18"/>
                <w:szCs w:val="18"/>
                <w:color w:val="auto"/>
              </w:rPr>
            </w:pPr>
          </w:p>
        </w:tc>
        <w:tc>
          <w:tcPr>
            <w:tcW w:w="3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Jason S. Armstrong</w:t>
            </w:r>
          </w:p>
        </w:tc>
        <w:tc>
          <w:tcPr>
            <w:tcW w:w="22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Daniel C. Murdock</w:t>
            </w:r>
          </w:p>
        </w:tc>
        <w:tc>
          <w:tcPr>
            <w:tcW w:w="520" w:type="dxa"/>
            <w:vAlign w:val="bottom"/>
          </w:tcPr>
          <w:p>
            <w:pPr>
              <w:spacing w:after="0"/>
              <w:rPr>
                <w:sz w:val="18"/>
                <w:szCs w:val="18"/>
                <w:color w:val="auto"/>
              </w:rPr>
            </w:pPr>
          </w:p>
        </w:tc>
      </w:tr>
      <w:tr>
        <w:trPr>
          <w:trHeight w:val="180"/>
        </w:trPr>
        <w:tc>
          <w:tcPr>
            <w:tcW w:w="3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w:t>
            </w:r>
          </w:p>
        </w:tc>
        <w:tc>
          <w:tcPr>
            <w:tcW w:w="3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c>
          <w:tcPr>
            <w:tcW w:w="39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w:t>
            </w: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 and Controller</w:t>
            </w:r>
          </w:p>
        </w:tc>
      </w:tr>
      <w:tr>
        <w:trPr>
          <w:trHeight w:val="606"/>
        </w:trPr>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jc w:val="right"/>
              <w:ind w:right="1315"/>
              <w:spacing w:after="0"/>
              <w:rPr>
                <w:sz w:val="20"/>
                <w:szCs w:val="20"/>
                <w:color w:val="auto"/>
              </w:rPr>
            </w:pPr>
            <w:r>
              <w:rPr>
                <w:rFonts w:ascii="Times New Roman" w:cs="Times New Roman" w:eastAsia="Times New Roman" w:hAnsi="Times New Roman"/>
                <w:sz w:val="14"/>
                <w:szCs w:val="14"/>
                <w:b w:val="1"/>
                <w:bCs w:val="1"/>
                <w:color w:val="auto"/>
              </w:rPr>
              <w:t>57</w:t>
            </w:r>
          </w:p>
        </w:tc>
        <w:tc>
          <w:tcPr>
            <w:tcW w:w="220" w:type="dxa"/>
            <w:vAlign w:val="bottom"/>
          </w:tcPr>
          <w:p>
            <w:pPr>
              <w:spacing w:after="0"/>
              <w:rPr>
                <w:sz w:val="24"/>
                <w:szCs w:val="24"/>
                <w:color w:val="auto"/>
              </w:rPr>
            </w:pPr>
          </w:p>
        </w:tc>
        <w:tc>
          <w:tcPr>
            <w:tcW w:w="396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Comcast 2024 Annual Report on Form 10-K</w:t>
            </w:r>
          </w:p>
        </w:tc>
      </w:tr>
      <w:tr>
        <w:trPr>
          <w:trHeight w:val="341"/>
        </w:trPr>
        <w:tc>
          <w:tcPr>
            <w:tcW w:w="3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Shareholders and Board of Directors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Comcast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Opinions on the Financial Statements and Internal Control over Financial Reporting</w:t>
      </w:r>
    </w:p>
    <w:p>
      <w:pPr>
        <w:spacing w:after="0" w:line="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Comcast Corporation and subsidiaries (the “Company”) as of December 31, 2024 and 2023, the related consolidated statements of income, comprehensive income, cash flows, and changes in equity for each of the three years in the period ended December 31, 2024, and the related notes (collectively referred to as the “financial statements”). We also have audited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7"/>
          <w:szCs w:val="17"/>
          <w:i w:val="1"/>
          <w:iCs w:val="1"/>
          <w:color w:val="auto"/>
        </w:rPr>
        <w:t>Management’s Report on Internal Control Over Financial Reporting.</w:t>
      </w:r>
      <w:r>
        <w:rPr>
          <w:rFonts w:ascii="Times New Roman" w:cs="Times New Roman" w:eastAsia="Times New Roman" w:hAnsi="Times New Roman"/>
          <w:sz w:val="17"/>
          <w:szCs w:val="17"/>
          <w:color w:val="auto"/>
        </w:rPr>
        <w:t xml:space="preserve">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 Refer to Note 3 to the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Company’s Residential Connectivity &amp; Platforms segment generates revenue from customers that subscribe to broadband and wireless connectivity services, video services and wireline voice services. These services are offered to customers individually and as bundled services at a discounted rate.</w:t>
      </w:r>
    </w:p>
    <w:p>
      <w:pPr>
        <w:sectPr>
          <w:pgSz w:w="11900" w:h="16838" w:orient="portrait"/>
          <w:cols w:equalWidth="0" w:num="1">
            <w:col w:w="11240"/>
          </w:cols>
          <w:pgMar w:left="320" w:top="117" w:right="339" w:bottom="1440" w:gutter="0" w:footer="0" w:header="0"/>
        </w:sectPr>
      </w:pPr>
    </w:p>
    <w:p>
      <w:pPr>
        <w:spacing w:after="0" w:line="363"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2024 Annual Report on Form 10-K</w:t>
      </w:r>
      <w:r>
        <w:rPr>
          <w:sz w:val="20"/>
          <w:szCs w:val="20"/>
          <w:color w:val="auto"/>
        </w:rPr>
        <w:tab/>
      </w:r>
      <w:r>
        <w:rPr>
          <w:rFonts w:ascii="Times New Roman" w:cs="Times New Roman" w:eastAsia="Times New Roman" w:hAnsi="Times New Roman"/>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processing and recording of revenue are reliant upon multiple information technology (IT) systems.</w:t>
      </w:r>
    </w:p>
    <w:p>
      <w:pPr>
        <w:spacing w:after="0" w:line="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Given the volume of data and the number of IT systems, subjective auditor judgment was involved in evaluating the sufficiency of audit evidence over revenue recognition for bundled services within the Residential Connectivity &amp; Platforms segment, including the involvement of professionals with expertise in IT to identify, test, and evaluate the Company’s systems and automated controls used in processing revenue transactions.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judgments necessary to determine the appropriate recognition and processing of revenue included the following, among others:</w:t>
      </w:r>
    </w:p>
    <w:p>
      <w:pPr>
        <w:spacing w:after="0" w:line="75" w:lineRule="exact"/>
        <w:rPr>
          <w:sz w:val="20"/>
          <w:szCs w:val="20"/>
          <w:color w:val="auto"/>
        </w:rPr>
      </w:pPr>
    </w:p>
    <w:p>
      <w:pPr>
        <w:jc w:val="both"/>
        <w:ind w:left="660" w:hanging="328"/>
        <w:spacing w:after="0" w:line="273" w:lineRule="auto"/>
        <w:tabs>
          <w:tab w:leader="none" w:pos="65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in the revenue recognition processes, including those in place to (a) establish revenue recognition accounting policies for bundled services, (b) record revenue, including any related discounts, in accordance with the established accounting policies, and (c) reconcile the various systems to the Company’s general ledger.</w:t>
      </w:r>
    </w:p>
    <w:p>
      <w:pPr>
        <w:spacing w:after="0" w:line="21"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IT specialists, we:</w:t>
      </w:r>
    </w:p>
    <w:p>
      <w:pPr>
        <w:spacing w:after="0" w:line="88" w:lineRule="exact"/>
        <w:rPr>
          <w:rFonts w:ascii="Times New Roman" w:cs="Times New Roman" w:eastAsia="Times New Roman" w:hAnsi="Times New Roman"/>
          <w:sz w:val="17"/>
          <w:szCs w:val="17"/>
          <w:color w:val="auto"/>
        </w:rPr>
      </w:pPr>
    </w:p>
    <w:p>
      <w:pPr>
        <w:ind w:left="1300" w:hanging="320"/>
        <w:spacing w:after="0" w:line="281" w:lineRule="auto"/>
        <w:tabs>
          <w:tab w:leader="none" w:pos="1293"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Identified the relevant systems and databases used to process revenue transactions and tested the relevant IT controls over each of those systems and databases.</w:t>
      </w:r>
    </w:p>
    <w:p>
      <w:pPr>
        <w:spacing w:after="0" w:line="28"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Performed testing of automated business controls over revenue from domestic residential and business customers.</w:t>
      </w:r>
    </w:p>
    <w:p>
      <w:pPr>
        <w:spacing w:after="0" w:line="74" w:lineRule="exact"/>
        <w:rPr>
          <w:rFonts w:ascii="Times New Roman" w:cs="Times New Roman" w:eastAsia="Times New Roman" w:hAnsi="Times New Roman"/>
          <w:sz w:val="17"/>
          <w:szCs w:val="17"/>
          <w:color w:val="auto"/>
        </w:rPr>
      </w:pPr>
    </w:p>
    <w:p>
      <w:pPr>
        <w:jc w:val="both"/>
        <w:ind w:left="660" w:hanging="328"/>
        <w:spacing w:after="0" w:line="265" w:lineRule="auto"/>
        <w:tabs>
          <w:tab w:leader="none" w:pos="65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allocation of revenue for bundled services by selecting a sample of subscriber invoices, evaluating management’s determination of the transaction price and the distinct performance obligations, and recalculating the allocation of transaction price to each performance obligation based on the respective stand-alone selling prices.</w:t>
      </w:r>
    </w:p>
    <w:p>
      <w:pPr>
        <w:spacing w:after="0" w:line="40" w:lineRule="exact"/>
        <w:rPr>
          <w:rFonts w:ascii="Times New Roman" w:cs="Times New Roman" w:eastAsia="Times New Roman" w:hAnsi="Times New Roman"/>
          <w:sz w:val="17"/>
          <w:szCs w:val="17"/>
          <w:color w:val="auto"/>
        </w:rPr>
      </w:pPr>
    </w:p>
    <w:p>
      <w:pPr>
        <w:ind w:left="660" w:hanging="328"/>
        <w:spacing w:after="0" w:line="281" w:lineRule="auto"/>
        <w:tabs>
          <w:tab w:leader="none" w:pos="65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accuracy and completeness of the subscriber information used in our audit procedures by selecting a sample of the subscribers, and for those selections agreeing the selected subscriber information to supporting documentation.</w:t>
      </w:r>
    </w:p>
    <w:p>
      <w:pPr>
        <w:spacing w:after="0" w:line="28" w:lineRule="exact"/>
        <w:rPr>
          <w:rFonts w:ascii="Times New Roman" w:cs="Times New Roman" w:eastAsia="Times New Roman" w:hAnsi="Times New Roman"/>
          <w:sz w:val="17"/>
          <w:szCs w:val="17"/>
          <w:color w:val="auto"/>
        </w:rPr>
      </w:pPr>
    </w:p>
    <w:p>
      <w:pPr>
        <w:jc w:val="both"/>
        <w:ind w:left="660" w:hanging="328"/>
        <w:spacing w:after="0" w:line="265" w:lineRule="auto"/>
        <w:tabs>
          <w:tab w:leader="none" w:pos="65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developed expectations of revenue at a disaggregated level based on historical transaction prices, changes in stand-alone selling prices and current year volumes. We also developed an expectation of aggregate domestic residential revenue from subscribers based on cash received during the year. We compared those estimates to revenue recognized by the Company.</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 Refer to Note 9 to the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Company’s evaluation of goodwill for impairment is performed at the reporting unit level. To determine its reporting units, the Company evaluates the components one level below the segment level and aggregates the components if they have similar economic characteristics. The Company performed a quantitative assessment of goodwill for the Media reporting unit, which involved a comparison of the fair value of the Media reporting unit to its carrying value.</w:t>
      </w:r>
    </w:p>
    <w:p>
      <w:pPr>
        <w:spacing w:after="0" w:line="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used the discounted cash flow model to estimate fair value, which requires management to make significant judgments related to discount rates and forecasts of expected cash flows. Changes in these assumptions could have a significant impact on either the fair value, the amount of any goodwill impairment charge, or both.</w:t>
      </w:r>
    </w:p>
    <w:p>
      <w:pPr>
        <w:spacing w:after="0" w:line="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goodwill balance was $58 billion as of December 31, 2024, of which $20 billion was allocated to the Media reporting unit. Based on the quantitative assessment, the estimated fair value of the Media reporting unit exceeded its carrying value and no impairment was recognized.</w:t>
      </w:r>
    </w:p>
    <w:p>
      <w:pPr>
        <w:spacing w:after="0" w:line="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identified the goodwill impairment assessment of the Media reporting unit as a critical audit matter because of the significant judgments made by management to estimate the fair value of the Media reporting unit. This required a high degree of auditor judgment and an increased extent of effort, when performing audit procedures to evaluate management’s conclusion related to the aggregation of components into a single reporting unit and the reasonableness of management’s estimates and assumptions related to the selection of the discount rate, revenue growth rate and Adjusted EBITDA margin included in future expected cash flows for the Media reporting unit.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7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Our audit procedures to evaluate the determination of the reporting unit as well as the discount rate, revenue growth rate and Adjusted EBITDA margin included in future expected cash flows used by management to estimate the fair value of the Media reporting unit included the following, among others:</w:t>
      </w:r>
    </w:p>
    <w:p>
      <w:pPr>
        <w:spacing w:after="0" w:line="69" w:lineRule="exact"/>
        <w:rPr>
          <w:sz w:val="20"/>
          <w:szCs w:val="20"/>
          <w:color w:val="auto"/>
        </w:rPr>
      </w:pPr>
    </w:p>
    <w:p>
      <w:pPr>
        <w:jc w:val="both"/>
        <w:ind w:left="660" w:hanging="328"/>
        <w:spacing w:after="0" w:line="265" w:lineRule="auto"/>
        <w:tabs>
          <w:tab w:leader="none" w:pos="65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goodwill impairment evaluation, including those over (a) the accounting policies regarding identification of the unit of account for goodwill and (b) the determination of the fair value of Media, such as controls related to management’s selection of the discount rate and forecasts of future expected cash flows.</w:t>
      </w:r>
    </w:p>
    <w:p>
      <w:pPr>
        <w:spacing w:after="0" w:line="27" w:lineRule="exact"/>
        <w:rPr>
          <w:rFonts w:ascii="Times New Roman" w:cs="Times New Roman" w:eastAsia="Times New Roman" w:hAnsi="Times New Roman"/>
          <w:sz w:val="17"/>
          <w:szCs w:val="17"/>
          <w:color w:val="auto"/>
        </w:rPr>
      </w:pPr>
    </w:p>
    <w:p>
      <w:pPr>
        <w:jc w:val="both"/>
        <w:ind w:left="660" w:hanging="328"/>
        <w:spacing w:after="0" w:line="273" w:lineRule="auto"/>
        <w:tabs>
          <w:tab w:leader="none" w:pos="65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(1) valuation methodology and (2)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1" w:lineRule="exact"/>
        <w:rPr>
          <w:rFonts w:ascii="Times New Roman" w:cs="Times New Roman" w:eastAsia="Times New Roman" w:hAnsi="Times New Roman"/>
          <w:sz w:val="17"/>
          <w:szCs w:val="17"/>
          <w:color w:val="auto"/>
        </w:rPr>
      </w:pPr>
    </w:p>
    <w:p>
      <w:pPr>
        <w:ind w:left="660" w:hanging="328"/>
        <w:spacing w:after="0" w:line="298" w:lineRule="auto"/>
        <w:tabs>
          <w:tab w:leader="none" w:pos="65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ability to accurately forecast future revenue and Adjusted EBITDA margin by comparing prior year forecasts to actual results in the respective years.</w:t>
      </w:r>
    </w:p>
    <w:p>
      <w:pPr>
        <w:sectPr>
          <w:pgSz w:w="11900" w:h="16838" w:orient="portrait"/>
          <w:cols w:equalWidth="0" w:num="1">
            <w:col w:w="11240"/>
          </w:cols>
          <w:pgMar w:left="320" w:top="117" w:right="339" w:bottom="1440" w:gutter="0" w:footer="0" w:header="0"/>
        </w:sectPr>
      </w:pPr>
    </w:p>
    <w:p>
      <w:pPr>
        <w:spacing w:after="0" w:line="33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59</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660" w:hanging="328"/>
        <w:spacing w:after="0" w:line="265" w:lineRule="auto"/>
        <w:tabs>
          <w:tab w:leader="none" w:pos="65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management’s current forecasts of future revenue and Adjusted EBITDA margin by comparing such forecasts to historical results and to forecasted information included in Company press releases as well as in analyst and industry reports of the Company and companies in its peer group.</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 - Refer to Note 5 to the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completed an internal corporate reorganization which resulted in a federal net capital loss of $9.1 billion, which can be carried back three years. Given capital gains recognized in prior federal income tax returns, the Company recognized an income tax benefit and a corresponding refund receivable of $1.9 billion.</w:t>
      </w:r>
    </w:p>
    <w:p>
      <w:pPr>
        <w:spacing w:after="0" w:line="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identified the accounting for the tax benefit as a critical audit matter due to the significant judgment required to (1) determine whether the tax position’s technical merits are more-likely-than-not to be sustained and (2) measure the amount of the tax benefit that qualifies for recognition. Auditing the Company’s accounting for this position required a high degree of auditor judgment, specialized knowledge, and involvement of our tax specialists.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tax benefit associated with the internal corporate reorganization included the following, among others:</w:t>
      </w:r>
    </w:p>
    <w:p>
      <w:pPr>
        <w:spacing w:after="0" w:line="115"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determination of the tax position and the measurement of the tax benefit.</w:t>
      </w:r>
    </w:p>
    <w:p>
      <w:pPr>
        <w:spacing w:after="0" w:line="88"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tax specialists, we:</w:t>
      </w:r>
    </w:p>
    <w:p>
      <w:pPr>
        <w:spacing w:after="0" w:line="74" w:lineRule="exact"/>
        <w:rPr>
          <w:rFonts w:ascii="Times New Roman" w:cs="Times New Roman" w:eastAsia="Times New Roman" w:hAnsi="Times New Roman"/>
          <w:sz w:val="17"/>
          <w:szCs w:val="17"/>
          <w:color w:val="auto"/>
        </w:rPr>
      </w:pPr>
    </w:p>
    <w:p>
      <w:pPr>
        <w:ind w:left="1300" w:hanging="320"/>
        <w:spacing w:after="0" w:line="298" w:lineRule="auto"/>
        <w:tabs>
          <w:tab w:leader="none" w:pos="1293"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management’s memoranda and third-party opinions used by management to support its position and the related accounting impacts. We assessed the consistency of management’s position with our interpretation of the relevant laws and regulations.</w:t>
      </w:r>
    </w:p>
    <w:p>
      <w:pPr>
        <w:ind w:left="1300" w:hanging="320"/>
        <w:spacing w:after="0"/>
        <w:tabs>
          <w:tab w:leader="none" w:pos="13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Assessed management’s methods and assumptions used in calculating the capital loss and measuring the tax benefit.</w:t>
      </w:r>
    </w:p>
    <w:p>
      <w:pPr>
        <w:spacing w:after="0" w:line="88" w:lineRule="exact"/>
        <w:rPr>
          <w:rFonts w:ascii="Times New Roman" w:cs="Times New Roman" w:eastAsia="Times New Roman" w:hAnsi="Times New Roman"/>
          <w:sz w:val="17"/>
          <w:szCs w:val="17"/>
          <w:color w:val="auto"/>
        </w:rPr>
      </w:pPr>
    </w:p>
    <w:p>
      <w:pPr>
        <w:ind w:left="1300" w:hanging="320"/>
        <w:spacing w:after="0" w:line="281" w:lineRule="auto"/>
        <w:tabs>
          <w:tab w:leader="none" w:pos="130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Recalculated the tax basis of the entities included in the calculation of the capital loss by comparing the amounts to supporting evidence and evaluating the appropriateness of management’s assumptions used to determine the tax basis.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 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31,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1963.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60</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 except per share data)</w:t>
            </w:r>
          </w:p>
        </w:tc>
        <w:tc>
          <w:tcPr>
            <w:tcW w:w="46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123,731</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121,572</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121,427</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37,026</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36,762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38,213</w:t>
            </w: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4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8,073</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7,971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40,533</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39,190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38,263</w:t>
            </w: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8,729</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8,854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6,072</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5,482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30"/>
        </w:trPr>
        <w:tc>
          <w:tcPr>
            <w:tcW w:w="6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8,583</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100,434</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98,258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23,297</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23,314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(4,134)</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(490)</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1,252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18,673</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20,478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(2,796)</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(5,371)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15,877</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15,107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(315)</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67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460" w:type="dxa"/>
            <w:vAlign w:val="bottom"/>
            <w:tcBorders>
              <w:bottom w:val="single" w:sz="8" w:color="0C6D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16,192</w:t>
            </w:r>
          </w:p>
        </w:tc>
        <w:tc>
          <w:tcPr>
            <w:tcW w:w="5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15,388</w:t>
            </w:r>
          </w:p>
        </w:tc>
        <w:tc>
          <w:tcPr>
            <w:tcW w:w="500" w:type="dxa"/>
            <w:vAlign w:val="bottom"/>
            <w:tcBorders>
              <w:bottom w:val="single" w:sz="8" w:color="0C6D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4.17</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3.73</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67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 shareholders</w:t>
            </w:r>
          </w:p>
        </w:tc>
        <w:tc>
          <w:tcPr>
            <w:tcW w:w="460" w:type="dxa"/>
            <w:vAlign w:val="bottom"/>
            <w:tcBorders>
              <w:bottom w:val="single" w:sz="8" w:color="0C6D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4.14</w:t>
            </w:r>
          </w:p>
        </w:tc>
        <w:tc>
          <w:tcPr>
            <w:tcW w:w="5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3.71</w:t>
            </w:r>
          </w:p>
        </w:tc>
        <w:tc>
          <w:tcPr>
            <w:tcW w:w="500" w:type="dxa"/>
            <w:vAlign w:val="bottom"/>
            <w:tcBorders>
              <w:bottom w:val="single" w:sz="8" w:color="0C6D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58"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61</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5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15,877</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15,107</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$(137), $(29) and $310</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(895)</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1,478</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gains (losses), net of deferred taxes of $(4), $8 and $(18)</w:t>
            </w:r>
          </w:p>
        </w:tc>
        <w:tc>
          <w:tcPr>
            <w:tcW w:w="1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57</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176"/>
        </w:trPr>
        <w:tc>
          <w:tcPr>
            <w:tcW w:w="6740" w:type="dxa"/>
            <w:vAlign w:val="bottom"/>
            <w:gridSpan w:val="2"/>
          </w:tcPr>
          <w:p>
            <w:pPr>
              <w:ind w:left="300"/>
              <w:spacing w:after="0" w:line="176" w:lineRule="exact"/>
              <w:rPr>
                <w:sz w:val="20"/>
                <w:szCs w:val="20"/>
                <w:color w:val="auto"/>
              </w:rPr>
            </w:pPr>
            <w:r>
              <w:rPr>
                <w:rFonts w:ascii="Times New Roman" w:cs="Times New Roman" w:eastAsia="Times New Roman" w:hAnsi="Times New Roman"/>
                <w:sz w:val="18"/>
                <w:szCs w:val="18"/>
                <w:color w:val="auto"/>
              </w:rPr>
              <w:t>Realized (gains) losses reclassified to net income, net of deferred taxes of $(1), $38 and</w:t>
            </w:r>
          </w:p>
        </w:tc>
        <w:tc>
          <w:tcPr>
            <w:tcW w:w="560" w:type="dxa"/>
            <w:vAlign w:val="bottom"/>
          </w:tcPr>
          <w:p>
            <w:pPr>
              <w:spacing w:after="0"/>
              <w:rPr>
                <w:sz w:val="15"/>
                <w:szCs w:val="15"/>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w:t>
            </w: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obligations and other, net of deferred taxes of $(9), $(2) and $(11)</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31</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(807)</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1,338</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15,070</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16,445</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(315)</w:t>
            </w:r>
          </w:p>
        </w:tc>
        <w:tc>
          <w:tcPr>
            <w:tcW w:w="5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w:t>
            </w:r>
          </w:p>
        </w:tc>
        <w:tc>
          <w:tcPr>
            <w:tcW w:w="1440" w:type="dxa"/>
            <w:vAlign w:val="bottom"/>
            <w:tcBorders>
              <w:bottom w:val="single" w:sz="8" w:color="0C6DFF"/>
            </w:tcBorders>
          </w:tcPr>
          <w:p>
            <w:pPr>
              <w:spacing w:after="0"/>
              <w:rPr>
                <w:sz w:val="19"/>
                <w:szCs w:val="19"/>
                <w:color w:val="auto"/>
              </w:rPr>
            </w:pP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15,402</w:t>
            </w:r>
          </w:p>
        </w:tc>
        <w:tc>
          <w:tcPr>
            <w:tcW w:w="54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8"/>
                <w:szCs w:val="18"/>
                <w:color w:val="auto"/>
              </w:rPr>
              <w:t>16,746</w:t>
            </w:r>
          </w:p>
        </w:tc>
        <w:tc>
          <w:tcPr>
            <w:tcW w:w="54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362"/>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1440" w:type="dxa"/>
            <w:vAlign w:val="bottom"/>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62</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5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60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15,877</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15,107</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14,802</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14,336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w:t>
            </w: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1,288</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1,241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464</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1,088</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(902)</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(2,739)</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136</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290</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(758)</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6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(4,611)</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2,784</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23"/>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27,673</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28,501</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(12,181)</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(12,242)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(2,949)</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of Universal Beijing Resort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(116)</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businesses and investments</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771</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661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on sale of investment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8,610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(1,082)</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30"/>
        </w:trPr>
        <w:tc>
          <w:tcPr>
            <w:tcW w:w="6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(113)</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558</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(15,670)</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(7,161)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(14,140)</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(repayments of) short-term borrowings, net</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6,268</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6,052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(3,573)</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collateralized obligation</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(9,103)</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(11,291)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w:t>
            </w: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(4,814)</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r>
      <w:tr>
        <w:trPr>
          <w:trHeight w:val="230"/>
        </w:trPr>
        <w:tc>
          <w:tcPr>
            <w:tcW w:w="6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339</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3"/>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(10,883)</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(19,850)</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1,095</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1,500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6,282</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4,782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23"/>
        </w:trPr>
        <w:tc>
          <w:tcPr>
            <w:tcW w:w="66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6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7,377</w:t>
            </w:r>
          </w:p>
        </w:tc>
        <w:tc>
          <w:tcPr>
            <w:tcW w:w="52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6,282</w:t>
            </w:r>
          </w:p>
        </w:tc>
        <w:tc>
          <w:tcPr>
            <w:tcW w:w="5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58"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63</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 except share data)</w:t>
            </w:r>
          </w:p>
        </w:tc>
        <w:tc>
          <w:tcPr>
            <w:tcW w:w="2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7,322</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13,661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5,817</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26,801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23,987</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12,541</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8,647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62,548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58,209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59,365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25,599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12,501</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960" w:type="dxa"/>
            <w:vAlign w:val="bottom"/>
            <w:tcBorders>
              <w:bottom w:val="single" w:sz="8" w:color="0C6DFF"/>
            </w:tcBorders>
          </w:tcPr>
          <w:p>
            <w:pPr>
              <w:spacing w:after="0"/>
              <w:rPr>
                <w:sz w:val="19"/>
                <w:szCs w:val="19"/>
                <w:color w:val="auto"/>
              </w:rPr>
            </w:pPr>
          </w:p>
        </w:tc>
        <w:tc>
          <w:tcPr>
            <w:tcW w:w="64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266,211</w:t>
            </w:r>
          </w:p>
        </w:tc>
        <w:tc>
          <w:tcPr>
            <w:tcW w:w="5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264,811</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11,321</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3,507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10,679</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4,907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on sale of investment</w:t>
            </w:r>
          </w:p>
        </w:tc>
        <w:tc>
          <w:tcPr>
            <w:tcW w:w="2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9,167</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39,581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94,186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25,227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20,942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4,651,093,045 and</w:t>
            </w:r>
          </w:p>
        </w:tc>
        <w:tc>
          <w:tcPr>
            <w:tcW w:w="640" w:type="dxa"/>
            <w:vAlign w:val="bottom"/>
          </w:tcPr>
          <w:p>
            <w:pPr>
              <w:spacing w:after="0"/>
              <w:rPr>
                <w:sz w:val="15"/>
                <w:szCs w:val="15"/>
                <w:color w:val="auto"/>
              </w:rPr>
            </w:pPr>
          </w:p>
        </w:tc>
        <w:tc>
          <w:tcPr>
            <w:tcW w:w="102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4,842,108,959; outstanding, 3,778,302,017 and 3,969,317,931</w:t>
            </w:r>
          </w:p>
        </w:tc>
        <w:tc>
          <w:tcPr>
            <w:tcW w:w="2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38,102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56,972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872,791,028 Class A common shares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(7,517)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(2,043)</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85,560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82,703</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477</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86,038</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83,226</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960" w:type="dxa"/>
            <w:vAlign w:val="bottom"/>
            <w:tcBorders>
              <w:bottom w:val="single" w:sz="8" w:color="0C6DFF"/>
            </w:tcBorders>
            <w:shd w:val="clear" w:color="auto" w:fill="CCEEFF"/>
          </w:tcPr>
          <w:p>
            <w:pPr>
              <w:spacing w:after="0"/>
              <w:rPr>
                <w:sz w:val="19"/>
                <w:szCs w:val="19"/>
                <w:color w:val="auto"/>
              </w:rPr>
            </w:pPr>
          </w:p>
        </w:tc>
        <w:tc>
          <w:tcPr>
            <w:tcW w:w="64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266,211</w:t>
            </w:r>
          </w:p>
        </w:tc>
        <w:tc>
          <w:tcPr>
            <w:tcW w:w="500" w:type="dxa"/>
            <w:vAlign w:val="bottom"/>
            <w:tcBorders>
              <w:bottom w:val="single" w:sz="8" w:color="0C6D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264,811</w:t>
            </w:r>
          </w:p>
        </w:tc>
        <w:tc>
          <w:tcPr>
            <w:tcW w:w="0" w:type="dxa"/>
            <w:vAlign w:val="bottom"/>
          </w:tcPr>
          <w:p>
            <w:pPr>
              <w:spacing w:after="0"/>
              <w:rPr>
                <w:sz w:val="1"/>
                <w:szCs w:val="1"/>
                <w:color w:val="auto"/>
              </w:rPr>
            </w:pPr>
          </w:p>
        </w:tc>
      </w:tr>
      <w:tr>
        <w:trPr>
          <w:trHeight w:val="362"/>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2960" w:type="dxa"/>
            <w:vAlign w:val="bottom"/>
          </w:tcPr>
          <w:p>
            <w:pPr>
              <w:jc w:val="right"/>
              <w:ind w:right="2408"/>
              <w:spacing w:after="0"/>
              <w:rPr>
                <w:sz w:val="20"/>
                <w:szCs w:val="20"/>
                <w:color w:val="auto"/>
              </w:rPr>
            </w:pPr>
            <w:r>
              <w:rPr>
                <w:rFonts w:ascii="Times New Roman" w:cs="Times New Roman" w:eastAsia="Times New Roman" w:hAnsi="Times New Roman"/>
                <w:sz w:val="14"/>
                <w:szCs w:val="14"/>
                <w:b w:val="1"/>
                <w:bCs w:val="1"/>
                <w:color w:val="auto"/>
              </w:rPr>
              <w:t>64</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1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9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241</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411</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2"/>
        </w:trPr>
        <w:tc>
          <w:tcPr>
            <w:tcW w:w="63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0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237</w:t>
            </w:r>
          </w:p>
        </w:tc>
        <w:tc>
          <w:tcPr>
            <w:tcW w:w="300" w:type="dxa"/>
            <w:vAlign w:val="bottom"/>
            <w:tcBorders>
              <w:bottom w:val="single" w:sz="8" w:color="0C6D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6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9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6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4"/>
        </w:trPr>
        <w:tc>
          <w:tcPr>
            <w:tcW w:w="6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8"/>
        </w:trPr>
        <w:tc>
          <w:tcPr>
            <w:tcW w:w="6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year</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9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38,533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39,412</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40,173</w:t>
            </w:r>
          </w:p>
        </w:tc>
      </w:tr>
      <w:tr>
        <w:trPr>
          <w:trHeight w:val="229"/>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1,169</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1,063</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9"/>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(1,841)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30"/>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Issuances of common stock under employee plans</w:t>
            </w:r>
          </w:p>
        </w:tc>
        <w:tc>
          <w:tcPr>
            <w:tcW w:w="9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240</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272</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6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62"/>
        </w:trPr>
        <w:tc>
          <w:tcPr>
            <w:tcW w:w="6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38,102</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38,533</w:t>
            </w:r>
          </w:p>
        </w:tc>
        <w:tc>
          <w:tcPr>
            <w:tcW w:w="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39,412</w:t>
            </w:r>
          </w:p>
        </w:tc>
      </w:tr>
      <w:tr>
        <w:trPr>
          <w:trHeight w:val="229"/>
        </w:trPr>
        <w:tc>
          <w:tcPr>
            <w:tcW w:w="6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9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52,892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51,609</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61,902</w:t>
            </w:r>
          </w:p>
        </w:tc>
      </w:tr>
      <w:tr>
        <w:trPr>
          <w:trHeight w:val="229"/>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9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(7,251)</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(9,309)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w:t>
            </w: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(4,862)</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(4,795)</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r>
      <w:tr>
        <w:trPr>
          <w:trHeight w:val="230"/>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16,192</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15,388</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r>
      <w:tr>
        <w:trPr>
          <w:trHeight w:val="262"/>
        </w:trPr>
        <w:tc>
          <w:tcPr>
            <w:tcW w:w="6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56,972</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52,892</w:t>
            </w:r>
          </w:p>
        </w:tc>
        <w:tc>
          <w:tcPr>
            <w:tcW w:w="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51,609</w:t>
            </w:r>
          </w:p>
        </w:tc>
      </w:tr>
      <w:tr>
        <w:trPr>
          <w:trHeight w:val="230"/>
        </w:trPr>
        <w:tc>
          <w:tcPr>
            <w:tcW w:w="6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9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r>
      <w:tr>
        <w:trPr>
          <w:trHeight w:val="230"/>
        </w:trPr>
        <w:tc>
          <w:tcPr>
            <w:tcW w:w="6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year</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(7,517)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(7,517)</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34"/>
        </w:trPr>
        <w:tc>
          <w:tcPr>
            <w:tcW w:w="6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(1,253)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(2,611)</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30"/>
        </w:trPr>
        <w:tc>
          <w:tcPr>
            <w:tcW w:w="6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(790)</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1,358</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62"/>
        </w:trPr>
        <w:tc>
          <w:tcPr>
            <w:tcW w:w="6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(2,043)</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(1,253)</w:t>
            </w:r>
          </w:p>
        </w:tc>
        <w:tc>
          <w:tcPr>
            <w:tcW w:w="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29"/>
        </w:trPr>
        <w:tc>
          <w:tcPr>
            <w:tcW w:w="6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9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523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684</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30"/>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295</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6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(324)</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3"/>
        </w:trPr>
        <w:tc>
          <w:tcPr>
            <w:tcW w:w="6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477</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523</w:t>
            </w:r>
          </w:p>
        </w:tc>
        <w:tc>
          <w:tcPr>
            <w:tcW w:w="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3"/>
        </w:trPr>
        <w:tc>
          <w:tcPr>
            <w:tcW w:w="63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0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86,038</w:t>
            </w:r>
          </w:p>
        </w:tc>
        <w:tc>
          <w:tcPr>
            <w:tcW w:w="300" w:type="dxa"/>
            <w:vAlign w:val="bottom"/>
            <w:tcBorders>
              <w:bottom w:val="single" w:sz="8" w:color="0C6D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83,226</w:t>
            </w:r>
          </w:p>
        </w:tc>
        <w:tc>
          <w:tcPr>
            <w:tcW w:w="52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81,627</w:t>
            </w:r>
          </w:p>
        </w:tc>
      </w:tr>
      <w:tr>
        <w:trPr>
          <w:trHeight w:val="223"/>
        </w:trPr>
        <w:tc>
          <w:tcPr>
            <w:tcW w:w="63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90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1.24</w:t>
            </w:r>
          </w:p>
        </w:tc>
        <w:tc>
          <w:tcPr>
            <w:tcW w:w="300" w:type="dxa"/>
            <w:vAlign w:val="bottom"/>
            <w:tcBorders>
              <w:bottom w:val="single" w:sz="8" w:color="0C6D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61"/>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21"/>
        </w:trPr>
        <w:tc>
          <w:tcPr>
            <w:tcW w:w="6300" w:type="dxa"/>
            <w:vAlign w:val="bottom"/>
          </w:tcPr>
          <w:p>
            <w:pPr>
              <w:ind w:left="5520"/>
              <w:spacing w:after="0"/>
              <w:rPr>
                <w:sz w:val="20"/>
                <w:szCs w:val="20"/>
                <w:color w:val="auto"/>
              </w:rPr>
            </w:pPr>
            <w:r>
              <w:rPr>
                <w:rFonts w:ascii="Times New Roman" w:cs="Times New Roman" w:eastAsia="Times New Roman" w:hAnsi="Times New Roman"/>
                <w:sz w:val="14"/>
                <w:szCs w:val="14"/>
                <w:b w:val="1"/>
                <w:bCs w:val="1"/>
                <w:color w:val="auto"/>
              </w:rPr>
              <w:t>65</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Comcast 2024 Annual Report on Form 10-K</w:t>
            </w:r>
          </w:p>
        </w:tc>
      </w:tr>
      <w:tr>
        <w:trPr>
          <w:trHeight w:val="328"/>
        </w:trPr>
        <w:tc>
          <w:tcPr>
            <w:tcW w:w="6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all entities in which we have a controlling voting interest and variable interest entities (“VIEs”) required to be consolidated, including Universal Beijing Resort (see Note 7).</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consolidated balance sheets. Any foreign currency transaction gains or losses are included in our consolidated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announced our intention to create SpinCo, a new independent publicly traded company comprised of select domestic cable television networks along with complementary digital assets through a tax-free spin-off. We are targeting to complete the Spin-off by the end of 2025, subject to the satisfaction of customary conditions, including obtaining final approval from our Board of Directors, satisfactory completion of SpinCo financings, receipt of tax opinions and receipt of any regulatory approvals. There can be no assurance that a separation transaction will occur, or, if one does, of its terms or timing. The consolidated financial statements and related notes do not reflect the proposed Spin-off.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current liability for accrued participations and residuals is separately disclosed in Note 4 in the current year and is included within the “accrued expenses and other current liabilities” caption in our consolidated balance sheet for all periods presented. Previously these amounts were presented in a separate caption in our consolidated balance sheet.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The following accounting policies are specific to the industries in which we operate:</w:t>
      </w:r>
    </w:p>
    <w:p>
      <w:pPr>
        <w:spacing w:after="0" w:line="7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amortization of film and television costs (see Note 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connecting customers to our HFC network (see Note 8)</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we use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Advertising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006EBF"/>
        </w:rPr>
        <w:t>Fair Value Measurements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guidance related to fair value measurements establishes a hierarchy based on the types of inputs used for the various valuation techniques.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of the hierarchy are described below.</w:t>
      </w:r>
    </w:p>
    <w:p>
      <w:pPr>
        <w:spacing w:after="0" w:line="9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Values are determined using quoted market prices for identical financial instruments in an active market.</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this three-tier fair value hierarchy to measure the fair value of certain financial instruments on a recurring basis, such as for investments (see Note 7); on a non-recurring basis, such as for acquisitions and impairment testing (see Note 9); and for disclosure purposes, such as for debt (see Note 6). Our assessment of the significance of a particular input to the fair value measurement requires judgment and may affect the valuation and classification within the fair value hierarchy.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2024 Annual Report on Form 10-K</w:t>
      </w:r>
      <w:r>
        <w:rPr>
          <w:sz w:val="20"/>
          <w:szCs w:val="20"/>
          <w:color w:val="auto"/>
        </w:rPr>
        <w:tab/>
      </w:r>
      <w:r>
        <w:rPr>
          <w:rFonts w:ascii="Times New Roman" w:cs="Times New Roman" w:eastAsia="Times New Roman" w:hAnsi="Times New Roman"/>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EBF"/>
        </w:rPr>
        <w:t>Income Tax Disclosures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We will adopt the updated accounting guidance in our Annual Report on Form 10-K for the year ending December 31, 2025.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Disaggregation of Income Statement Expenses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about certain costs and expenses. The updated accounting guidance, among other things, requires quantitative disclosures for employee compensation, selling expenses and purchases of inventory. The updated guidance is effective beginning in our Annual Report on Form 10-K for the year ending December 31, 2027.</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media and technology company with five segments: Residential Connectivity &amp; Platforms, Business Services Connectivity, Media, Studios and Theme Parks. Our segments align to our primary business operations and how our Chairman and Chief Executive Officer, the chief operating decision maker, reviews our operating results. See Note 3 for a description of the various products and services within each segment.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Transactions between our segments generally include intercompany profit consistent with third-party transactions. The Residential Connectivity &amp; Platforms and the Business Services Connectivity segments use certain shared infrastructure, including our network in the United States, and each segment is presented with its direct costs and an allocation of shared costs, as well as revenue from its customers.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data by segment is presented in the tables below. We do not present asset information for our segments as this information is not used to allocate resources.</w:t>
      </w:r>
    </w:p>
    <w:p>
      <w:pPr>
        <w:spacing w:after="0" w:line="200" w:lineRule="exact"/>
        <w:rPr>
          <w:sz w:val="20"/>
          <w:szCs w:val="20"/>
          <w:color w:val="auto"/>
        </w:rPr>
      </w:pPr>
    </w:p>
    <w:p>
      <w:pPr>
        <w:spacing w:after="0" w:line="26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67</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Theme Parks</w:t>
            </w:r>
          </w:p>
        </w:tc>
        <w:tc>
          <w:tcPr>
            <w:tcW w:w="28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Connectivity</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123,731</w:t>
            </w: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w:t>
            </w:r>
          </w:p>
        </w:tc>
        <w:tc>
          <w:tcPr>
            <w:tcW w:w="0" w:type="dxa"/>
            <w:vAlign w:val="bottom"/>
          </w:tcPr>
          <w:p>
            <w:pPr>
              <w:spacing w:after="0"/>
              <w:rPr>
                <w:sz w:val="1"/>
                <w:szCs w:val="1"/>
                <w:color w:val="auto"/>
              </w:rPr>
            </w:pPr>
          </w:p>
        </w:tc>
      </w:tr>
      <w:tr>
        <w:trPr>
          <w:trHeight w:val="409"/>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1"/>
                <w:szCs w:val="11"/>
                <w:color w:val="auto"/>
              </w:rPr>
            </w:pPr>
          </w:p>
        </w:tc>
        <w:tc>
          <w:tcPr>
            <w:tcW w:w="108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1"/>
                <w:szCs w:val="11"/>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1"/>
                <w:szCs w:val="11"/>
                <w:color w:val="auto"/>
              </w:rPr>
            </w:pPr>
          </w:p>
        </w:tc>
        <w:tc>
          <w:tcPr>
            <w:tcW w:w="10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Theme Parks</w:t>
            </w:r>
          </w:p>
        </w:tc>
        <w:tc>
          <w:tcPr>
            <w:tcW w:w="28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Pr>
          <w:p>
            <w:pPr>
              <w:spacing w:after="0"/>
              <w:rPr>
                <w:sz w:val="16"/>
                <w:szCs w:val="16"/>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Connectivity</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121,572</w:t>
            </w: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39,808</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2024 Annual Report on Form 10-K</w:t>
      </w:r>
      <w:r>
        <w:rPr>
          <w:sz w:val="20"/>
          <w:szCs w:val="20"/>
          <w:color w:val="auto"/>
        </w:rPr>
        <w:tab/>
      </w:r>
      <w:r>
        <w:rPr>
          <w:rFonts w:ascii="Times New Roman" w:cs="Times New Roman" w:eastAsia="Times New Roman" w:hAnsi="Times New Roman"/>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Connectivity</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22,147</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127,722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121,427</w:t>
            </w: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27,775</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38,414</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and long-lived asset impairments</w:t>
            </w:r>
            <w:r>
              <w:rPr>
                <w:rFonts w:ascii="Times New Roman" w:cs="Times New Roman" w:eastAsia="Times New Roman" w:hAnsi="Times New Roman"/>
                <w:sz w:val="23"/>
                <w:szCs w:val="23"/>
                <w:color w:val="auto"/>
                <w:vertAlign w:val="superscript"/>
              </w:rPr>
              <w:t>(g)</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46" w:lineRule="auto"/>
        <w:tabs>
          <w:tab w:leader="none" w:pos="337"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most significant intersegment revenue transactions include distribution revenue in Media related to fees from Residential Connectivity &amp; Platforms for the rights to distribute television programming, and content licensing revenue in Studios for licenses of owned content to Media. Revenue for licenses of content from Studios to Media is generally recognized at a point in time, consistent with the recognition of transactions with third parties, when the content is delivered and made available for use. The costs of these licenses in Media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w:t>
      </w:r>
    </w:p>
    <w:p>
      <w:pPr>
        <w:spacing w:after="0" w:line="52"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operations of our Sky-branded video services and television networks in Germany; Comcast Spectacor, which owns the Philadelphia Flyers and the Wells Fargo Center arena in Philadelphia, Pennsylvania; and Xumo, our consolidated streaming platform joint venture with Charter Communications. Corporate and other also includes overhead and personnel costs for Corporate.</w:t>
      </w:r>
    </w:p>
    <w:p>
      <w:pPr>
        <w:spacing w:after="0" w:line="35" w:lineRule="exact"/>
        <w:rPr>
          <w:rFonts w:ascii="Times New Roman" w:cs="Times New Roman" w:eastAsia="Times New Roman" w:hAnsi="Times New Roman"/>
          <w:sz w:val="14"/>
          <w:szCs w:val="14"/>
          <w:color w:val="auto"/>
        </w:rPr>
      </w:pPr>
    </w:p>
    <w:p>
      <w:pPr>
        <w:ind w:left="340" w:hanging="332"/>
        <w:spacing w:after="0" w:line="302" w:lineRule="auto"/>
        <w:tabs>
          <w:tab w:leader="none" w:pos="337"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our chief operating decision maker. Intersegment expenses are included in the amounts shown.</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segment primarily includes:</w:t>
      </w:r>
    </w:p>
    <w:p>
      <w:pPr>
        <w:spacing w:after="0" w:line="82" w:lineRule="exact"/>
        <w:rPr>
          <w:rFonts w:ascii="Times New Roman" w:cs="Times New Roman" w:eastAsia="Times New Roman" w:hAnsi="Times New Roman"/>
          <w:sz w:val="14"/>
          <w:szCs w:val="14"/>
          <w:color w:val="auto"/>
        </w:rPr>
      </w:pPr>
    </w:p>
    <w:p>
      <w:pPr>
        <w:jc w:val="both"/>
        <w:ind w:left="340"/>
        <w:spacing w:after="0" w:line="27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and Business Services Connectivity: technical and support; direct product costs; marketing and promotion; customer service; administrative personnel costs; franchise and other regulatory fees; fees paid to third parties where we sell advertising on their behalf; bad debt; and other business, headquarters and support costs, including building and office expenses, taxes and billing costs necessary to operate the Residential Connectivity &amp; Platforms and Business Services Connectivity segments. Our chief operating decision maker uses aggregate expense information to manage the operations of the Business Services Connectivity segment.</w:t>
      </w:r>
    </w:p>
    <w:p>
      <w:pPr>
        <w:spacing w:after="0" w:line="3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 and Studios: salaries, employee benefits, rent and other overhead expenses.</w:t>
      </w:r>
    </w:p>
    <w:p>
      <w:pPr>
        <w:spacing w:after="0" w:line="82" w:lineRule="exact"/>
        <w:rPr>
          <w:rFonts w:ascii="Times New Roman" w:cs="Times New Roman" w:eastAsia="Times New Roman" w:hAnsi="Times New Roman"/>
          <w:sz w:val="14"/>
          <w:szCs w:val="14"/>
          <w:color w:val="auto"/>
        </w:rPr>
      </w:pPr>
    </w:p>
    <w:p>
      <w:pPr>
        <w:ind w:left="340"/>
        <w:spacing w:after="0" w:line="30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Theme Parks: theme park operations, including repairs and maintenance and related administrative expenses; food, beverage and merchandise costs; labor costs; and sales and marketing costs. Our chief operating decision maker uses aggregate expense information to manage the operations of the Theme Parks segment.</w:t>
      </w:r>
    </w:p>
    <w:p>
      <w:pPr>
        <w:spacing w:after="0" w:line="13" w:lineRule="exact"/>
        <w:rPr>
          <w:rFonts w:ascii="Times New Roman" w:cs="Times New Roman" w:eastAsia="Times New Roman" w:hAnsi="Times New Roman"/>
          <w:sz w:val="14"/>
          <w:szCs w:val="14"/>
          <w:color w:val="auto"/>
        </w:rPr>
      </w:pPr>
    </w:p>
    <w:p>
      <w:pPr>
        <w:jc w:val="both"/>
        <w:ind w:left="340" w:hanging="332"/>
        <w:spacing w:after="0" w:line="268" w:lineRule="auto"/>
        <w:tabs>
          <w:tab w:leader="none" w:pos="337"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segments. For each of our segments, our chief operating decision maker uses Adjusted EBITDA to measure operational strength and performance, assist in the evaluation of underlying trends, and allocate resources in the annual budget and forecasting process. Adjusted EBITDA is also a significant performance measure in our annual incentive compensation programs. From time to time we may report the impact of certain events, gains, losses or other charges related to our segments within Corporate and other.</w:t>
      </w:r>
    </w:p>
    <w:p>
      <w:pPr>
        <w:spacing w:after="0" w:line="5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overhead, personnel costs and other costs necessary to operate the Media, Studios and Theme Parks segments.</w:t>
      </w:r>
    </w:p>
    <w:p>
      <w:pPr>
        <w:spacing w:after="0" w:line="8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9 for a discussion of impairment charges in 2022 related to goodwill and long-lived assets.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69</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780" w:type="dxa"/>
            <w:vAlign w:val="bottom"/>
          </w:tcPr>
          <w:p>
            <w:pPr>
              <w:spacing w:after="0"/>
              <w:rPr>
                <w:sz w:val="16"/>
                <w:szCs w:val="16"/>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broadband</w:t>
            </w:r>
          </w:p>
        </w:tc>
        <w:tc>
          <w:tcPr>
            <w:tcW w:w="17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26,228</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25,489</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24,469</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 wireless</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4,273</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3,664</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30"/>
        </w:trPr>
        <w:tc>
          <w:tcPr>
            <w:tcW w:w="5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1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4,854</w:t>
            </w: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4,207</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35,355</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33,359</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30,966</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26,872</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28,797</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4,089</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3,969</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5,259</w:t>
            </w: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5,820</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 &amp; Platforms Segment</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71,574</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71,946</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72,386</w:t>
            </w:r>
          </w:p>
        </w:tc>
      </w:tr>
      <w:tr>
        <w:trPr>
          <w:trHeight w:val="108"/>
        </w:trPr>
        <w:tc>
          <w:tcPr>
            <w:tcW w:w="52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Business Services Connectivity Segment</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9,701</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9,255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w:t>
            </w:r>
          </w:p>
        </w:tc>
      </w:tr>
      <w:tr>
        <w:trPr>
          <w:trHeight w:val="108"/>
        </w:trPr>
        <w:tc>
          <w:tcPr>
            <w:tcW w:w="52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advertising</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10,008</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8,600</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distribution</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11,826</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10,663</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networks</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4,282</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4,109</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2,031</w:t>
            </w: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1,983</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Media Segment</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28,148</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25,355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r>
      <w:tr>
        <w:trPr>
          <w:trHeight w:val="108"/>
        </w:trPr>
        <w:tc>
          <w:tcPr>
            <w:tcW w:w="52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8,063</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8,231</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1,693</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2,079</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29"/>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1,335</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1,315</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Studios Segment</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11,092</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11,625</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r>
      <w:tr>
        <w:trPr>
          <w:trHeight w:val="108"/>
        </w:trPr>
        <w:tc>
          <w:tcPr>
            <w:tcW w:w="5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Theme Parks Segment</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8,617</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8,947</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r>
      <w:tr>
        <w:trPr>
          <w:trHeight w:val="108"/>
        </w:trPr>
        <w:tc>
          <w:tcPr>
            <w:tcW w:w="5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(a)</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2,982</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2,827</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r>
      <w:tr>
        <w:trPr>
          <w:trHeight w:val="229"/>
        </w:trPr>
        <w:tc>
          <w:tcPr>
            <w:tcW w:w="52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(8,383)</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(8,383)</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w:t>
            </w:r>
          </w:p>
        </w:tc>
      </w:tr>
      <w:tr>
        <w:trPr>
          <w:trHeight w:val="223"/>
        </w:trPr>
        <w:tc>
          <w:tcPr>
            <w:tcW w:w="52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78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123,731</w:t>
            </w:r>
          </w:p>
        </w:tc>
        <w:tc>
          <w:tcPr>
            <w:tcW w:w="52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121,572</w:t>
            </w:r>
          </w:p>
        </w:tc>
        <w:tc>
          <w:tcPr>
            <w:tcW w:w="52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121,427</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See Note 2 for additional information on intersegment revenue transactions.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primarily in the United States but also in select international markets. The table below summarizes our consolidated revenue from customers in certain geographic locations.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580" w:type="dxa"/>
            <w:vAlign w:val="bottom"/>
          </w:tcPr>
          <w:p>
            <w:pPr>
              <w:spacing w:after="0"/>
              <w:rPr>
                <w:sz w:val="16"/>
                <w:szCs w:val="16"/>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4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96,237</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94,375</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96,441</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58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14,194</w:t>
            </w:r>
          </w:p>
        </w:tc>
        <w:tc>
          <w:tcPr>
            <w:tcW w:w="540" w:type="dxa"/>
            <w:vAlign w:val="bottom"/>
          </w:tcPr>
          <w:p>
            <w:pPr>
              <w:spacing w:after="0"/>
              <w:rPr>
                <w:sz w:val="19"/>
                <w:szCs w:val="19"/>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13,364</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w:t>
            </w:r>
          </w:p>
        </w:tc>
      </w:tr>
      <w:tr>
        <w:trPr>
          <w:trHeight w:val="229"/>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13,300</w:t>
            </w: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13,833</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r>
      <w:tr>
        <w:trPr>
          <w:trHeight w:val="223"/>
        </w:trPr>
        <w:tc>
          <w:tcPr>
            <w:tcW w:w="44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58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0C6DFF"/>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123,731</w:t>
            </w:r>
          </w:p>
        </w:tc>
        <w:tc>
          <w:tcPr>
            <w:tcW w:w="54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C6DFF"/>
            </w:tcBorders>
          </w:tcPr>
          <w:p>
            <w:pPr>
              <w:jc w:val="right"/>
              <w:ind w:right="74"/>
              <w:spacing w:after="0"/>
              <w:rPr>
                <w:sz w:val="20"/>
                <w:szCs w:val="20"/>
                <w:color w:val="auto"/>
              </w:rPr>
            </w:pPr>
            <w:r>
              <w:rPr>
                <w:rFonts w:ascii="Times New Roman" w:cs="Times New Roman" w:eastAsia="Times New Roman" w:hAnsi="Times New Roman"/>
                <w:sz w:val="18"/>
                <w:szCs w:val="18"/>
                <w:color w:val="auto"/>
              </w:rPr>
              <w:t>121,572</w:t>
            </w: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121,427</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Residential Connectivity &amp; Platforms generates revenue from customers that subscribe to our residential broadband and wireless connectivity services, residential and business video services and residential wireline voice services in the United States, the United Kingdom and Italy. We offer these services individually and as bundled services at a discounted rate.</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Subscription rates and related charges vary according to the services and features customers receive, and customers are typically billed in advance and pay on a monthly basis. Revenue from customers that purchase bundled services at a discounted rate is allocated between the separate services based on the respective stand-alone selling prices. The stand-alone selling prices are determined based on the current prices at which we separately sell the services. Significant judgment is used to determine performance obligations that should be accounted for separately and the allocation of revenue when services are combined in a bundle.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70</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While a portion of our customers are subject to contracts for their services, which are typically 1 month to 2 years in length, based on our evaluation of the terms of these contracts, we recognize revenue for these services primarily on a basis that is consistent with our customers that are not subject to contracts and recognize revenue as the services are provided on a monthly basis. Installation fees for these customers are deferred and recognized as revenue over the period of benefit to the customer, which is less than a year. Certain international customers are under contracts, with terms typically ranging from rolling monthly to 24 months, depending on the service, and may only discontinue service in accordance with the terms of their contracts. We recognize revenue for these customers as the services are provided over the contract period. At any given time, the amount of future revenue to be earned from these customers related to existing agreements is equal to less than 10% of our annual Residential Connectivity &amp; Platforms revenue and will generally be recognized within 24 months. Sales commissions are generally expensed as incurred, as the related period of benefit is less than a year. Sales commissions for the international customers under contract are generally deferred and recognized over the respective contract terms.</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services generally involve customer premise equipment, such as wireless gateways and set-top boxes, that are generally considered part of our services for revenue recognition. We recognize revenue from the sale of devices, including wireless devices and Sky Glass smart televisions, when they are transferred to the customer. Under an equipment installment plan, customers typically have the option to finance wireless devices and Sky Glass smart televisions interest-free over 24 months, and up to 48 months for international customers. Equipment installment plan receivables under these arrangements are recorded net of imputed interest when the devices are transferred to the customer.</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arrangements to sell certain DTC streaming services to our customers. We have concluded we are the sales agent in these arrangements, and we record net commission revenue as earned, which is generally as customers are billed on a monthly basis, within domestic broadband and international connectivity revenue.</w:t>
      </w:r>
    </w:p>
    <w:p>
      <w:pPr>
        <w:spacing w:after="0" w:line="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terms of our domestic cable franchise agreements, we are generally required to pay the cable franchising authority an amount based on gross video revenue. We generally pass these and other similar fees through to our domestic customers and classify these fees in the respective Residential Connectivity &amp; Platforms services revenue, with the corresponding costs included in other operating and administrative expenses.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generated from the sale of advertising and technology, tools and solutions relating to advertising businesses. As part of distribution agreements with domestic cable networks, we generally receive an allocation of scheduled advertising time that we sell to advertisers. In addition, we generate revenue from the sale of advertising on our owned Sky-branded entertainment television networks and our digital platforms. In most cases, the available advertising units are sold by our sales force. We also enter into representation agreements under which we sell advertising on behalf of third parties. Since we are acting as the principal in these arrangements, we record the advertising that is sold in advertising revenue and the fees paid to the third parties in other operating and administrative expenses. In some cases, we work with representation firms as an extension of our sales force to sell a portion of the advertising units allocated to us and record the revenue net of agency commissions.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determined that a contract exists for our advertising sales arrangements once all terms and conditions are agreed upon, typically when the number of advertising units is specifically identified and scheduled. Advertisements are generally aired or delivered within one year once all terms and conditions are agreed upon. Revenue from these arrangements is recognized in the period in which advertisements are aired or delivered. Payment terms vary by contract, although terms generally require payment within 30 to 60 days from when advertisements are aired or delivered. We also provide technology, tools, data-driven services and marketplace solutions to customers in the media industry to facilitate the more effective engagement of advertisers with their target audiences and recognize revenue when these services are provided.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 Segment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Services Connectivity generates revenue from subscribers to a variety of our products and services which are offered to businesses. Our connectivity service offerings for small business locations in the United States primarily include broadband, wireline voice and wireless services that are similar to those provided to our residential customers and include certain other features specific to businesses. Our enterprise solutions offerings for medium-sized customers and larger enterprises also include ethernet network services, advanced voice services and a software-defined networking product. We also have certain business connectivity service offerings in the United Kingdom.</w:t>
      </w:r>
    </w:p>
    <w:p>
      <w:pPr>
        <w:spacing w:after="0" w:line="200" w:lineRule="exact"/>
        <w:rPr>
          <w:sz w:val="20"/>
          <w:szCs w:val="20"/>
          <w:color w:val="auto"/>
        </w:rPr>
      </w:pPr>
    </w:p>
    <w:p>
      <w:pPr>
        <w:spacing w:after="0" w:line="288"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71</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 as the services are provided over the contract period. Substantially all of our customers are initially under contracts, with terms typically ranging from 2 years for small and medium-sized businesses to up to 5 years for larger enterprises. Customers with contracts may only discontinue service in accordance with the terms of their contracts. At any given time, the amount of future revenue to be earned related to fixed pricing under existing agreements is equal to approximately half of our annual Business Services Connectivity segment revenue, of which the substantial majority will be recognized within 2 years. Customers under contract typically pay on a monthly basis. Installation revenue and sales commissions are generally deferred and recognized over the respective contract terms.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generates revenue from the sale of advertising on our linear television networks, Peacock and other digital properties.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006EBF"/>
        </w:rPr>
        <w:t>Distribution</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Media generates revenue from the distribution of television programming in the United States and internationally to traditional multichannel video providers, such as our Residential Connectivity &amp; Platforms segment, and to virtual multichannel video providers that offer streamed linear television networks. This revenue includes amounts under NBC and Telemundo retransmission consent agreements, and we also receive associated fees from NBC-affiliated and Telemundo-affiliated local broadcast television stations. We also receive monthly subscription fees for our Peacock service either directly from customers or from companies who sell Peacock to customers on our behalf. We have determined that we are principal in these arrangements and in the event we do not have transparency into the pricing charged by a company selling Peacock on our behalf, the amount of revenue recognized is limited to the fees receivable from that company pursuant to our arrangement.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Monthly fees received under distribution agreements with multichannel video providers are generally under multiyear agreements with revenue based on the number of subscribers receiving the programming on our television networks and a per subscriber fee, although revenue for certain of our television networks is based on a fixed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Studios generates revenue from the worldwide licensing of our owned film and television content to television networks and DTC streaming service providers, as well as through video on demand services provided by multichannel video providers and other service providers. Our agreements generally include fixed pricing and span multiple years. For example, following a film’s theatrical release, Studios may license the exhibition rights of a film to different customers over multiple successive distribution windows.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at any given time equals approximately one-half year to 1 year of annual Studios content licensing revenue, which is the segment with the largest portion of this future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 or optional purchases under existing agreements.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agreements that include variable pricing, such as pricing based on the number of subscribers to a DTC streaming service sold by our customers, we generally recognize revenue as our customers sell to their subscribers.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72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006EBF"/>
        </w:rPr>
        <w:t>Theatrical</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Studios generates revenue from the worldwide distribution of our produced and acquired films for exhibition in movie theaters. Our arrangements with exhibitors generally entitle us to a percentage of ticket sales. We recognize revenue as the films are viewed and exhibited in theaters and payment generally occurs within 30 days after exhibition.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Theme Parks generates revenue primarily from guest spending at our Universal theme parks in Orlando, Florida; Hollywood, California; Osaka, Japan; and Beijing, China. Guest spending includes ticket sales and in-park spending on food, beverages and merchandise. We also generate revenue from our consumer products business. Additionally, we license the right to use the Universal Studios brand name and other intellectual property and provide other services to third parties, including the party that owns and operates the Universal Studios Singapore theme park on Sentosa Island, Singapore. We recognize revenue from ticket sales when the tickets are used, generally within a year from the date of purchase. For annual passes, we generally recognize revenue on a straight-line basis over the period the pass is available to be used. We recognize revenue from in-park spending and consumer products at the point of sale.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our accounts receivable, other balances that are not separately presented in our consolidated balance sheets that relate to the recognition of revenue and collection of the related cash, and deferred costs associated with our contracts with customers.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520" w:type="dxa"/>
            <w:vAlign w:val="bottom"/>
          </w:tcPr>
          <w:p>
            <w:pPr>
              <w:spacing w:after="0"/>
              <w:rPr>
                <w:sz w:val="16"/>
                <w:szCs w:val="16"/>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1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14,399</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w:t>
            </w:r>
          </w:p>
        </w:tc>
      </w:tr>
      <w:tr>
        <w:trPr>
          <w:trHeight w:val="23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738</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13,661</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1,853</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Contract acquisition and fulfillment costs (included in other noncurrent assets, net)</w:t>
            </w:r>
            <w:r>
              <w:rPr>
                <w:rFonts w:ascii="Times New Roman" w:cs="Times New Roman" w:eastAsia="Times New Roman" w:hAnsi="Times New Roman"/>
                <w:sz w:val="23"/>
                <w:szCs w:val="23"/>
                <w:color w:val="auto"/>
                <w:vertAlign w:val="superscript"/>
              </w:rPr>
              <w:t>(a)</w:t>
            </w:r>
          </w:p>
        </w:tc>
        <w:tc>
          <w:tcPr>
            <w:tcW w:w="1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1,184</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3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revenue (included in other noncurrent liabilities)</w:t>
            </w: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665</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bl>
    <w:p>
      <w:pPr>
        <w:spacing w:after="0" w:line="153" w:lineRule="exact"/>
        <w:rPr>
          <w:sz w:val="20"/>
          <w:szCs w:val="20"/>
          <w:color w:val="auto"/>
        </w:rPr>
      </w:pPr>
    </w:p>
    <w:p>
      <w:pPr>
        <w:ind w:firstLine="8"/>
        <w:spacing w:after="0" w:line="294" w:lineRule="auto"/>
        <w:tabs>
          <w:tab w:leader="none" w:pos="19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contract acquisition and fulfillment costs totaled $716 million, $692 million and $707 million in 2024, 2023 and 2022, respectively, included in marketing and promotion and other operating and administrative expenses.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Changes in Allowance for Credit Losses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2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b w:val="1"/>
                <w:bCs w:val="1"/>
                <w:color w:val="auto"/>
                <w:w w:val="96"/>
              </w:rPr>
              <w:t>698</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rPr>
              <w:t>736</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6"/>
              </w:rPr>
              <w:t>658</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1340" w:type="dxa"/>
            <w:vAlign w:val="bottom"/>
          </w:tcPr>
          <w:p>
            <w:pPr>
              <w:spacing w:after="0"/>
              <w:rPr>
                <w:sz w:val="19"/>
                <w:szCs w:val="19"/>
                <w:color w:val="auto"/>
              </w:rPr>
            </w:pP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8"/>
                <w:szCs w:val="18"/>
                <w:b w:val="1"/>
                <w:bCs w:val="1"/>
                <w:color w:val="auto"/>
                <w:w w:val="96"/>
              </w:rPr>
              <w:t>747</w:t>
            </w:r>
          </w:p>
        </w:tc>
        <w:tc>
          <w:tcPr>
            <w:tcW w:w="660" w:type="dxa"/>
            <w:vAlign w:val="bottom"/>
          </w:tcPr>
          <w:p>
            <w:pPr>
              <w:spacing w:after="0"/>
              <w:rPr>
                <w:sz w:val="19"/>
                <w:szCs w:val="19"/>
                <w:color w:val="auto"/>
              </w:rPr>
            </w:pPr>
          </w:p>
        </w:tc>
        <w:tc>
          <w:tcPr>
            <w:tcW w:w="960" w:type="dxa"/>
            <w:vAlign w:val="bottom"/>
          </w:tcPr>
          <w:p>
            <w:pPr>
              <w:jc w:val="center"/>
              <w:ind w:left="274"/>
              <w:spacing w:after="0"/>
              <w:rPr>
                <w:sz w:val="20"/>
                <w:szCs w:val="20"/>
                <w:color w:val="auto"/>
              </w:rPr>
            </w:pPr>
            <w:r>
              <w:rPr>
                <w:rFonts w:ascii="Times New Roman" w:cs="Times New Roman" w:eastAsia="Times New Roman" w:hAnsi="Times New Roman"/>
                <w:sz w:val="18"/>
                <w:szCs w:val="18"/>
                <w:color w:val="auto"/>
              </w:rPr>
              <w:t>775</w:t>
            </w:r>
          </w:p>
        </w:tc>
        <w:tc>
          <w:tcPr>
            <w:tcW w:w="680" w:type="dxa"/>
            <w:vAlign w:val="bottom"/>
          </w:tcPr>
          <w:p>
            <w:pPr>
              <w:spacing w:after="0"/>
              <w:rPr>
                <w:sz w:val="19"/>
                <w:szCs w:val="19"/>
                <w:color w:val="auto"/>
              </w:rPr>
            </w:pPr>
          </w:p>
        </w:tc>
        <w:tc>
          <w:tcPr>
            <w:tcW w:w="86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w w:val="96"/>
              </w:rPr>
              <w:t>758</w:t>
            </w: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7"/>
              </w:rPr>
              <w:t>(707)</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rPr>
              <w:t>(812)</w:t>
            </w:r>
          </w:p>
        </w:tc>
        <w:tc>
          <w:tcPr>
            <w:tcW w:w="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(680)</w:t>
            </w:r>
          </w:p>
        </w:tc>
      </w:tr>
      <w:tr>
        <w:trPr>
          <w:trHeight w:val="223"/>
        </w:trPr>
        <w:tc>
          <w:tcPr>
            <w:tcW w:w="57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340" w:type="dxa"/>
            <w:vAlign w:val="bottom"/>
            <w:tcBorders>
              <w:bottom w:val="single" w:sz="8" w:color="0C6DFF"/>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0C6DFF"/>
            </w:tcBorders>
          </w:tcPr>
          <w:p>
            <w:pPr>
              <w:jc w:val="center"/>
              <w:ind w:left="274"/>
              <w:spacing w:after="0"/>
              <w:rPr>
                <w:sz w:val="20"/>
                <w:szCs w:val="20"/>
                <w:color w:val="auto"/>
              </w:rPr>
            </w:pPr>
            <w:r>
              <w:rPr>
                <w:rFonts w:ascii="Times New Roman" w:cs="Times New Roman" w:eastAsia="Times New Roman" w:hAnsi="Times New Roman"/>
                <w:sz w:val="18"/>
                <w:szCs w:val="18"/>
                <w:b w:val="1"/>
                <w:bCs w:val="1"/>
                <w:color w:val="auto"/>
                <w:w w:val="96"/>
              </w:rPr>
              <w:t>738</w:t>
            </w:r>
          </w:p>
        </w:tc>
        <w:tc>
          <w:tcPr>
            <w:tcW w:w="660" w:type="dxa"/>
            <w:vAlign w:val="bottom"/>
            <w:tcBorders>
              <w:bottom w:val="single" w:sz="8" w:color="0C6D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0C6DFF"/>
            </w:tcBorders>
          </w:tcPr>
          <w:p>
            <w:pPr>
              <w:jc w:val="center"/>
              <w:ind w:left="274"/>
              <w:spacing w:after="0"/>
              <w:rPr>
                <w:sz w:val="20"/>
                <w:szCs w:val="20"/>
                <w:color w:val="auto"/>
              </w:rPr>
            </w:pPr>
            <w:r>
              <w:rPr>
                <w:rFonts w:ascii="Times New Roman" w:cs="Times New Roman" w:eastAsia="Times New Roman" w:hAnsi="Times New Roman"/>
                <w:sz w:val="18"/>
                <w:szCs w:val="18"/>
                <w:color w:val="auto"/>
              </w:rPr>
              <w:t>698</w:t>
            </w:r>
          </w:p>
        </w:tc>
        <w:tc>
          <w:tcPr>
            <w:tcW w:w="680" w:type="dxa"/>
            <w:vAlign w:val="bottom"/>
            <w:tcBorders>
              <w:bottom w:val="single" w:sz="8" w:color="0C6D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C6DFF"/>
            </w:tcBorders>
          </w:tcPr>
          <w:p>
            <w:pPr>
              <w:jc w:val="center"/>
              <w:ind w:left="354"/>
              <w:spacing w:after="0"/>
              <w:rPr>
                <w:sz w:val="20"/>
                <w:szCs w:val="20"/>
                <w:color w:val="auto"/>
              </w:rPr>
            </w:pPr>
            <w:r>
              <w:rPr>
                <w:rFonts w:ascii="Times New Roman" w:cs="Times New Roman" w:eastAsia="Times New Roman" w:hAnsi="Times New Roman"/>
                <w:sz w:val="18"/>
                <w:szCs w:val="18"/>
                <w:color w:val="auto"/>
                <w:w w:val="96"/>
              </w:rPr>
              <w:t>736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accounts receivables include amounts not yet billed related to equipment installment plans, as summarized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1,827</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29"/>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1,225</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3"/>
        </w:trPr>
        <w:tc>
          <w:tcPr>
            <w:tcW w:w="57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0C6DFF"/>
            </w:tcBorders>
            <w:shd w:val="clear" w:color="auto" w:fill="CCEEFF"/>
          </w:tcPr>
          <w:p>
            <w:pPr>
              <w:spacing w:after="0"/>
              <w:rPr>
                <w:sz w:val="19"/>
                <w:szCs w:val="19"/>
                <w:color w:val="auto"/>
              </w:rPr>
            </w:pPr>
          </w:p>
        </w:tc>
        <w:tc>
          <w:tcPr>
            <w:tcW w:w="1060" w:type="dxa"/>
            <w:vAlign w:val="bottom"/>
            <w:tcBorders>
              <w:bottom w:val="single" w:sz="8" w:color="0C6DFF"/>
            </w:tcBorders>
            <w:shd w:val="clear" w:color="auto" w:fill="CCEEFF"/>
          </w:tcPr>
          <w:p>
            <w:pPr>
              <w:spacing w:after="0"/>
              <w:rPr>
                <w:sz w:val="19"/>
                <w:szCs w:val="19"/>
                <w:color w:val="auto"/>
              </w:rPr>
            </w:pPr>
          </w:p>
        </w:tc>
        <w:tc>
          <w:tcPr>
            <w:tcW w:w="600" w:type="dxa"/>
            <w:vAlign w:val="bottom"/>
            <w:tcBorders>
              <w:bottom w:val="single" w:sz="8" w:color="0C6D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3,052</w:t>
            </w:r>
          </w:p>
        </w:tc>
        <w:tc>
          <w:tcPr>
            <w:tcW w:w="58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519"/>
        </w:trPr>
        <w:tc>
          <w:tcPr>
            <w:tcW w:w="5780" w:type="dxa"/>
            <w:vAlign w:val="bottom"/>
          </w:tcPr>
          <w:p>
            <w:pPr>
              <w:ind w:left="20"/>
              <w:spacing w:after="0"/>
              <w:rPr>
                <w:sz w:val="20"/>
                <w:szCs w:val="20"/>
                <w:color w:val="auto"/>
              </w:rPr>
            </w:pPr>
            <w:r>
              <w:rPr>
                <w:rFonts w:ascii="Arial" w:cs="Arial" w:eastAsia="Arial" w:hAnsi="Arial"/>
                <w:sz w:val="22"/>
                <w:szCs w:val="22"/>
                <w:b w:val="1"/>
                <w:bCs w:val="1"/>
                <w:color w:val="006EBF"/>
              </w:rPr>
              <w:t>Note 4: Programming and Production Costs</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9"/>
        </w:trPr>
        <w:tc>
          <w:tcPr>
            <w:tcW w:w="5780" w:type="dxa"/>
            <w:vAlign w:val="bottom"/>
            <w:tcBorders>
              <w:bottom w:val="single" w:sz="8" w:color="0C6DFF"/>
            </w:tcBorders>
          </w:tcPr>
          <w:p>
            <w:pPr>
              <w:spacing w:after="0"/>
              <w:rPr>
                <w:sz w:val="9"/>
                <w:szCs w:val="9"/>
                <w:color w:val="auto"/>
              </w:rPr>
            </w:pPr>
          </w:p>
        </w:tc>
        <w:tc>
          <w:tcPr>
            <w:tcW w:w="1240" w:type="dxa"/>
            <w:vAlign w:val="bottom"/>
            <w:tcBorders>
              <w:bottom w:val="single" w:sz="8" w:color="0C6DFF"/>
            </w:tcBorders>
          </w:tcPr>
          <w:p>
            <w:pPr>
              <w:spacing w:after="0"/>
              <w:rPr>
                <w:sz w:val="9"/>
                <w:szCs w:val="9"/>
                <w:color w:val="auto"/>
              </w:rPr>
            </w:pPr>
          </w:p>
        </w:tc>
        <w:tc>
          <w:tcPr>
            <w:tcW w:w="1060" w:type="dxa"/>
            <w:vAlign w:val="bottom"/>
            <w:tcBorders>
              <w:bottom w:val="single" w:sz="8" w:color="0C6DFF"/>
            </w:tcBorders>
          </w:tcPr>
          <w:p>
            <w:pPr>
              <w:spacing w:after="0"/>
              <w:rPr>
                <w:sz w:val="9"/>
                <w:szCs w:val="9"/>
                <w:color w:val="auto"/>
              </w:rPr>
            </w:pPr>
          </w:p>
        </w:tc>
        <w:tc>
          <w:tcPr>
            <w:tcW w:w="600" w:type="dxa"/>
            <w:vAlign w:val="bottom"/>
            <w:tcBorders>
              <w:bottom w:val="single" w:sz="8" w:color="0C6DFF"/>
            </w:tcBorders>
          </w:tcPr>
          <w:p>
            <w:pPr>
              <w:spacing w:after="0"/>
              <w:rPr>
                <w:sz w:val="9"/>
                <w:szCs w:val="9"/>
                <w:color w:val="auto"/>
              </w:rPr>
            </w:pPr>
          </w:p>
        </w:tc>
        <w:tc>
          <w:tcPr>
            <w:tcW w:w="1040" w:type="dxa"/>
            <w:vAlign w:val="bottom"/>
            <w:tcBorders>
              <w:bottom w:val="single" w:sz="8" w:color="0C6DFF"/>
            </w:tcBorders>
          </w:tcPr>
          <w:p>
            <w:pPr>
              <w:spacing w:after="0"/>
              <w:rPr>
                <w:sz w:val="9"/>
                <w:szCs w:val="9"/>
                <w:color w:val="auto"/>
              </w:rPr>
            </w:pPr>
          </w:p>
        </w:tc>
        <w:tc>
          <w:tcPr>
            <w:tcW w:w="580" w:type="dxa"/>
            <w:vAlign w:val="bottom"/>
            <w:tcBorders>
              <w:bottom w:val="single" w:sz="8" w:color="0C6DFF"/>
            </w:tcBorders>
          </w:tcPr>
          <w:p>
            <w:pPr>
              <w:spacing w:after="0"/>
              <w:rPr>
                <w:sz w:val="9"/>
                <w:szCs w:val="9"/>
                <w:color w:val="auto"/>
              </w:rPr>
            </w:pPr>
          </w:p>
        </w:tc>
        <w:tc>
          <w:tcPr>
            <w:tcW w:w="940" w:type="dxa"/>
            <w:vAlign w:val="bottom"/>
            <w:tcBorders>
              <w:bottom w:val="single" w:sz="8" w:color="0C6DFF"/>
            </w:tcBorders>
          </w:tcPr>
          <w:p>
            <w:pPr>
              <w:spacing w:after="0"/>
              <w:rPr>
                <w:sz w:val="9"/>
                <w:szCs w:val="9"/>
                <w:color w:val="auto"/>
              </w:rPr>
            </w:pPr>
          </w:p>
        </w:tc>
      </w:tr>
      <w:tr>
        <w:trPr>
          <w:trHeight w:val="402"/>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4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 distribution programming</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11,428</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12,460</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and television content:</w:t>
            </w: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7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9,617</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10,224</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p>
        </w:tc>
      </w:tr>
      <w:tr>
        <w:trPr>
          <w:trHeight w:val="229"/>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124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14,668</w:t>
            </w:r>
          </w:p>
        </w:tc>
        <w:tc>
          <w:tcPr>
            <w:tcW w:w="600" w:type="dxa"/>
            <w:vAlign w:val="bottom"/>
          </w:tcPr>
          <w:p>
            <w:pPr>
              <w:spacing w:after="0"/>
              <w:rPr>
                <w:sz w:val="19"/>
                <w:szCs w:val="19"/>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12,619</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13,151</w:t>
            </w:r>
          </w:p>
        </w:tc>
      </w:tr>
      <w:tr>
        <w:trPr>
          <w:trHeight w:val="230"/>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1,314</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1,459</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3"/>
        </w:trPr>
        <w:tc>
          <w:tcPr>
            <w:tcW w:w="57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124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37,026</w:t>
            </w:r>
          </w:p>
        </w:tc>
        <w:tc>
          <w:tcPr>
            <w:tcW w:w="600" w:type="dxa"/>
            <w:vAlign w:val="bottom"/>
            <w:tcBorders>
              <w:bottom w:val="single" w:sz="8" w:color="0C6DFF"/>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6DFF"/>
            </w:tcBorders>
          </w:tcPr>
          <w:p>
            <w:pPr>
              <w:jc w:val="right"/>
              <w:ind w:right="94"/>
              <w:spacing w:after="0"/>
              <w:rPr>
                <w:sz w:val="20"/>
                <w:szCs w:val="20"/>
                <w:color w:val="auto"/>
              </w:rPr>
            </w:pPr>
            <w:r>
              <w:rPr>
                <w:rFonts w:ascii="Times New Roman" w:cs="Times New Roman" w:eastAsia="Times New Roman" w:hAnsi="Times New Roman"/>
                <w:sz w:val="18"/>
                <w:szCs w:val="18"/>
                <w:color w:val="auto"/>
              </w:rPr>
              <w:t>36,762</w:t>
            </w:r>
          </w:p>
        </w:tc>
        <w:tc>
          <w:tcPr>
            <w:tcW w:w="58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38,213</w:t>
            </w:r>
          </w:p>
        </w:tc>
      </w:tr>
    </w:tbl>
    <w:p>
      <w:pPr>
        <w:spacing w:after="0" w:line="180" w:lineRule="exact"/>
        <w:rPr>
          <w:sz w:val="20"/>
          <w:szCs w:val="20"/>
          <w:color w:val="auto"/>
        </w:rPr>
      </w:pPr>
    </w:p>
    <w:p>
      <w:pPr>
        <w:ind w:left="260" w:hanging="252"/>
        <w:spacing w:after="0" w:line="282" w:lineRule="auto"/>
        <w:tabs>
          <w:tab w:leader="none" w:pos="2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$7.8 billion, $7.8 billion and $8.6 billion for the year ended December 31, 2024, 2023 and 2022, respectively, as well as participations and residuals expenses.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73</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Distribution Programming Expenses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 programming expenses related to the license of the rights to distribute or integrate third-party programmed television networks, platforms and related content included in video services we sell to end consumers. Programming is generally acquired under multiyear distribution agreements, with fees typically based on the number of customers receiving the television network programming and a per subscriber fee. Programming distribution arrangements are accounted for as executory contracts with expenses generally recognized based on the rates in the agreements, and the arrangements are not subject to impairment.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 costs related to the production of owned content and the license of the rights to use content owned by third parties and sports rights on our owned television networks and digital properties, which are described as owned and licensed content, respectively. We have determined that the predominant monetization strategy for the substantial majority of our content is on an individual basis.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Capitalized Film and Television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3240" w:type="dxa"/>
            <w:vAlign w:val="bottom"/>
          </w:tcPr>
          <w:p>
            <w:pPr>
              <w:spacing w:after="0"/>
              <w:rPr>
                <w:sz w:val="16"/>
                <w:szCs w:val="16"/>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4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3,342</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r>
      <w:tr>
        <w:trPr>
          <w:trHeight w:val="229"/>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3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209</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5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3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4,545</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r>
      <w:tr>
        <w:trPr>
          <w:trHeight w:val="223"/>
        </w:trPr>
        <w:tc>
          <w:tcPr>
            <w:tcW w:w="546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8,095</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r>
      <w:tr>
        <w:trPr>
          <w:trHeight w:val="23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4,446</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r>
      <w:tr>
        <w:trPr>
          <w:trHeight w:val="223"/>
        </w:trPr>
        <w:tc>
          <w:tcPr>
            <w:tcW w:w="54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324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12,541</w:t>
            </w:r>
          </w:p>
        </w:tc>
        <w:tc>
          <w:tcPr>
            <w:tcW w:w="56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Production tax incentives reduced capitalized owned film and television costs by $455 million and $418 million as of December 31, 2024 and 2023, respectively, and resulted in a reduction of programming and production costs of $652 million, $578 million and $733 million in 2024, 2023 and 2022, respectively. We have receivables related to our production tax incentives of $2.2 billion and $1.9 billion as of December 31, 2024 and 2023, respectively, a substantial majority of which are reflected in other noncurrent assets in our consolidated balance sheets.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estimated future amortization expense for the capitalized film and television costs recorded in our consolidated balance sheets as of December 31,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500" w:type="dxa"/>
            <w:vAlign w:val="bottom"/>
          </w:tcPr>
          <w:p>
            <w:pPr>
              <w:spacing w:after="0"/>
              <w:rPr>
                <w:sz w:val="16"/>
                <w:szCs w:val="16"/>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Owned</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Licensed</w:t>
            </w:r>
          </w:p>
        </w:tc>
      </w:tr>
      <w:tr>
        <w:trPr>
          <w:trHeight w:val="23"/>
        </w:trPr>
        <w:tc>
          <w:tcPr>
            <w:tcW w:w="52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not released:</w:t>
            </w:r>
          </w:p>
        </w:tc>
        <w:tc>
          <w:tcPr>
            <w:tcW w:w="3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240" w:type="dxa"/>
            <w:vAlign w:val="bottom"/>
          </w:tcPr>
          <w:p>
            <w:pPr>
              <w:jc w:val="right"/>
              <w:ind w:right="4653"/>
              <w:spacing w:after="0"/>
              <w:rPr>
                <w:sz w:val="20"/>
                <w:szCs w:val="20"/>
                <w:color w:val="auto"/>
              </w:rPr>
            </w:pPr>
            <w:r>
              <w:rPr>
                <w:rFonts w:ascii="Times New Roman" w:cs="Times New Roman" w:eastAsia="Times New Roman" w:hAnsi="Times New Roman"/>
                <w:sz w:val="18"/>
                <w:szCs w:val="18"/>
                <w:color w:val="auto"/>
              </w:rPr>
              <w:t>2025</w:t>
            </w:r>
          </w:p>
        </w:tc>
        <w:tc>
          <w:tcPr>
            <w:tcW w:w="3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127</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Released and licensed content:</w:t>
            </w:r>
          </w:p>
        </w:tc>
        <w:tc>
          <w:tcPr>
            <w:tcW w:w="3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40" w:type="dxa"/>
            <w:vAlign w:val="bottom"/>
            <w:shd w:val="clear" w:color="auto" w:fill="CCEEFF"/>
          </w:tcPr>
          <w:p>
            <w:pPr>
              <w:jc w:val="right"/>
              <w:ind w:right="4653"/>
              <w:spacing w:after="0"/>
              <w:rPr>
                <w:sz w:val="20"/>
                <w:szCs w:val="20"/>
                <w:color w:val="auto"/>
              </w:rPr>
            </w:pPr>
            <w:r>
              <w:rPr>
                <w:rFonts w:ascii="Times New Roman" w:cs="Times New Roman" w:eastAsia="Times New Roman" w:hAnsi="Times New Roman"/>
                <w:sz w:val="18"/>
                <w:szCs w:val="18"/>
                <w:color w:val="auto"/>
              </w:rPr>
              <w:t>2025</w:t>
            </w:r>
          </w:p>
        </w:tc>
        <w:tc>
          <w:tcPr>
            <w:tcW w:w="3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2,299</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2,373</w:t>
            </w:r>
          </w:p>
        </w:tc>
      </w:tr>
      <w:tr>
        <w:trPr>
          <w:trHeight w:val="230"/>
        </w:trPr>
        <w:tc>
          <w:tcPr>
            <w:tcW w:w="5240" w:type="dxa"/>
            <w:vAlign w:val="bottom"/>
          </w:tcPr>
          <w:p>
            <w:pPr>
              <w:jc w:val="right"/>
              <w:ind w:right="4653"/>
              <w:spacing w:after="0"/>
              <w:rPr>
                <w:sz w:val="20"/>
                <w:szCs w:val="20"/>
                <w:color w:val="auto"/>
              </w:rPr>
            </w:pPr>
            <w:r>
              <w:rPr>
                <w:rFonts w:ascii="Times New Roman" w:cs="Times New Roman" w:eastAsia="Times New Roman" w:hAnsi="Times New Roman"/>
                <w:sz w:val="18"/>
                <w:szCs w:val="18"/>
                <w:color w:val="auto"/>
              </w:rPr>
              <w:t>2026</w:t>
            </w:r>
          </w:p>
        </w:tc>
        <w:tc>
          <w:tcPr>
            <w:tcW w:w="3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842</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1,471</w:t>
            </w:r>
          </w:p>
        </w:tc>
      </w:tr>
      <w:tr>
        <w:trPr>
          <w:trHeight w:val="229"/>
        </w:trPr>
        <w:tc>
          <w:tcPr>
            <w:tcW w:w="5240" w:type="dxa"/>
            <w:vAlign w:val="bottom"/>
            <w:tcBorders>
              <w:bottom w:val="single" w:sz="8" w:color="auto"/>
            </w:tcBorders>
            <w:shd w:val="clear" w:color="auto" w:fill="CCEEFF"/>
          </w:tcPr>
          <w:p>
            <w:pPr>
              <w:jc w:val="right"/>
              <w:ind w:right="4653"/>
              <w:spacing w:after="0"/>
              <w:rPr>
                <w:sz w:val="20"/>
                <w:szCs w:val="20"/>
                <w:color w:val="auto"/>
              </w:rPr>
            </w:pPr>
            <w:r>
              <w:rPr>
                <w:rFonts w:ascii="Times New Roman" w:cs="Times New Roman" w:eastAsia="Times New Roman" w:hAnsi="Times New Roman"/>
                <w:sz w:val="18"/>
                <w:szCs w:val="18"/>
                <w:color w:val="auto"/>
              </w:rPr>
              <w:t>2027</w:t>
            </w:r>
          </w:p>
        </w:tc>
        <w:tc>
          <w:tcPr>
            <w:tcW w:w="3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452</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future minimum commitments for licensed content that are not recognized in our consolidated balance sheet as of December 31, 2024 totaling $2.8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 of accrued participation and residual liabilities that we expect to pay during the upcoming operating cycle.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39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7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accrued participations and residuals</w:t>
            </w:r>
          </w:p>
        </w:tc>
        <w:tc>
          <w:tcPr>
            <w:tcW w:w="396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1,444</w:t>
            </w: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7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3960" w:type="dxa"/>
            <w:vAlign w:val="bottom"/>
          </w:tcPr>
          <w:p>
            <w:pPr>
              <w:jc w:val="right"/>
              <w:ind w:right="2959"/>
              <w:spacing w:after="0"/>
              <w:rPr>
                <w:sz w:val="20"/>
                <w:szCs w:val="20"/>
                <w:color w:val="auto"/>
              </w:rPr>
            </w:pPr>
            <w:r>
              <w:rPr>
                <w:rFonts w:ascii="Times New Roman" w:cs="Times New Roman" w:eastAsia="Times New Roman" w:hAnsi="Times New Roman"/>
                <w:sz w:val="14"/>
                <w:szCs w:val="14"/>
                <w:b w:val="1"/>
                <w:bCs w:val="1"/>
                <w:color w:val="auto"/>
              </w:rPr>
              <w:t>74</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8"/>
        </w:trPr>
        <w:tc>
          <w:tcPr>
            <w:tcW w:w="47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006EBF"/>
        </w:rPr>
        <w:t>Capitalization and Recognition of Film and Television Content</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release patterns and distribution strategies, public acceptance and historical results for similar productions. Amortization for content predominantly monetized with other owned or licensed content is recorded based on estimated usage. In determining the method of amortization and estimated life of an acquired film or television library, we generally use the method and the life that most closely follow the undiscounted cash flows over the estimated life of the asset. We do not capitalize costs related to the distribution of a film in movie theaters or the licensing or sale of a film or television production, which primarily include costs associated with marketing and distribution.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content is amortized as the associated programs are used, incorporating estimated viewing patterns.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Owned and licensed content are presented as noncurrent assets in film and television costs. We present amortization of owned and licensed content and accrued costs associated with participations and residuals payments in programming and production costs.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Film and television productions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film and television costs, and the related amortization.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enter into co-financing arrangements with third parties to jointly finance or distribute certain of our film productions. These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of ownership proportionate to their ownership in the film. We account for the proceeds received from the investor under these arrangements as a reduction of our capitalized film costs and the investor’s interest in the profit or loss of the film is recorded as either a charge or a benefit, respectively, in programming and production costs. The investor’s interest in the profit or loss of a film is recorded each period using the individual film forecast computation method.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an event or a change in circumstance occurs that was known or knowable as of the balance sheet date and that indicates the fair value of either owned or licensed content is less than the unamortized costs in the balance sheet, we determine the fair value and record an impairment charge to the extent the unamortized costs exceed the fair value. Owned content is assessed either individually or in identified film groups, for content predominantly monetized on an individual basis or with other content, respectively. The substantial majority of our owned content is evaluated for impairment on an individual title basis. Licensed content that is not part of a film group is generally assessed in packages, channels or dayparts. A daypart is an aggregation of programs broadcast during a particular time of day or programs of a similar type. Licensed content is tested for impairment primarily on a channel, network or platform basis, with the exception of our broadcast networks and owned local broadcast television stations, which are tested on a daypart basis. Estimated fair values of owned and licensed content are generally based on Level 3 inputs including analysis of market participant estimates of future cash flows. We record charges related to impairments or content that is substantively abandoned to programming and production costs.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Sports Rights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Production costs incurred in advance of airing are also presented in licensed content.</w:t>
      </w:r>
    </w:p>
    <w:p>
      <w:pPr>
        <w:spacing w:after="0" w:line="200" w:lineRule="exact"/>
        <w:rPr>
          <w:sz w:val="20"/>
          <w:szCs w:val="20"/>
          <w:color w:val="auto"/>
        </w:rPr>
      </w:pPr>
    </w:p>
    <w:p>
      <w:pPr>
        <w:spacing w:after="0" w:line="288"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75</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Income (Loss) Before 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2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19,615</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22,164</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w:t>
            </w:r>
          </w:p>
        </w:tc>
      </w:tr>
      <w:tr>
        <w:trPr>
          <w:trHeight w:val="230"/>
        </w:trPr>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(942)</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(1,686)</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r>
      <w:tr>
        <w:trPr>
          <w:trHeight w:val="223"/>
        </w:trPr>
        <w:tc>
          <w:tcPr>
            <w:tcW w:w="4760" w:type="dxa"/>
            <w:vAlign w:val="bottom"/>
            <w:tcBorders>
              <w:bottom w:val="single" w:sz="8" w:color="0C6DFF"/>
            </w:tcBorders>
            <w:shd w:val="clear" w:color="auto" w:fill="CCEEFF"/>
          </w:tcPr>
          <w:p>
            <w:pPr>
              <w:spacing w:after="0"/>
              <w:rPr>
                <w:sz w:val="19"/>
                <w:szCs w:val="19"/>
                <w:color w:val="auto"/>
              </w:rPr>
            </w:pPr>
          </w:p>
        </w:tc>
        <w:tc>
          <w:tcPr>
            <w:tcW w:w="228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18,673</w:t>
            </w:r>
          </w:p>
        </w:tc>
        <w:tc>
          <w:tcPr>
            <w:tcW w:w="58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6D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20,478</w:t>
            </w:r>
          </w:p>
        </w:tc>
        <w:tc>
          <w:tcPr>
            <w:tcW w:w="560" w:type="dxa"/>
            <w:vAlign w:val="bottom"/>
            <w:tcBorders>
              <w:bottom w:val="single" w:sz="8" w:color="0C6D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w:t>
            </w:r>
          </w:p>
        </w:tc>
      </w:tr>
      <w:tr>
        <w:trPr>
          <w:trHeight w:val="46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Components of Income Tax Expense</w:t>
            </w:r>
          </w:p>
        </w:tc>
        <w:tc>
          <w:tcPr>
            <w:tcW w:w="2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 (Benefit):</w:t>
            </w:r>
          </w:p>
        </w:tc>
        <w:tc>
          <w:tcPr>
            <w:tcW w:w="2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2,194</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6,270</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1,115</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1,591</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29"/>
        </w:trPr>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389</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249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476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3,698</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8,110</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(599)</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(2,126)</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(49)</w:t>
            </w:r>
          </w:p>
        </w:tc>
        <w:tc>
          <w:tcPr>
            <w:tcW w:w="5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(468)</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(253)</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(145)</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47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(902)</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(2,739)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3"/>
        </w:trPr>
        <w:tc>
          <w:tcPr>
            <w:tcW w:w="47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8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2,796</w:t>
            </w:r>
          </w:p>
        </w:tc>
        <w:tc>
          <w:tcPr>
            <w:tcW w:w="58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6D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5,371</w:t>
            </w:r>
          </w:p>
        </w:tc>
        <w:tc>
          <w:tcPr>
            <w:tcW w:w="560" w:type="dxa"/>
            <w:vAlign w:val="bottom"/>
            <w:tcBorders>
              <w:bottom w:val="single" w:sz="8" w:color="0C6D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income tax expense (benefit) differs from the federal statutory amount because of the effect of the items detailed in the table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40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3,921</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4,300</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363</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 income taxed at different rates</w:t>
            </w:r>
            <w:r>
              <w:rPr>
                <w:rFonts w:ascii="Times New Roman" w:cs="Times New Roman" w:eastAsia="Times New Roman" w:hAnsi="Times New Roman"/>
                <w:sz w:val="23"/>
                <w:szCs w:val="23"/>
                <w:color w:val="auto"/>
                <w:vertAlign w:val="superscript"/>
              </w:rPr>
              <w:t>(a)</w:t>
            </w:r>
          </w:p>
        </w:tc>
        <w:tc>
          <w:tcPr>
            <w:tcW w:w="1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363</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455</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uncertain and effectively settled tax positions, net</w:t>
            </w:r>
          </w:p>
        </w:tc>
        <w:tc>
          <w:tcPr>
            <w:tcW w:w="14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332</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credits</w:t>
            </w:r>
            <w:r>
              <w:rPr>
                <w:rFonts w:ascii="Times New Roman" w:cs="Times New Roman" w:eastAsia="Times New Roman" w:hAnsi="Times New Roman"/>
                <w:sz w:val="23"/>
                <w:szCs w:val="23"/>
                <w:color w:val="auto"/>
                <w:vertAlign w:val="superscript"/>
              </w:rPr>
              <w:t>(a)</w:t>
            </w:r>
          </w:p>
        </w:tc>
        <w:tc>
          <w:tcPr>
            <w:tcW w:w="1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(328)</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benefits recognized on share-based compensation</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legislation</w:t>
            </w:r>
          </w:p>
        </w:tc>
        <w:tc>
          <w:tcPr>
            <w:tcW w:w="1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(24)</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corporate reorganization</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(1,920)</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29"/>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93</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113</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6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2,796</w:t>
            </w:r>
          </w:p>
        </w:tc>
        <w:tc>
          <w:tcPr>
            <w:tcW w:w="62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5,371</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r>
    </w:tbl>
    <w:p>
      <w:pPr>
        <w:spacing w:after="0" w:line="72" w:lineRule="exact"/>
        <w:rPr>
          <w:sz w:val="20"/>
          <w:szCs w:val="20"/>
          <w:color w:val="auto"/>
        </w:rPr>
      </w:pPr>
    </w:p>
    <w:p>
      <w:pPr>
        <w:jc w:val="both"/>
        <w:ind w:left="260" w:hanging="252"/>
        <w:spacing w:after="0" w:line="271" w:lineRule="auto"/>
        <w:tabs>
          <w:tab w:leader="none" w:pos="2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updated our presentation in 2024 to include all federal tax credits within the “tax credits” caption, which results in reclassification of prior period amounts. Federal tax credits for foreign income taxes previously presented within the “foreign income taxed at different rates” caption and federal research and development credits previously presented in a stand-alone caption are now presented within the “tax credits” caption.</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 statements of income.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76</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 authorities. The effects of these adjustments are recorded to income tax expense.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 (benefit).</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Net Deferred Tax Liability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4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and other loss carryforwards</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4,415</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on sale of investment (see Note 7)</w:t>
            </w: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2,437</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accruals and other</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4,232</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30"/>
        </w:trPr>
        <w:tc>
          <w:tcPr>
            <w:tcW w:w="5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4,498</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r>
      <w:tr>
        <w:trPr>
          <w:trHeight w:val="223"/>
        </w:trPr>
        <w:tc>
          <w:tcPr>
            <w:tcW w:w="5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6,586</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28,672</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29,337</w:t>
            </w: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934</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2,055</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30"/>
        </w:trPr>
        <w:tc>
          <w:tcPr>
            <w:tcW w:w="5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subsidiaries and undistributed foreign earnings</w:t>
            </w:r>
          </w:p>
        </w:tc>
        <w:tc>
          <w:tcPr>
            <w:tcW w:w="1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43</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5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31,704</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32,212</w:t>
            </w:r>
          </w:p>
        </w:tc>
      </w:tr>
      <w:tr>
        <w:trPr>
          <w:trHeight w:val="223"/>
        </w:trPr>
        <w:tc>
          <w:tcPr>
            <w:tcW w:w="57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400" w:type="dxa"/>
            <w:vAlign w:val="bottom"/>
            <w:tcBorders>
              <w:bottom w:val="single" w:sz="8" w:color="0C6DFF"/>
            </w:tcBorders>
            <w:shd w:val="clear" w:color="auto" w:fill="CCEEFF"/>
          </w:tcPr>
          <w:p>
            <w:pPr>
              <w:spacing w:after="0"/>
              <w:rPr>
                <w:sz w:val="19"/>
                <w:szCs w:val="19"/>
                <w:color w:val="auto"/>
              </w:rPr>
            </w:pPr>
          </w:p>
        </w:tc>
        <w:tc>
          <w:tcPr>
            <w:tcW w:w="960" w:type="dxa"/>
            <w:vAlign w:val="bottom"/>
            <w:tcBorders>
              <w:bottom w:val="single" w:sz="8" w:color="0C6DFF"/>
            </w:tcBorders>
            <w:shd w:val="clear" w:color="auto" w:fill="CCEEFF"/>
          </w:tcPr>
          <w:p>
            <w:pPr>
              <w:spacing w:after="0"/>
              <w:rPr>
                <w:sz w:val="19"/>
                <w:szCs w:val="19"/>
                <w:color w:val="auto"/>
              </w:rPr>
            </w:pPr>
          </w:p>
        </w:tc>
        <w:tc>
          <w:tcPr>
            <w:tcW w:w="580" w:type="dxa"/>
            <w:vAlign w:val="bottom"/>
            <w:tcBorders>
              <w:bottom w:val="single" w:sz="8" w:color="0C6D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25,118</w:t>
            </w:r>
          </w:p>
        </w:tc>
        <w:tc>
          <w:tcPr>
            <w:tcW w:w="58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r>
      <w:tr>
        <w:trPr>
          <w:trHeight w:val="45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Changes in our Valuation Allowance for Deferred Tax Assets</w:t>
            </w:r>
          </w:p>
        </w:tc>
        <w:tc>
          <w:tcPr>
            <w:tcW w:w="1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9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3,679</w:t>
            </w:r>
          </w:p>
        </w:tc>
        <w:tc>
          <w:tcPr>
            <w:tcW w:w="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3,295</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income tax expense and other accounts</w:t>
            </w:r>
          </w:p>
        </w:tc>
        <w:tc>
          <w:tcPr>
            <w:tcW w:w="140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910</w:t>
            </w:r>
          </w:p>
        </w:tc>
        <w:tc>
          <w:tcPr>
            <w:tcW w:w="5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469</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reserves</w:t>
            </w:r>
          </w:p>
        </w:tc>
        <w:tc>
          <w:tcPr>
            <w:tcW w:w="1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(91)</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(84)</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57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0" w:type="dxa"/>
            <w:vAlign w:val="bottom"/>
            <w:tcBorders>
              <w:bottom w:val="single" w:sz="8" w:color="0C6DFF"/>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0C6DFF"/>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4,498</w:t>
            </w:r>
          </w:p>
        </w:tc>
        <w:tc>
          <w:tcPr>
            <w:tcW w:w="58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8"/>
                <w:szCs w:val="18"/>
                <w:color w:val="auto"/>
              </w:rPr>
              <w:t>3,679</w:t>
            </w:r>
          </w:p>
        </w:tc>
        <w:tc>
          <w:tcPr>
            <w:tcW w:w="58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our net deferred tax liability in 2024 that were not recorded as deferred income tax expense (benefit) are primarily related to an increase of $124 million associated with items included in other comprehensive income (loss).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net operating loss and other carryforwards primarily reflects foreign net operating loss carryforwards of $11.8 billion, which primarily relate to our foreign operations in Europe and the majority of which can be carried forward indefinitely. The determination of the realization of the foreign net operating loss carryforwards is dependent on our subsidiaries’ taxable income or loss, redetermination from taxing authorities, and foreign laws that can change from year to year and impact the amount of such carryforwards. We recognize a valuation allowance if we determine it is more likely than not that some portion, or all, of a deferred tax asset will not be realized. As of December 31, 2024 and 2023, our valuation allowance was primarily related to our foreign net operating loss carryforwards.</w:t>
      </w:r>
    </w:p>
    <w:p>
      <w:pPr>
        <w:spacing w:after="0" w:line="200" w:lineRule="exact"/>
        <w:rPr>
          <w:sz w:val="20"/>
          <w:szCs w:val="20"/>
          <w:color w:val="auto"/>
        </w:rPr>
      </w:pPr>
    </w:p>
    <w:p>
      <w:pPr>
        <w:spacing w:after="0" w:line="291"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77</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we completed an internal corporate reorganization related to certain foreign subsidiaries, which resulted in a federal net capital loss of $9.1 billion as of December 31, 2024. This capital loss can be carried back and applied against capital gains recognized on our prior federal income tax returns for 2021 through 2023, and as a result, we recognized an income tax benefit and a corresponding refund receivable of $1.9 billion. Deferred federal income tax has not been recognized on the excess of the financial reporting basis over the tax basis in foreign subsidiaries resulting from the reorganization where indefinite reversal criteria have been met. Any liabilities would be recognized upon a taxable disposition of such subsidiaries; however, the determination of the amount of any unrecognized deferred income tax liabilities is not practicable.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net current federal tax receivable of $2.0 billion is included in other current assets within our consolidated balance sheet as of December 31, 2024. There were no net current federal tax receivables as of December 31, 2023.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of Unrecognized Tax Benefits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2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January 1</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2,593</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2,161</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6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396</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1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6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(268)</w:t>
            </w:r>
          </w:p>
        </w:tc>
        <w:tc>
          <w:tcPr>
            <w:tcW w:w="6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expiration of statutes of limitations</w:t>
            </w:r>
          </w:p>
        </w:tc>
        <w:tc>
          <w:tcPr>
            <w:tcW w:w="1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(29)</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Settlements with tax authorities and other</w:t>
            </w:r>
          </w:p>
        </w:tc>
        <w:tc>
          <w:tcPr>
            <w:tcW w:w="1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(28)</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4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December 31</w:t>
            </w:r>
          </w:p>
        </w:tc>
        <w:tc>
          <w:tcPr>
            <w:tcW w:w="166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2,865</w:t>
            </w:r>
          </w:p>
        </w:tc>
        <w:tc>
          <w:tcPr>
            <w:tcW w:w="62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2,593</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bl>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gross unrecognized tax benefits include both amounts related to positions for which we have recorded liabilities for potential payment obligations and those for which tax has been assessed and paid. The amounts exclude the federal benefits on state tax positions that were recorded to deferred income taxes. If we were to recognize our gross unrecognized tax benefits in the future, $2.2 billion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It is reasonably possible that certain tax contests could be resolved within the next 12 months that may result in a decrease in our effective tax rate. Accrued interest and penalties associated with our liability for uncertain tax positions were not material in any period presented.</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IRS has completed its examination of our income tax returns for all years through 2022. Various states are examining our state tax returns and the tax years of those tax returns currently under examination vary by state, with most of the periods relating to tax years 2011 and forward. Various foreign jurisdictions are examining our tax returns and the tax years of those tax returns currently under examination vary by country, with most of the periods relating to tax years 2010 and forward.</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6: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0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Weighted-Average Interest</w:t>
            </w:r>
          </w:p>
        </w:tc>
        <w:tc>
          <w:tcPr>
            <w:tcW w:w="1960" w:type="dxa"/>
            <w:vAlign w:val="bottom"/>
          </w:tcPr>
          <w:p>
            <w:pPr>
              <w:jc w:val="right"/>
              <w:ind w:right="157"/>
              <w:spacing w:after="0"/>
              <w:rPr>
                <w:sz w:val="20"/>
                <w:szCs w:val="20"/>
                <w:color w:val="auto"/>
              </w:rPr>
            </w:pPr>
            <w:r>
              <w:rPr>
                <w:rFonts w:ascii="Times New Roman" w:cs="Times New Roman" w:eastAsia="Times New Roman" w:hAnsi="Times New Roman"/>
                <w:sz w:val="14"/>
                <w:szCs w:val="14"/>
                <w:color w:val="auto"/>
              </w:rPr>
              <w:t>Weighted-Average Interest</w:t>
            </w: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20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Rate as of December 31,</w:t>
            </w:r>
          </w:p>
        </w:tc>
        <w:tc>
          <w:tcPr>
            <w:tcW w:w="1960" w:type="dxa"/>
            <w:vAlign w:val="bottom"/>
          </w:tcPr>
          <w:p>
            <w:pPr>
              <w:jc w:val="right"/>
              <w:ind w:right="157"/>
              <w:spacing w:after="0"/>
              <w:rPr>
                <w:sz w:val="20"/>
                <w:szCs w:val="20"/>
                <w:color w:val="auto"/>
              </w:rPr>
            </w:pPr>
            <w:r>
              <w:rPr>
                <w:rFonts w:ascii="Times New Roman" w:cs="Times New Roman" w:eastAsia="Times New Roman" w:hAnsi="Times New Roman"/>
                <w:sz w:val="14"/>
                <w:szCs w:val="14"/>
                <w:color w:val="auto"/>
              </w:rPr>
              <w:t>Rate as of December 31,</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20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(b)</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r>
              <w:rPr>
                <w:rFonts w:ascii="Times New Roman" w:cs="Times New Roman" w:eastAsia="Times New Roman" w:hAnsi="Times New Roman"/>
                <w:sz w:val="18"/>
                <w:szCs w:val="18"/>
                <w:color w:val="auto"/>
                <w:vertAlign w:val="superscript"/>
              </w:rPr>
              <w:t>(b)</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20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3.2 %</w:t>
            </w:r>
          </w:p>
        </w:tc>
        <w:tc>
          <w:tcPr>
            <w:tcW w:w="19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3.2 %</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with maturities of 5 years or less, at face value</w:t>
            </w:r>
          </w:p>
        </w:tc>
        <w:tc>
          <w:tcPr>
            <w:tcW w:w="2060" w:type="dxa"/>
            <w:vAlign w:val="bottom"/>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3.4 %</w:t>
            </w:r>
          </w:p>
        </w:tc>
        <w:tc>
          <w:tcPr>
            <w:tcW w:w="19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3.5 %</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75"/>
        </w:trPr>
        <w:tc>
          <w:tcPr>
            <w:tcW w:w="4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notes with maturities between 5 and 10 years, at face</w:t>
            </w:r>
          </w:p>
        </w:tc>
        <w:tc>
          <w:tcPr>
            <w:tcW w:w="2060" w:type="dxa"/>
            <w:vAlign w:val="bottom"/>
            <w:vMerge w:val="restart"/>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3.6 %</w:t>
            </w:r>
          </w:p>
        </w:tc>
        <w:tc>
          <w:tcPr>
            <w:tcW w:w="1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2060" w:type="dxa"/>
            <w:vAlign w:val="bottom"/>
            <w:vMerge w:val="continue"/>
            <w:shd w:val="clear" w:color="auto" w:fill="CCEEFF"/>
          </w:tcPr>
          <w:p>
            <w:pPr>
              <w:spacing w:after="0"/>
              <w:rPr>
                <w:sz w:val="21"/>
                <w:szCs w:val="21"/>
                <w:color w:val="auto"/>
              </w:rPr>
            </w:pPr>
          </w:p>
        </w:tc>
        <w:tc>
          <w:tcPr>
            <w:tcW w:w="19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3.3 %</w:t>
            </w:r>
          </w:p>
        </w:tc>
        <w:tc>
          <w:tcPr>
            <w:tcW w:w="5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with maturities greater than 10 years, at face value</w:t>
            </w:r>
          </w:p>
        </w:tc>
        <w:tc>
          <w:tcPr>
            <w:tcW w:w="2060" w:type="dxa"/>
            <w:vAlign w:val="bottom"/>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3.9 %</w:t>
            </w:r>
          </w:p>
        </w:tc>
        <w:tc>
          <w:tcPr>
            <w:tcW w:w="19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3.8 %</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20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5"/>
        </w:trPr>
        <w:tc>
          <w:tcPr>
            <w:tcW w:w="4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w:t>
            </w:r>
          </w:p>
        </w:tc>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 acquisition accounting and hedged positions, net</w:t>
            </w:r>
          </w:p>
        </w:tc>
        <w:tc>
          <w:tcPr>
            <w:tcW w:w="20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60" w:type="dxa"/>
            <w:vAlign w:val="bottom"/>
            <w:shd w:val="clear" w:color="auto" w:fill="CCEEFF"/>
          </w:tcPr>
          <w:p>
            <w:pPr>
              <w:jc w:val="right"/>
              <w:ind w:right="97"/>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4.1 % </w:t>
            </w:r>
            <w:r>
              <w:rPr>
                <w:rFonts w:ascii="Times New Roman" w:cs="Times New Roman" w:eastAsia="Times New Roman" w:hAnsi="Times New Roman"/>
                <w:sz w:val="21"/>
                <w:szCs w:val="21"/>
                <w:color w:val="auto"/>
                <w:vertAlign w:val="superscript"/>
              </w:rPr>
              <w:t>(a)</w:t>
            </w:r>
          </w:p>
        </w:tc>
        <w:tc>
          <w:tcPr>
            <w:tcW w:w="1960" w:type="dxa"/>
            <w:vAlign w:val="bottom"/>
            <w:shd w:val="clear" w:color="auto" w:fill="CCEEFF"/>
          </w:tcPr>
          <w:p>
            <w:pPr>
              <w:jc w:val="right"/>
              <w:ind w:right="17"/>
              <w:spacing w:after="0" w:line="223" w:lineRule="exact"/>
              <w:rPr>
                <w:sz w:val="20"/>
                <w:szCs w:val="20"/>
                <w:color w:val="auto"/>
              </w:rPr>
            </w:pPr>
            <w:r>
              <w:rPr>
                <w:rFonts w:ascii="Times New Roman" w:cs="Times New Roman" w:eastAsia="Times New Roman" w:hAnsi="Times New Roman"/>
                <w:sz w:val="18"/>
                <w:szCs w:val="18"/>
                <w:color w:val="auto"/>
              </w:rPr>
              <w:t xml:space="preserve">4.0 % </w:t>
            </w:r>
            <w:r>
              <w:rPr>
                <w:rFonts w:ascii="Times New Roman" w:cs="Times New Roman" w:eastAsia="Times New Roman" w:hAnsi="Times New Roman"/>
                <w:sz w:val="21"/>
                <w:szCs w:val="21"/>
                <w:color w:val="auto"/>
                <w:vertAlign w:val="superscript"/>
              </w:rPr>
              <w:t>(a)</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2060" w:type="dxa"/>
            <w:vAlign w:val="bottom"/>
            <w:tcBorders>
              <w:bottom w:val="single" w:sz="8" w:color="0C6DFF"/>
            </w:tcBorders>
            <w:shd w:val="clear" w:color="auto" w:fill="CCEEFF"/>
          </w:tcPr>
          <w:p>
            <w:pPr>
              <w:spacing w:after="0"/>
              <w:rPr>
                <w:sz w:val="19"/>
                <w:szCs w:val="19"/>
                <w:color w:val="auto"/>
              </w:rPr>
            </w:pPr>
          </w:p>
        </w:tc>
        <w:tc>
          <w:tcPr>
            <w:tcW w:w="1960" w:type="dxa"/>
            <w:vAlign w:val="bottom"/>
            <w:tcBorders>
              <w:bottom w:val="single" w:sz="8" w:color="0C6DFF"/>
            </w:tcBorders>
            <w:shd w:val="clear" w:color="auto" w:fill="CCEEFF"/>
          </w:tcPr>
          <w:p>
            <w:pPr>
              <w:spacing w:after="0"/>
              <w:rPr>
                <w:sz w:val="19"/>
                <w:szCs w:val="19"/>
                <w:color w:val="auto"/>
              </w:rPr>
            </w:pPr>
          </w:p>
        </w:tc>
        <w:tc>
          <w:tcPr>
            <w:tcW w:w="52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c>
          <w:tcPr>
            <w:tcW w:w="44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60" w:hanging="252"/>
        <w:spacing w:after="0" w:line="302" w:lineRule="auto"/>
        <w:tabs>
          <w:tab w:leader="none" w:pos="257"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represents an effective interest rate and includes the effects of amortization of debt issuance costs, premiums, discounts, fair value adjustments for acquisition accounting and hedged positions, as well as the effects of our derivative financial instruments.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2024 Annual Report on Form 10-K</w:t>
      </w:r>
      <w:r>
        <w:rPr>
          <w:sz w:val="20"/>
          <w:szCs w:val="20"/>
          <w:color w:val="auto"/>
        </w:rPr>
        <w:tab/>
      </w:r>
      <w:r>
        <w:rPr>
          <w:rFonts w:ascii="Times New Roman" w:cs="Times New Roman" w:eastAsia="Times New Roman" w:hAnsi="Times New Roman"/>
          <w:sz w:val="14"/>
          <w:szCs w:val="14"/>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399" w:lineRule="exact"/>
        <w:rPr>
          <w:sz w:val="20"/>
          <w:szCs w:val="20"/>
          <w:color w:val="auto"/>
        </w:rPr>
      </w:pPr>
    </w:p>
    <w:p>
      <w:pPr>
        <w:jc w:val="both"/>
        <w:ind w:left="260" w:hanging="252"/>
        <w:spacing w:after="0" w:line="281" w:lineRule="auto"/>
        <w:tabs>
          <w:tab w:leader="none" w:pos="25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included in our outstanding debt were foreign currency denominated senior notes and term loans with principal amounts of £3.3 billion, €8.5 billion and ¥22.3 billion RMB. As of December 31, 2023, included in our outstanding debt were foreign currency denominated senior notes and term loans with principal amounts of £2.6 billion, €6.7 billion and ¥22.1 billion RMB.</w:t>
      </w:r>
    </w:p>
    <w:p>
      <w:pPr>
        <w:spacing w:after="0" w:line="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senior notes are unsubordinated and unsecured obligations and are subject to parent and/or subsidiary guarantees. As of December 31, 2024 and 2023, substantially all of our debt obligations were fixed-rate debt and our debt had an estimated fair value of $89.8 billion and $92.2 billion, respectively.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891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billions)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6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Revolving Credit Facility and Commercial Paper Program</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we entered into a new $11.8 billion revolving credit facility with a syndicate of banks, due May 17, 2029, that may be used for general corporate purposes. We may increase the commitments under the facility up to a total of $14.8 billion, as well as extend the expiration date to no later than May 17, 2031, subject to the approval of the lenders. The interest rate consists of a benchmark rate plus a borrowing margin that is determined based on Comcast’s credit rating. As of December 31, 2024, the borrowing margin for borrowings based on the Adjusted Term SOFR Rate, as defined in the agreement, was 0.875%. The facility requires that we maintain a certain financial ratio based on debt and EBITDA, as defined in the agreement. In connection with our entry into the new credit facility, we terminated our prior credit facility dated as of March 30, 2021.</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commercial paper program is supported by our revolving credit facility and provides a lower cost source of borrowing to fund short-term working capital requirements.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we had no borrowings outstanding under our revolving credit facility or our commercial paper program. As of December 31, 2024, amounts available under our revolving credit facility, net of amounts outstanding under our commercial paper program and outstanding letters of credit and bank guarantees, totaled $11.8 billion.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Letters of Credit and Bank Guarantees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and certain of our subsidiaries had undrawn irrevocable standby letters of credit and bank guarantees totaling $288 million to cover potential fundings under various agreements.</w:t>
      </w:r>
    </w:p>
    <w:p>
      <w:pPr>
        <w:spacing w:after="0" w:line="200" w:lineRule="exact"/>
        <w:rPr>
          <w:sz w:val="20"/>
          <w:szCs w:val="20"/>
          <w:color w:val="auto"/>
        </w:rPr>
      </w:pPr>
    </w:p>
    <w:p>
      <w:pPr>
        <w:spacing w:after="0" w:line="26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79</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006EBF"/>
        </w:rPr>
        <w:t>Derivatives and Hedging</w:t>
      </w:r>
    </w:p>
    <w:p>
      <w:pPr>
        <w:spacing w:after="0" w:line="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financial instruments designated as hedging instruments primarily to manage exposures to (1) foreign exchange rate fluctuations resulting from certain foreign currency denominated debt obligations and intercompany funding arrangements and from the consolidation of our foreign operations; and</w:t>
      </w:r>
    </w:p>
    <w:p>
      <w:pPr>
        <w:ind w:firstLine="8"/>
        <w:spacing w:after="0" w:line="260" w:lineRule="auto"/>
        <w:tabs>
          <w:tab w:leader="none" w:pos="26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relating to our debt. Our objective is to manage the financial and operational exposure arising from these risks by offsetting gains and losses on underlying exposures with gains and losses on the instruments used to hedge them.</w:t>
      </w:r>
    </w:p>
    <w:tbl>
      <w:tblPr>
        <w:tblLayout w:type="fixed"/>
        <w:tblInd w:w="0" w:type="dxa"/>
        <w:tblCellMar>
          <w:top w:w="0" w:type="dxa"/>
          <w:left w:w="0" w:type="dxa"/>
          <w:bottom w:w="0" w:type="dxa"/>
          <w:right w:w="0" w:type="dxa"/>
        </w:tblCellMar>
      </w:tblPr>
      <w:tr>
        <w:trPr>
          <w:trHeight w:val="200"/>
        </w:trPr>
        <w:tc>
          <w:tcPr>
            <w:tcW w:w="3980" w:type="dxa"/>
            <w:vAlign w:val="bottom"/>
          </w:tcPr>
          <w:p>
            <w:pPr>
              <w:spacing w:after="0"/>
              <w:rPr>
                <w:sz w:val="17"/>
                <w:szCs w:val="17"/>
                <w:color w:val="auto"/>
              </w:rPr>
            </w:pPr>
          </w:p>
        </w:tc>
        <w:tc>
          <w:tcPr>
            <w:tcW w:w="18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top w:val="single" w:sz="8" w:color="auto"/>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37"/>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Designation</w:t>
            </w:r>
          </w:p>
        </w:tc>
        <w:tc>
          <w:tcPr>
            <w:tcW w:w="500" w:type="dxa"/>
            <w:vAlign w:val="bottom"/>
          </w:tcPr>
          <w:p>
            <w:pPr>
              <w:spacing w:after="0"/>
              <w:rPr>
                <w:sz w:val="11"/>
                <w:szCs w:val="11"/>
                <w:color w:val="auto"/>
              </w:rPr>
            </w:pPr>
          </w:p>
        </w:tc>
        <w:tc>
          <w:tcPr>
            <w:tcW w:w="10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11"/>
                <w:szCs w:val="11"/>
                <w:color w:val="auto"/>
              </w:rPr>
            </w:pPr>
          </w:p>
        </w:tc>
        <w:tc>
          <w:tcPr>
            <w:tcW w:w="116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rPr>
              <w:t>Net Derivative</w:t>
            </w:r>
          </w:p>
        </w:tc>
        <w:tc>
          <w:tcPr>
            <w:tcW w:w="240" w:type="dxa"/>
            <w:vAlign w:val="bottom"/>
          </w:tcPr>
          <w:p>
            <w:pPr>
              <w:spacing w:after="0"/>
              <w:rPr>
                <w:sz w:val="11"/>
                <w:szCs w:val="11"/>
                <w:color w:val="auto"/>
              </w:rPr>
            </w:pPr>
          </w:p>
        </w:tc>
        <w:tc>
          <w:tcPr>
            <w:tcW w:w="10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Notional</w:t>
            </w:r>
          </w:p>
        </w:tc>
        <w:tc>
          <w:tcPr>
            <w:tcW w:w="13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color w:val="auto"/>
              </w:rPr>
              <w:t>Net Derivative Asset</w:t>
            </w:r>
          </w:p>
        </w:tc>
        <w:tc>
          <w:tcPr>
            <w:tcW w:w="0" w:type="dxa"/>
            <w:vAlign w:val="bottom"/>
          </w:tcPr>
          <w:p>
            <w:pPr>
              <w:spacing w:after="0"/>
              <w:rPr>
                <w:sz w:val="1"/>
                <w:szCs w:val="1"/>
                <w:color w:val="auto"/>
              </w:rPr>
            </w:pPr>
          </w:p>
        </w:tc>
      </w:tr>
      <w:tr>
        <w:trPr>
          <w:trHeight w:val="195"/>
        </w:trPr>
        <w:tc>
          <w:tcPr>
            <w:tcW w:w="39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color w:val="auto"/>
              </w:rPr>
              <w:t>(Liability)</w:t>
            </w: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Risk</w:t>
            </w:r>
          </w:p>
        </w:tc>
        <w:tc>
          <w:tcPr>
            <w:tcW w:w="1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Denominated Debt</w:t>
            </w:r>
          </w:p>
        </w:tc>
        <w:tc>
          <w:tcPr>
            <w:tcW w:w="1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60" w:type="dxa"/>
            <w:vAlign w:val="bottom"/>
          </w:tcPr>
          <w:p>
            <w:pPr>
              <w:spacing w:after="0"/>
              <w:rPr>
                <w:sz w:val="19"/>
                <w:szCs w:val="19"/>
                <w:color w:val="auto"/>
              </w:rPr>
            </w:pPr>
          </w:p>
        </w:tc>
        <w:tc>
          <w:tcPr>
            <w:tcW w:w="1160" w:type="dxa"/>
            <w:vAlign w:val="bottom"/>
          </w:tcPr>
          <w:p>
            <w:pPr>
              <w:jc w:val="center"/>
              <w:ind w:left="655"/>
              <w:spacing w:after="0"/>
              <w:rPr>
                <w:sz w:val="20"/>
                <w:szCs w:val="20"/>
                <w:color w:val="auto"/>
              </w:rPr>
            </w:pPr>
            <w:r>
              <w:rPr>
                <w:rFonts w:ascii="Times New Roman" w:cs="Times New Roman" w:eastAsia="Times New Roman" w:hAnsi="Times New Roman"/>
                <w:sz w:val="18"/>
                <w:szCs w:val="18"/>
                <w:b w:val="1"/>
                <w:bCs w:val="1"/>
                <w:color w:val="auto"/>
                <w:w w:val="98"/>
              </w:rPr>
              <w:t>(0.2)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Intercompany Loans</w:t>
            </w:r>
          </w:p>
        </w:tc>
        <w:tc>
          <w:tcPr>
            <w:tcW w:w="1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19"/>
                <w:szCs w:val="19"/>
                <w:color w:val="auto"/>
              </w:rPr>
            </w:pPr>
          </w:p>
        </w:tc>
        <w:tc>
          <w:tcPr>
            <w:tcW w:w="1160" w:type="dxa"/>
            <w:vAlign w:val="bottom"/>
          </w:tcPr>
          <w:p>
            <w:pPr>
              <w:jc w:val="center"/>
              <w:ind w:left="695"/>
              <w:spacing w:after="0"/>
              <w:rPr>
                <w:sz w:val="20"/>
                <w:szCs w:val="20"/>
                <w:color w:val="auto"/>
              </w:rPr>
            </w:pPr>
            <w:r>
              <w:rPr>
                <w:rFonts w:ascii="Times New Roman" w:cs="Times New Roman" w:eastAsia="Times New Roman" w:hAnsi="Times New Roman"/>
                <w:sz w:val="18"/>
                <w:szCs w:val="18"/>
                <w:b w:val="1"/>
                <w:bCs w:val="1"/>
                <w:color w:val="auto"/>
                <w:w w:val="97"/>
              </w:rPr>
              <w:t>0.1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Investments in Foreign Subsidiaries</w:t>
            </w:r>
          </w:p>
        </w:tc>
        <w:tc>
          <w:tcPr>
            <w:tcW w:w="1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Foreign currency denominated debt</w:t>
            </w:r>
            <w:r>
              <w:rPr>
                <w:rFonts w:ascii="Times New Roman" w:cs="Times New Roman" w:eastAsia="Times New Roman" w:hAnsi="Times New Roman"/>
                <w:sz w:val="23"/>
                <w:szCs w:val="23"/>
                <w:color w:val="auto"/>
                <w:vertAlign w:val="superscript"/>
              </w:rPr>
              <w:t>(a)</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hedge</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b w:val="1"/>
                <w:bCs w:val="1"/>
                <w:color w:val="auto"/>
                <w:w w:val="97"/>
              </w:rPr>
              <w:t>0.4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Risk</w:t>
            </w:r>
          </w:p>
        </w:tc>
        <w:tc>
          <w:tcPr>
            <w:tcW w:w="1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Fixed-to-variable interest rate swaps</w:t>
            </w: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b w:val="1"/>
                <w:bCs w:val="1"/>
                <w:color w:val="auto"/>
                <w:w w:val="98"/>
              </w:rPr>
              <w:t>(0.2)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Our foreign currency denominated debt designated as net investment hedges are non-derivative instruments and amount shown is the value of debt designated as a hedge.</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derivative financial instruments are primarily measured using Level 2 inputs using a market-based approach. Net cash received or paid related to our derivative instruments is classified in our consolidated statements of cash flows based on the objective of the instrument and the classifications of the applicable underlying cash flows.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the fair value of derivative instruments accounted for as fair value hedges are primarily recorded within earnings and changes in the fair value of cash flow hedges are recorded as a component of accumulated other comprehensive income (loss) until the hedged items affect earnings. The earnings impacts are recorded within the same line item as the item being hedged. The table below summarizes the impact of our hedged foreign currency denominated debt and intercompany loans and the associated derivative contracts on the other income (loss) component of investment and other income (loss).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20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w:t>
            </w:r>
          </w:p>
        </w:tc>
        <w:tc>
          <w:tcPr>
            <w:tcW w:w="2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 gains (losses)</w:t>
            </w:r>
          </w:p>
        </w:tc>
        <w:tc>
          <w:tcPr>
            <w:tcW w:w="2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0.1</w:t>
            </w:r>
          </w:p>
        </w:tc>
        <w:tc>
          <w:tcPr>
            <w:tcW w:w="8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gains and losses resulting from currency movements on debt and changes in the fair value of cross-currency swaps designated as net investment hedges are recorded within the currency translation adjustments component of accumulated other comprehensive income (loss). The table below summarizes the amount of pre-tax gains (losses) related to net investment hedges recognized in the cumulative translation adjustments component of other comprehensive income (loss).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2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net investment hedges</w:t>
            </w:r>
          </w:p>
        </w:tc>
        <w:tc>
          <w:tcPr>
            <w:tcW w:w="232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0.9</w:t>
            </w:r>
          </w:p>
        </w:tc>
        <w:tc>
          <w:tcPr>
            <w:tcW w:w="8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672"/>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232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80</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1"/>
        </w:trPr>
        <w:tc>
          <w:tcPr>
            <w:tcW w:w="40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7: Investments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Investment and Other Income (Loss),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5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2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1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(680)</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789</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156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(313)</w:t>
            </w:r>
          </w:p>
        </w:tc>
        <w:tc>
          <w:tcPr>
            <w:tcW w:w="6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1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502</w:t>
            </w: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592</w:t>
            </w:r>
          </w:p>
        </w:tc>
        <w:tc>
          <w:tcPr>
            <w:tcW w:w="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5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560" w:type="dxa"/>
            <w:vAlign w:val="bottom"/>
            <w:tcBorders>
              <w:bottom w:val="single" w:sz="8" w:color="0C6DFF"/>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0C6DFF"/>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(490)</w:t>
            </w:r>
          </w:p>
        </w:tc>
        <w:tc>
          <w:tcPr>
            <w:tcW w:w="62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tcPr>
          <w:p>
            <w:pPr>
              <w:jc w:val="right"/>
              <w:ind w:right="74"/>
              <w:spacing w:after="0"/>
              <w:rPr>
                <w:sz w:val="20"/>
                <w:szCs w:val="20"/>
                <w:color w:val="auto"/>
              </w:rPr>
            </w:pPr>
            <w:r>
              <w:rPr>
                <w:rFonts w:ascii="Times New Roman" w:cs="Times New Roman" w:eastAsia="Times New Roman" w:hAnsi="Times New Roman"/>
                <w:sz w:val="18"/>
                <w:szCs w:val="18"/>
                <w:color w:val="auto"/>
              </w:rPr>
              <w:t>1,252</w:t>
            </w:r>
          </w:p>
        </w:tc>
        <w:tc>
          <w:tcPr>
            <w:tcW w:w="680" w:type="dxa"/>
            <w:vAlign w:val="bottom"/>
            <w:tcBorders>
              <w:bottom w:val="single" w:sz="8" w:color="0C6D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r>
    </w:tbl>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unrealized gains (losses), net recognized in 2024, 2023 and 2022 that related to marketable and nonmarketable equity securities still held as of the end of each reporting period was $(288) million, $(140) million and $(394) million, respectively.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Investments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34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w:t>
            </w:r>
          </w:p>
        </w:tc>
        <w:tc>
          <w:tcPr>
            <w:tcW w:w="3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7,252</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4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1,221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184</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8,668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investments</w:t>
            </w:r>
          </w:p>
        </w:tc>
        <w:tc>
          <w:tcPr>
            <w:tcW w:w="3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52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investments</w:t>
            </w:r>
          </w:p>
        </w:tc>
        <w:tc>
          <w:tcPr>
            <w:tcW w:w="342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8,647</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Equity method investments are recorded at cost and are adjusted to recognize (1) our share, based on percentage ownership or other contractual basis, of the investee’s net income or loss after the date of investment, (2) amortization of the recorded investment that exceeds our share of the book value of the investee’s net assets, (3) additional contributions made and dividends or other distributions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(loss), net. If an equity method investee were to issue additional securities that would change our proportionate share of the entity, we would recognize the change, if any, as a gain or loss to other income (loss), net. Cash distributions received from equity method investments are considered returns on investment and are presented within operating activities in the consolidated statements of cash flows to the extent of cumulative equity in net income of the investee. Additional distributions are presented as investing activities. Distributions presented within operating activities totaled $297 million, $217 million and $162 million in 2024, 2023 and 2022,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006EBF"/>
        </w:rPr>
        <w:t>Atairos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2016, we established Atairos Group, Inc., a strategic company focused on investing in and operating companies in a range of industries and business sectors, both domestically and internationally. Atairos is controlled by management companies led by our former CFO through interests that carry all of the voting rights. We are the only third-party investor in Atairos.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2020, we amended our agreement with Atairos, which primarily extended the investment term of the agreement from up to 12 years to up to 16.5 years, extended the period in which capital can be recycled to the full investment period and decreased our commitment to fund Atairos from up to $5 billion to up to $4.5 billion in the aggregate at any one time, subject to certain offsets, with the maximum amount of annual capital calls reduced to $400 million, plus certain amounts previously distributed. In addition, we have separately committed to fund Atairos $40 million annually for a management fee, subject to certain adjustments. The management company investors have committed to fund from $50 million to $100 million, with at least $40 million to be funded by our former CFO, subject to his continued role with Atairos. Our economic interests do not carry voting rights and obligate us to absorb approximately 99% of any losses and they provide us the right to receive approximately 86% of any residual returns in Atairos, in either case on a cumulative basis.</w:t>
      </w:r>
    </w:p>
    <w:p>
      <w:pPr>
        <w:spacing w:after="0" w:line="200" w:lineRule="exact"/>
        <w:rPr>
          <w:sz w:val="20"/>
          <w:szCs w:val="20"/>
          <w:color w:val="auto"/>
        </w:rPr>
      </w:pPr>
    </w:p>
    <w:p>
      <w:pPr>
        <w:spacing w:after="0" w:line="29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81</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our investment as an equity method investment. Certain distributions retained by Atairos on our behalf are accounted for as advances and classified within other investments. Atairos may pledge our remaining unfunded capital commitment as security to lenders in connection with certain financing arrangements. This has no effect on our funding commitments. There are no other liquidity arrangements, guarantees or other financial commitments between Comcast and Atairos, and therefore our maximum risk of financial loss is our investment balance and our remaining unfunded capital commitment of $1.4 billion as of December 31, 2024.</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In 2024, 2023 and 2022, we made cash capital contributions totaling $73 million, $145 million, and $52 million, respectively, to Atairos. As of December 31, 2024 and 2023, our investment, inclusive of advances classified within other investments, was $5.1 billion and $5.5 billion,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Hulu and Collateralized Obligation</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2019, we entered into a series of agreements with The Walt Disney Company and certain of its subsidiaries, whereby we relinquished our board seats and substantially all voting rights associated with our investment in Hulu, and Disney assumed full operational control. Concurrent with these agreements, we also acquired additional ownership interest in Hulu previously held by AT&amp;T. Following these transactions, our interest was approximately 33% and we had the right, but not the obligation, to fund our proportionate share of future equity capital calls. The agreements included put and call provisions regarding our ownership interest in Hulu, pursuant to which, as early as January 2024, we could require Disney to buy, and Disney could require us to sell our interest, in either case, for fair value at that future time subject to a minimum equity value of $27.5 billion for 100% of the equity of Hulu. In the third quarter of 2023, we amended these agreements and agreed, among other things, that the put/call provisions regarding our interest could be exercised in November 2023 (in addition to subsequent periods) and that we would fund our share of prior equity capital calls if the put/call was exercised in November 2023.</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we exercised our put right requiring Disney to purchase our interest in Hulu. As a result, in the fourth quarter of 2023, Disney paid us $8.6 billion, representing $9.2 billion for our share of Hulu’s minimum equity value, less $557 million for our share of prior capital calls. Additional proceeds for any excess of the fair value of our interest over the $9.2 billion minimum equity value will be due following final determination of Hulu’s fair value pursuant to a third-party appraisal process. In connection with the transaction, Disney also agreed to share with us 50% of the future tax benefits resulting from the purchase of our interest in Hulu. Because we continue to hold our interest in Hulu, the $9.2 billion payment from Disney is treated as an advance on the sale of our interest, which will be recognized following the finalization of the appraisal process. The receipt of the minimum proceeds resulted in a tax gain in 2023. The recorded value of our investment in Hulu of $883 million and $863 million as of December 31, 2024 and 2023, respectively, continues to reflect our historical cost in applying the equity method, and therefore, is less than its fair value.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2019, we entered into a financing arrangement with a syndicate of banks whereby we received proceeds of $5.2 billion under a term loan facility, which was fully collateralized by the minimum guaranteed proceeds of the put/call option related to our investment in Hulu. The term loan was due at the earlier of March 2024 or upon receipt of the proceeds under the put/call provisions and was repaid in the fourth quarter of 2023.</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the advance on the sale of our investment and the term loan separately in our consolidated balance sheets in the captions “advance on sale of investment” and “collateralized obligation,”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classify investments with readily determinable fair values that are not accounted for under the equity method as marketable equity securities and the carrying values are primarily presented in other current assets. The changes in fair value of our marketable equity securities between measurement dates are recorded in realized and unrealized gains (losses) on equity securities, net. The fair values of our marketable equity securities are based on Level 1 inputs that use quoted market prices.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82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investments also includes certain short-term instruments with maturities over three months when purchased, such as commercial paper, certificates of deposit and U.S. government obligations, that are generally accounted for at amortized cost. We had no short-term instruments as of December 31, 2024. As of December 31, 2023, these short-term instruments totaled $254 million. The carrying amounts of these investments approximate their fair values, which are primarily based on Level 2 inputs that use interest rates for instruments with similar terms and remaining maturities. Proceeds from short-term instruments in 2024, 2023 and 2022 were $702 million, $560 million and $1.6 billion, respectively. Purchases of short-term instruments in 2024, 2023 and 2022 were $443 million, $506 million and $1.8 billion,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our investment portfolio, other than our 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For our equity method investments, if an investment is deemed to have experienced an other-than-temporary decline below its cost basis, we reduce the carrying amount of the investment to its quoted or estimated fair value, as applicable, and establish a new cost basis for the investment. For our nonmarketable equity securities, we record the impairment to realized and unrealized gains (losses) on equity securities, net. For our equity method investments, we record the impairment to other income (loss), net.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Universal Beijing Resort</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2018, we entered into an agreement with a consortium of Chinese state-owned companies to build and operate a Universal theme park and resort in Beijing, China (“Universal Beijing Resort”), which opened in September 2021. We own a 30% interest in Universal Beijing Resort and the construction was funded through a combination of debt financing and equity contributions from the partners in accordance with their equity interests. The debt financing, which is being provided by a syndicate of Chinese financial institutions, contains certain covenants and a maximum borrowing limit of ¥29.7 billion RMB (approximately $4.2 billion). The debt financing is secured by the assets of Universal Beijing Resort and the equity interests of the investors. As of December 31, 2024, Universal Beijing Resort had $3.4 billion of debt outstanding, including $3.0 billion principal amount of a term loan outstanding under the debt financing agreement. As of December 31, 2023, Universal Beijing Resort had $3.5 billion of debt outstanding, including $3.1 billion principal amount of a term loan outstanding under the debt financing agreement.</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concluded that Universal Beijing Resort is a VIE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consolidated statements of cash flows includes the costs of construction and related borrowings in the “construction of Universal Beijing Resort” and “proceeds from borrowings” captions, respectively, and equity contributions from the noncontrolling interests are included in other financing activities.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our consolidated balance sheets included assets and liabilities of Universal Beijing Resort totaling $7.3 billion and $7.0 billion, respectively. As of December 31, 2023, our consolidated balance sheets included assets and liabilities of Universal Beijing Resort totaling $7.8 billion and $7.2 billion, respectively. The assets and liabilities of Universal Beijing Resort primarily consist of property and equipment, operating lease assets and liabilities, and debt.</w:t>
      </w:r>
    </w:p>
    <w:p>
      <w:pPr>
        <w:spacing w:after="0" w:line="200" w:lineRule="exact"/>
        <w:rPr>
          <w:sz w:val="20"/>
          <w:szCs w:val="20"/>
          <w:color w:val="auto"/>
        </w:rPr>
      </w:pPr>
    </w:p>
    <w:p>
      <w:pPr>
        <w:spacing w:after="0" w:line="297"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83</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8: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3080" w:type="dxa"/>
            <w:vAlign w:val="bottom"/>
          </w:tcPr>
          <w:p>
            <w:pPr>
              <w:jc w:val="right"/>
              <w:ind w:right="655"/>
              <w:spacing w:after="0"/>
              <w:rPr>
                <w:sz w:val="20"/>
                <w:szCs w:val="20"/>
                <w:color w:val="auto"/>
              </w:rPr>
            </w:pPr>
            <w:r>
              <w:rPr>
                <w:rFonts w:ascii="Times New Roman" w:cs="Times New Roman" w:eastAsia="Times New Roman" w:hAnsi="Times New Roman"/>
                <w:sz w:val="14"/>
                <w:szCs w:val="14"/>
                <w:color w:val="auto"/>
              </w:rPr>
              <w:t>Weighted-Average</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80" w:type="dxa"/>
            <w:vAlign w:val="bottom"/>
          </w:tcPr>
          <w:p>
            <w:pPr>
              <w:jc w:val="right"/>
              <w:ind w:right="655"/>
              <w:spacing w:after="0"/>
              <w:rPr>
                <w:sz w:val="20"/>
                <w:szCs w:val="20"/>
                <w:color w:val="auto"/>
              </w:rPr>
            </w:pPr>
            <w:r>
              <w:rPr>
                <w:rFonts w:ascii="Times New Roman" w:cs="Times New Roman" w:eastAsia="Times New Roman" w:hAnsi="Times New Roman"/>
                <w:sz w:val="14"/>
                <w:szCs w:val="14"/>
                <w:color w:val="auto"/>
              </w:rPr>
              <w:t>Original Useful Life</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3080" w:type="dxa"/>
            <w:vAlign w:val="bottom"/>
          </w:tcPr>
          <w:p>
            <w:pPr>
              <w:jc w:val="right"/>
              <w:ind w:right="655"/>
              <w:spacing w:after="0"/>
              <w:rPr>
                <w:sz w:val="20"/>
                <w:szCs w:val="20"/>
                <w:color w:val="auto"/>
              </w:rPr>
            </w:pPr>
            <w:r>
              <w:rPr>
                <w:rFonts w:ascii="Times New Roman" w:cs="Times New Roman" w:eastAsia="Times New Roman" w:hAnsi="Times New Roman"/>
                <w:sz w:val="14"/>
                <w:szCs w:val="14"/>
                <w:color w:val="auto"/>
              </w:rPr>
              <w:t>as of December 31, 2024</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6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systems</w:t>
            </w:r>
          </w:p>
        </w:tc>
        <w:tc>
          <w:tcPr>
            <w:tcW w:w="30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 xml:space="preserve">11 years   </w:t>
            </w: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47.8</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w:t>
            </w:r>
          </w:p>
        </w:tc>
        <w:tc>
          <w:tcPr>
            <w:tcW w:w="308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6 years</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23.2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theme park infrastructure and leasehold improvements</w:t>
            </w:r>
          </w:p>
        </w:tc>
        <w:tc>
          <w:tcPr>
            <w:tcW w:w="308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32 years</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22.1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equipment</w:t>
            </w:r>
          </w:p>
        </w:tc>
        <w:tc>
          <w:tcPr>
            <w:tcW w:w="308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11 years</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18.1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08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8.6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2.2</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0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122.1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9"/>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59.5</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56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80" w:type="dxa"/>
            <w:vAlign w:val="bottom"/>
            <w:tcBorders>
              <w:bottom w:val="single" w:sz="8" w:color="0C6D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62.5</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46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Property and Equipment by Geographic Location</w:t>
            </w:r>
          </w:p>
        </w:tc>
        <w:tc>
          <w:tcPr>
            <w:tcW w:w="3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0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308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6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52.6</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10.0</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56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80" w:type="dxa"/>
            <w:vAlign w:val="bottom"/>
            <w:tcBorders>
              <w:bottom w:val="single" w:sz="8" w:color="0C6D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62.5</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 Capital expenditures for the construction of Universal Beijing Resort are presented separately in our consolidated statements of cash flows.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capitalize the costs associated with the construction of and improvements to our HFC network, including scalable infrastructure and line extensions; costs associated with acquiring and deploying new customer premise equipment; and costs associated with installation of our services, including the customer’s connection to our network, in accordance with the accounting guidance related to cable television companies. Costs capitalized include all direct costs for labor and materials, as well as various indirect costs. Costs incurred in connection with subsequent disconnects, and reconnects of previously deployed customer premise equipment, are expensed as they are incurred.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liabilities associated with such agreements. A remote possibility exists that franchise agreements could be terminated unexpectedly, which could result in us incurring significant expense in complying with restoration or removal provisions. We do not have any material liabilities related to asset retirement obligations recorded in our consolidated financial statements.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84</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9: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Goodwill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Residential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76"/>
        </w:trPr>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Cable</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Connectivity &amp;</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Theme</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Communications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Platforms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Connectivity</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Studios</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Parks</w:t>
            </w:r>
          </w:p>
        </w:tc>
        <w:tc>
          <w:tcPr>
            <w:tcW w:w="28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Sky</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center"/>
              <w:ind w:left="573"/>
              <w:spacing w:after="0"/>
              <w:rPr>
                <w:sz w:val="20"/>
                <w:szCs w:val="20"/>
                <w:color w:val="auto"/>
              </w:rPr>
            </w:pPr>
            <w:r>
              <w:rPr>
                <w:rFonts w:ascii="Times New Roman" w:cs="Times New Roman" w:eastAsia="Times New Roman" w:hAnsi="Times New Roman"/>
                <w:sz w:val="18"/>
                <w:szCs w:val="18"/>
                <w:b w:val="1"/>
                <w:bCs w:val="1"/>
                <w:color w:val="auto"/>
              </w:rPr>
              <w:t>16.2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 $</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26.0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r>
      <w:tr>
        <w:trPr>
          <w:trHeight w:val="230"/>
        </w:trPr>
        <w:tc>
          <w:tcPr>
            <w:tcW w:w="28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Accumulated impairment losses</w:t>
            </w:r>
            <w:r>
              <w:rPr>
                <w:rFonts w:ascii="Times New Roman" w:cs="Times New Roman" w:eastAsia="Times New Roman" w:hAnsi="Times New Roman"/>
                <w:sz w:val="23"/>
                <w:szCs w:val="23"/>
                <w:b w:val="1"/>
                <w:bCs w:val="1"/>
                <w:color w:val="auto"/>
                <w:vertAlign w:val="superscript"/>
              </w:rPr>
              <w:t>(a)</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r>
      <w:tr>
        <w:trPr>
          <w:trHeight w:val="223"/>
        </w:trPr>
        <w:tc>
          <w:tcPr>
            <w:tcW w:w="2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b w:val="1"/>
                <w:bCs w:val="1"/>
                <w:color w:val="auto"/>
              </w:rPr>
              <w:t>16.2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 $</w:t>
            </w:r>
          </w:p>
        </w:tc>
        <w:tc>
          <w:tcPr>
            <w:tcW w:w="12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18.1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change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r>
      <w:tr>
        <w:trPr>
          <w:trHeight w:val="230"/>
        </w:trPr>
        <w:tc>
          <w:tcPr>
            <w:tcW w:w="28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Accumulated impairment losses</w:t>
            </w:r>
            <w:r>
              <w:rPr>
                <w:rFonts w:ascii="Times New Roman" w:cs="Times New Roman" w:eastAsia="Times New Roman" w:hAnsi="Times New Roman"/>
                <w:sz w:val="23"/>
                <w:szCs w:val="23"/>
                <w:b w:val="1"/>
                <w:bCs w:val="1"/>
                <w:color w:val="auto"/>
                <w:vertAlign w:val="superscript"/>
              </w:rPr>
              <w:t>(a)</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r>
      <w:tr>
        <w:trPr>
          <w:trHeight w:val="223"/>
        </w:trPr>
        <w:tc>
          <w:tcPr>
            <w:tcW w:w="2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r>
      <w:tr>
        <w:trPr>
          <w:trHeight w:val="229"/>
        </w:trPr>
        <w:tc>
          <w:tcPr>
            <w:tcW w:w="286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Accumulated impairment losses</w:t>
            </w:r>
            <w:r>
              <w:rPr>
                <w:rFonts w:ascii="Times New Roman" w:cs="Times New Roman" w:eastAsia="Times New Roman" w:hAnsi="Times New Roman"/>
                <w:sz w:val="23"/>
                <w:szCs w:val="23"/>
                <w:b w:val="1"/>
                <w:bCs w:val="1"/>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23"/>
        </w:trPr>
        <w:tc>
          <w:tcPr>
            <w:tcW w:w="2860" w:type="dxa"/>
            <w:vAlign w:val="bottom"/>
            <w:tcBorders>
              <w:bottom w:val="single" w:sz="8" w:color="0C6DFF"/>
            </w:tcBorders>
            <w:shd w:val="clear" w:color="auto" w:fill="CCEEFF"/>
          </w:tcPr>
          <w:p>
            <w:pPr>
              <w:spacing w:after="0"/>
              <w:rPr>
                <w:sz w:val="19"/>
                <w:szCs w:val="19"/>
                <w:color w:val="auto"/>
              </w:rPr>
            </w:pPr>
          </w:p>
        </w:tc>
        <w:tc>
          <w:tcPr>
            <w:tcW w:w="280" w:type="dxa"/>
            <w:vAlign w:val="bottom"/>
            <w:tcBorders>
              <w:bottom w:val="single" w:sz="8" w:color="0C6D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0C6D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240" w:type="dxa"/>
            <w:vAlign w:val="bottom"/>
            <w:tcBorders>
              <w:bottom w:val="single" w:sz="8" w:color="0C6D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tcBorders>
              <w:bottom w:val="single" w:sz="8" w:color="0C6D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300" w:type="dxa"/>
            <w:vAlign w:val="bottom"/>
            <w:tcBorders>
              <w:bottom w:val="single" w:sz="8" w:color="0C6D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Borders>
              <w:bottom w:val="single" w:sz="8" w:color="0C6D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80" w:type="dxa"/>
            <w:vAlign w:val="bottom"/>
            <w:tcBorders>
              <w:bottom w:val="single" w:sz="8" w:color="0C6D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0C6D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r>
    </w:tbl>
    <w:p>
      <w:pPr>
        <w:spacing w:after="0" w:line="126" w:lineRule="exact"/>
        <w:rPr>
          <w:sz w:val="20"/>
          <w:szCs w:val="20"/>
          <w:color w:val="auto"/>
        </w:rPr>
      </w:pPr>
    </w:p>
    <w:p>
      <w:pPr>
        <w:ind w:firstLine="8"/>
        <w:spacing w:after="0" w:line="282" w:lineRule="auto"/>
        <w:tabs>
          <w:tab w:leader="none" w:pos="20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2022 impairment related to Sky, with the 2023 amounts allocated to our new segments on a consistent basis with goodwill. Amounts are impacted by foreign currency translation each period.</w:t>
      </w:r>
    </w:p>
    <w:p>
      <w:pPr>
        <w:spacing w:after="0" w:line="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we recorded a goodwill impairment of $8.1 billion in our Sky reporting unit. The fair value of the reporting unit was estimated using a discounted cash flow analysis. When performing this analysis, we also considered multiples of earnings from comparable public companies and recent market transactions. The decline in fair value primarily resulted from an increased discount rate and reduced estimated future cash flows as a result of macroeconomic conditions in the Sky territories. The impairment is presented in goodwill and long-lived asset impairments in the consolidated statements of income.</w:t>
      </w:r>
    </w:p>
    <w:p>
      <w:pPr>
        <w:spacing w:after="0" w:line="380"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85</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Intangible Assets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2023</w:t>
            </w:r>
          </w:p>
        </w:tc>
        <w:tc>
          <w:tcPr>
            <w:tcW w:w="940" w:type="dxa"/>
            <w:vAlign w:val="bottom"/>
          </w:tcPr>
          <w:p>
            <w:pPr>
              <w:spacing w:after="0"/>
              <w:rPr>
                <w:sz w:val="16"/>
                <w:szCs w:val="16"/>
                <w:color w:val="auto"/>
              </w:rPr>
            </w:pPr>
          </w:p>
        </w:tc>
      </w:tr>
      <w:tr>
        <w:trPr>
          <w:trHeight w:val="23"/>
        </w:trPr>
        <w:tc>
          <w:tcPr>
            <w:tcW w:w="3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8"/>
        </w:trPr>
        <w:tc>
          <w:tcPr>
            <w:tcW w:w="3660" w:type="dxa"/>
            <w:vAlign w:val="bottom"/>
          </w:tcPr>
          <w:p>
            <w:pPr>
              <w:spacing w:after="0"/>
              <w:rPr>
                <w:sz w:val="17"/>
                <w:szCs w:val="17"/>
                <w:color w:val="auto"/>
              </w:rPr>
            </w:pPr>
          </w:p>
        </w:tc>
        <w:tc>
          <w:tcPr>
            <w:tcW w:w="2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Weighted-Average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Gross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75"/>
        </w:trPr>
        <w:tc>
          <w:tcPr>
            <w:tcW w:w="3660" w:type="dxa"/>
            <w:vAlign w:val="bottom"/>
          </w:tcPr>
          <w:p>
            <w:pPr>
              <w:spacing w:after="0"/>
              <w:rPr>
                <w:sz w:val="15"/>
                <w:szCs w:val="15"/>
                <w:color w:val="auto"/>
              </w:rPr>
            </w:pPr>
          </w:p>
        </w:tc>
        <w:tc>
          <w:tcPr>
            <w:tcW w:w="2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Original Useful Life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Carrying</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Accumulated</w:t>
            </w:r>
          </w:p>
        </w:tc>
      </w:tr>
      <w:tr>
        <w:trPr>
          <w:trHeight w:val="21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2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as of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Amortization</w:t>
            </w:r>
          </w:p>
        </w:tc>
      </w:tr>
      <w:tr>
        <w:trPr>
          <w:trHeight w:val="23"/>
        </w:trPr>
        <w:tc>
          <w:tcPr>
            <w:tcW w:w="3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Franchise rights</w:t>
            </w:r>
          </w:p>
        </w:tc>
        <w:tc>
          <w:tcPr>
            <w:tcW w:w="2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FCC licenses</w:t>
            </w:r>
          </w:p>
        </w:tc>
        <w:tc>
          <w:tcPr>
            <w:tcW w:w="294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96"/>
        </w:trPr>
        <w:tc>
          <w:tcPr>
            <w:tcW w:w="36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13 years </w:t>
            </w: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2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3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agreements and rights</w:t>
            </w:r>
          </w:p>
        </w:tc>
        <w:tc>
          <w:tcPr>
            <w:tcW w:w="294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 years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consist primarily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that limit the period over which these rights will contribute to our cash flows. We reassess this determination periodically or whenever events or substantive changes in circumstances occur. The purchase of spectrum rights is presented separately in our consolidated statements of cash flows.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assess the recoverability of our cable franchise rights and other indefinite-lived intangible assets annually, or more frequently whenever events or substantive changes in circumstances indicate that the assets might be impaired.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customer relationships acquired in business combinations, software, trade names and intellectual property rights. Our finite-lived intangible assets are amortized primarily on a straight-line basis over their estimated useful life or the term of the associated agreement.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estimated amortization expense of our customer relationships and other agreements and rights, including trade names and intellectual property rights.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Estimated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billions)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380" w:type="dxa"/>
            <w:vAlign w:val="bottom"/>
            <w:tcBorders>
              <w:top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3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672"/>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6380" w:type="dxa"/>
            <w:vAlign w:val="bottom"/>
          </w:tcPr>
          <w:p>
            <w:pPr>
              <w:jc w:val="right"/>
              <w:ind w:right="4693"/>
              <w:spacing w:after="0"/>
              <w:rPr>
                <w:sz w:val="20"/>
                <w:szCs w:val="20"/>
                <w:color w:val="auto"/>
              </w:rPr>
            </w:pPr>
            <w:r>
              <w:rPr>
                <w:rFonts w:ascii="Times New Roman" w:cs="Times New Roman" w:eastAsia="Times New Roman" w:hAnsi="Times New Roman"/>
                <w:sz w:val="14"/>
                <w:szCs w:val="14"/>
                <w:b w:val="1"/>
                <w:bCs w:val="1"/>
                <w:color w:val="auto"/>
              </w:rPr>
              <w:t>86</w:t>
            </w:r>
          </w:p>
        </w:tc>
        <w:tc>
          <w:tcPr>
            <w:tcW w:w="800" w:type="dxa"/>
            <w:vAlign w:val="bottom"/>
          </w:tcPr>
          <w:p>
            <w:pPr>
              <w:spacing w:after="0"/>
              <w:rPr>
                <w:sz w:val="24"/>
                <w:szCs w:val="24"/>
                <w:color w:val="auto"/>
              </w:rPr>
            </w:pPr>
          </w:p>
        </w:tc>
      </w:tr>
      <w:tr>
        <w:trPr>
          <w:trHeight w:val="341"/>
        </w:trPr>
        <w:tc>
          <w:tcPr>
            <w:tcW w:w="406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arrangements that constitute the purchase of, or convey a license to,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in connection with our annual goodwill impairment assessment, we also recorded impairments of intangible assets, which primarily related to customer relationship assets resulting from our Sky acquisition. These impairments totaled $485 million and are presented in goodwill and long-lived asset impairments in the consolidated statements of income.</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10: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and for the year ended December 31 (in millions)</w:t>
            </w:r>
          </w:p>
        </w:tc>
        <w:tc>
          <w:tcPr>
            <w:tcW w:w="2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2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r>
      <w:tr>
        <w:trPr>
          <w:trHeight w:val="229"/>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unfunded, nonqualified deferred compensation plans for certain members of management and nonemployee directors. The amount of compensation deferred by each participant is based on participant elections. Participant accounts are credited with income primarily based on a fixed annual rate. Participants are eligible to receive distributions from their account based on elected deferral periods that are consistent with the plans and applicable tax law.</w:t>
      </w:r>
    </w:p>
    <w:p>
      <w:pPr>
        <w:spacing w:after="0" w:line="7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We have purchased life insurance policies to recover a portion of the future payments related to our deferred compensation plans. As of December 31, 2024 and 2023, the cash surrender value of these policies, which is recorded to other noncurrent assets, net, was $566 million and $512 million,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2024, 2023 and 2022, expenses related to these plans totaled $661 million, $650 million and $632 million, respectively.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 Total contributions we made to multiemployer benefit plans and any potential withdrawal liabilities were not material in any of the periods presented.</w:t>
      </w:r>
    </w:p>
    <w:p>
      <w:pPr>
        <w:spacing w:after="0" w:line="200" w:lineRule="exact"/>
        <w:rPr>
          <w:sz w:val="20"/>
          <w:szCs w:val="20"/>
          <w:color w:val="auto"/>
        </w:rPr>
      </w:pPr>
    </w:p>
    <w:p>
      <w:pPr>
        <w:spacing w:after="0" w:line="30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87</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11: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In the aggregate, holders of our Class A common stock have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voting power of our common stock and holders of our Class B common stock have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voting power of our common stock, which percentage is generally non-dilutable under the terms of our articles of incorporation. Each share of our Class B common stock is entitled to 15 votes. The number of votes held by each share of our Class A common stock depends on the number of shares of Class A and Class B common stock outstanding at any given time. The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aggregate voting power of our Class B common stock cannot be diluted by additional issuances of any other class of common stock. Our Class B common stock is convertible, share for share, into Class A common stock, subject to certain restrictions.</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excise tax payments related to repurchases of common stock within repurchases of common stock under repurchase program and employee plans in the consolidated statements of cash flows.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Shares of Common Stock Outstanding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36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Class A</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B</w:t>
            </w:r>
          </w:p>
        </w:tc>
      </w:tr>
      <w:tr>
        <w:trPr>
          <w:trHeight w:val="22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4,524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plans</w:t>
            </w:r>
          </w:p>
        </w:tc>
        <w:tc>
          <w:tcPr>
            <w:tcW w:w="2360" w:type="dxa"/>
            <w:vAlign w:val="bottom"/>
          </w:tcPr>
          <w:p>
            <w:pPr>
              <w:spacing w:after="0"/>
              <w:rPr>
                <w:sz w:val="19"/>
                <w:szCs w:val="19"/>
                <w:color w:val="auto"/>
              </w:rPr>
            </w:pPr>
          </w:p>
        </w:tc>
        <w:tc>
          <w:tcPr>
            <w:tcW w:w="15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and retirements of common stock</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(332)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2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4,211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plans</w:t>
            </w:r>
          </w:p>
        </w:tc>
        <w:tc>
          <w:tcPr>
            <w:tcW w:w="2360" w:type="dxa"/>
            <w:vAlign w:val="bottom"/>
          </w:tcPr>
          <w:p>
            <w:pPr>
              <w:spacing w:after="0"/>
              <w:rPr>
                <w:sz w:val="19"/>
                <w:szCs w:val="19"/>
                <w:color w:val="auto"/>
              </w:rPr>
            </w:pPr>
          </w:p>
        </w:tc>
        <w:tc>
          <w:tcPr>
            <w:tcW w:w="15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and retirements of common stock</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(262)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2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3,969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 compensation plans</w:t>
            </w:r>
          </w:p>
        </w:tc>
        <w:tc>
          <w:tcPr>
            <w:tcW w:w="2360" w:type="dxa"/>
            <w:vAlign w:val="bottom"/>
          </w:tcPr>
          <w:p>
            <w:pPr>
              <w:spacing w:after="0"/>
              <w:rPr>
                <w:sz w:val="19"/>
                <w:szCs w:val="19"/>
                <w:color w:val="auto"/>
              </w:rPr>
            </w:pPr>
          </w:p>
        </w:tc>
        <w:tc>
          <w:tcPr>
            <w:tcW w:w="154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Repurchases and retirements of common stock</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stock purchase plans</w:t>
            </w:r>
          </w:p>
        </w:tc>
        <w:tc>
          <w:tcPr>
            <w:tcW w:w="2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63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360" w:type="dxa"/>
            <w:vAlign w:val="bottom"/>
            <w:tcBorders>
              <w:bottom w:val="single" w:sz="8" w:color="0C6DFF"/>
            </w:tcBorders>
            <w:shd w:val="clear" w:color="auto" w:fill="CCEEFF"/>
          </w:tcPr>
          <w:p>
            <w:pPr>
              <w:spacing w:after="0"/>
              <w:rPr>
                <w:sz w:val="19"/>
                <w:szCs w:val="19"/>
                <w:color w:val="auto"/>
              </w:rPr>
            </w:pPr>
          </w:p>
        </w:tc>
        <w:tc>
          <w:tcPr>
            <w:tcW w:w="1540" w:type="dxa"/>
            <w:vAlign w:val="bottom"/>
            <w:tcBorders>
              <w:bottom w:val="single" w:sz="8" w:color="0C6DFF"/>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3,778</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54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Weighted-Average Common Shares Outstanding</w:t>
            </w:r>
          </w:p>
        </w:tc>
        <w:tc>
          <w:tcPr>
            <w:tcW w:w="2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0"/>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3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5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23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3,885</w:t>
            </w:r>
          </w:p>
        </w:tc>
        <w:tc>
          <w:tcPr>
            <w:tcW w:w="15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4,122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36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24</w:t>
            </w:r>
          </w:p>
        </w:tc>
        <w:tc>
          <w:tcPr>
            <w:tcW w:w="15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63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2360" w:type="dxa"/>
            <w:vAlign w:val="bottom"/>
            <w:tcBorders>
              <w:bottom w:val="single" w:sz="8" w:color="0C6D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3,908</w:t>
            </w:r>
          </w:p>
        </w:tc>
        <w:tc>
          <w:tcPr>
            <w:tcW w:w="1540" w:type="dxa"/>
            <w:vAlign w:val="bottom"/>
            <w:tcBorders>
              <w:bottom w:val="single" w:sz="8" w:color="0C6D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4,148</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r>
      <w:tr>
        <w:trPr>
          <w:trHeight w:val="223"/>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23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184</w:t>
            </w:r>
          </w:p>
        </w:tc>
        <w:tc>
          <w:tcPr>
            <w:tcW w:w="15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169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Weighted-average common shares outstanding used in calculating 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w:t>
      </w:r>
    </w:p>
    <w:p>
      <w:pPr>
        <w:spacing w:after="0" w:line="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average market price of our common stock. Antidilutive securities represent the number of potential common shares related to share-based compensation awards that were excluded from diluted EPS because their effect would have been antidilutive.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Accumulated Other Comprehensive Income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3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33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(2,474)</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3340" w:type="dxa"/>
            <w:vAlign w:val="bottom"/>
          </w:tcPr>
          <w:p>
            <w:pPr>
              <w:spacing w:after="0"/>
              <w:rPr>
                <w:sz w:val="19"/>
                <w:szCs w:val="19"/>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106</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 and other</w:t>
            </w:r>
          </w:p>
        </w:tc>
        <w:tc>
          <w:tcPr>
            <w:tcW w:w="3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325</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53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net of deferred taxes</w:t>
            </w:r>
          </w:p>
        </w:tc>
        <w:tc>
          <w:tcPr>
            <w:tcW w:w="3340" w:type="dxa"/>
            <w:vAlign w:val="bottom"/>
            <w:tcBorders>
              <w:bottom w:val="single" w:sz="8" w:color="0C6DFF"/>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(2,043)</w:t>
            </w:r>
          </w:p>
        </w:tc>
        <w:tc>
          <w:tcPr>
            <w:tcW w:w="6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7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3340" w:type="dxa"/>
            <w:vAlign w:val="bottom"/>
          </w:tcPr>
          <w:p>
            <w:pPr>
              <w:jc w:val="right"/>
              <w:ind w:right="2916"/>
              <w:spacing w:after="0"/>
              <w:rPr>
                <w:sz w:val="20"/>
                <w:szCs w:val="20"/>
                <w:color w:val="auto"/>
              </w:rPr>
            </w:pPr>
            <w:r>
              <w:rPr>
                <w:rFonts w:ascii="Times New Roman" w:cs="Times New Roman" w:eastAsia="Times New Roman" w:hAnsi="Times New Roman"/>
                <w:sz w:val="14"/>
                <w:szCs w:val="14"/>
                <w:b w:val="1"/>
                <w:bCs w:val="1"/>
                <w:color w:val="auto"/>
              </w:rPr>
              <w:t>88</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1"/>
        </w:trPr>
        <w:tc>
          <w:tcPr>
            <w:tcW w:w="53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12: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52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5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1,069</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1,021</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2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222</w:t>
            </w:r>
          </w:p>
        </w:tc>
        <w:tc>
          <w:tcPr>
            <w:tcW w:w="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203</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RSUs and stock options to certain employees and directors as part of our long-term incentive compensation structure. Awards generally vest over a period of 5 years and, in the case of stock options, have a 10 year term. RSUs include performance stock units awarded to certain senior executives with vesting after 3 years based upon the achievement of certain performance conditions. These performance stock units are not material to our consolidated results of operations in any period presented. As of December 31, 2024, virtually all of our stock options outstanding were net settled stock options, which result in fewer shares being issued and no cash proceeds being received by us when the options are exercised. Additionally, eligible employees may purchase shares of our common stock at a discount under our employee stock purchase plans.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Stock Options and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40" w:type="dxa"/>
            <w:vAlign w:val="bottom"/>
          </w:tcPr>
          <w:p>
            <w:pPr>
              <w:jc w:val="right"/>
              <w:ind w:right="675"/>
              <w:spacing w:after="0"/>
              <w:rPr>
                <w:sz w:val="20"/>
                <w:szCs w:val="20"/>
                <w:color w:val="auto"/>
              </w:rPr>
            </w:pPr>
            <w:r>
              <w:rPr>
                <w:rFonts w:ascii="Times New Roman" w:cs="Times New Roman" w:eastAsia="Times New Roman" w:hAnsi="Times New Roman"/>
                <w:sz w:val="14"/>
                <w:szCs w:val="14"/>
                <w:color w:val="auto"/>
              </w:rPr>
              <w:t>Stock</w:t>
            </w:r>
          </w:p>
        </w:tc>
        <w:tc>
          <w:tcPr>
            <w:tcW w:w="900" w:type="dxa"/>
            <w:vAlign w:val="bottom"/>
          </w:tcPr>
          <w:p>
            <w:pPr>
              <w:spacing w:after="0"/>
              <w:rPr>
                <w:sz w:val="15"/>
                <w:szCs w:val="15"/>
                <w:color w:val="auto"/>
              </w:rPr>
            </w:pPr>
          </w:p>
        </w:tc>
      </w:tr>
      <w:tr>
        <w:trPr>
          <w:trHeight w:val="202"/>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2024, unless otherwise stated (in millions, except per share data)</w:t>
            </w:r>
          </w:p>
        </w:tc>
        <w:tc>
          <w:tcPr>
            <w:tcW w:w="2140" w:type="dxa"/>
            <w:vAlign w:val="bottom"/>
          </w:tcPr>
          <w:p>
            <w:pPr>
              <w:spacing w:after="0"/>
              <w:rPr>
                <w:sz w:val="17"/>
                <w:szCs w:val="17"/>
                <w:color w:val="auto"/>
              </w:rPr>
            </w:pPr>
          </w:p>
        </w:tc>
        <w:tc>
          <w:tcPr>
            <w:tcW w:w="1640" w:type="dxa"/>
            <w:vAlign w:val="bottom"/>
          </w:tcPr>
          <w:p>
            <w:pPr>
              <w:jc w:val="right"/>
              <w:ind w:right="675"/>
              <w:spacing w:after="0"/>
              <w:rPr>
                <w:sz w:val="20"/>
                <w:szCs w:val="20"/>
                <w:color w:val="auto"/>
              </w:rPr>
            </w:pPr>
            <w:r>
              <w:rPr>
                <w:rFonts w:ascii="Times New Roman" w:cs="Times New Roman" w:eastAsia="Times New Roman" w:hAnsi="Times New Roman"/>
                <w:sz w:val="14"/>
                <w:szCs w:val="14"/>
                <w:color w:val="auto"/>
              </w:rPr>
              <w:t>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RSUs</w:t>
            </w:r>
          </w:p>
        </w:tc>
      </w:tr>
      <w:tr>
        <w:trPr>
          <w:trHeight w:val="23"/>
        </w:trPr>
        <w:tc>
          <w:tcPr>
            <w:tcW w:w="65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granted during 2024</w:t>
            </w:r>
          </w:p>
        </w:tc>
        <w:tc>
          <w:tcPr>
            <w:tcW w:w="2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exercise price of awards granted during 2024</w:t>
            </w:r>
          </w:p>
        </w:tc>
        <w:tc>
          <w:tcPr>
            <w:tcW w:w="2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40.72</w:t>
            </w:r>
          </w:p>
        </w:tc>
        <w:tc>
          <w:tcPr>
            <w:tcW w:w="900" w:type="dxa"/>
            <w:vAlign w:val="bottom"/>
            <w:tcBorders>
              <w:bottom w:val="single" w:sz="8" w:color="auto"/>
            </w:tcBorders>
          </w:tcPr>
          <w:p>
            <w:pPr>
              <w:spacing w:after="0"/>
              <w:rPr>
                <w:sz w:val="19"/>
                <w:szCs w:val="19"/>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and unvested RSUs</w:t>
            </w:r>
          </w:p>
        </w:tc>
        <w:tc>
          <w:tcPr>
            <w:tcW w:w="2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224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exercise price of stock options outstanding</w:t>
            </w:r>
          </w:p>
        </w:tc>
        <w:tc>
          <w:tcPr>
            <w:tcW w:w="2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41.70</w:t>
            </w:r>
          </w:p>
        </w:tc>
        <w:tc>
          <w:tcPr>
            <w:tcW w:w="900" w:type="dxa"/>
            <w:vAlign w:val="bottom"/>
          </w:tcPr>
          <w:p>
            <w:pPr>
              <w:spacing w:after="0"/>
              <w:rPr>
                <w:sz w:val="19"/>
                <w:szCs w:val="19"/>
                <w:color w:val="auto"/>
              </w:rPr>
            </w:pPr>
          </w:p>
        </w:tc>
      </w:tr>
      <w:tr>
        <w:trPr>
          <w:trHeight w:val="229"/>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grant date of unvested RSUs</w:t>
            </w:r>
          </w:p>
        </w:tc>
        <w:tc>
          <w:tcPr>
            <w:tcW w:w="2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associated with our share-based compensation is based on an award’s estimated fair value at the date of grant and is recognized over the period in which any related services are provided. RSUs are primarily valued based on the closing price of our common stock on the date of grant and are discounted for the lack of dividends, if any, during the vesting period. We use the Black-Scholes option pricing model to estimate the fair value of stock option awards.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weighted-average fair value on the date of grant of RSUs and stock options awarded under our various plans and the related weighted-average valuation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2220" w:type="dxa"/>
            <w:vAlign w:val="bottom"/>
          </w:tcPr>
          <w:p>
            <w:pPr>
              <w:spacing w:after="0"/>
              <w:rPr>
                <w:sz w:val="16"/>
                <w:szCs w:val="16"/>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5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fair value</w:t>
            </w:r>
          </w:p>
        </w:tc>
        <w:tc>
          <w:tcPr>
            <w:tcW w:w="2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42.23</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37.14</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45.20</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fair value</w:t>
            </w:r>
          </w:p>
        </w:tc>
        <w:tc>
          <w:tcPr>
            <w:tcW w:w="2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9.93</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8.41</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8.77</w:t>
            </w: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Valuation Assumptions:</w:t>
            </w:r>
          </w:p>
        </w:tc>
        <w:tc>
          <w:tcPr>
            <w:tcW w:w="2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yield</w:t>
            </w:r>
          </w:p>
        </w:tc>
        <w:tc>
          <w:tcPr>
            <w:tcW w:w="2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2.9 %</w:t>
            </w:r>
          </w:p>
        </w:tc>
        <w:tc>
          <w:tcPr>
            <w:tcW w:w="6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3.2 %</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2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24.8 %</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26.2 %</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2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4.2 %</w:t>
            </w:r>
          </w:p>
        </w:tc>
        <w:tc>
          <w:tcPr>
            <w:tcW w:w="6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4.2 %</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4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2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unrecognized pretax compensation expense of $2.1 billion related to unvested RSUs and unvested stock options that will be recognized over a weighted-average period of approximately 1.6 years.</w:t>
      </w:r>
    </w:p>
    <w:p>
      <w:pPr>
        <w:spacing w:after="0" w:line="200" w:lineRule="exact"/>
        <w:rPr>
          <w:sz w:val="20"/>
          <w:szCs w:val="20"/>
          <w:color w:val="auto"/>
        </w:rPr>
      </w:pPr>
    </w:p>
    <w:p>
      <w:pPr>
        <w:spacing w:after="0" w:line="26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89</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13: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Cash Payments for Interest and 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8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2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8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r>
      <w:tr>
        <w:trPr>
          <w:trHeight w:val="230"/>
        </w:trPr>
        <w:tc>
          <w:tcPr>
            <w:tcW w:w="46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(a)(b)</w:t>
            </w:r>
          </w:p>
        </w:tc>
        <w:tc>
          <w:tcPr>
            <w:tcW w:w="2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7,096</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w:t>
            </w:r>
          </w:p>
        </w:tc>
      </w:tr>
    </w:tbl>
    <w:p>
      <w:pPr>
        <w:spacing w:after="0" w:line="72" w:lineRule="exact"/>
        <w:rPr>
          <w:sz w:val="20"/>
          <w:szCs w:val="20"/>
          <w:color w:val="auto"/>
        </w:rPr>
      </w:pPr>
    </w:p>
    <w:p>
      <w:pPr>
        <w:ind w:left="200" w:hanging="192"/>
        <w:spacing w:after="0"/>
        <w:tabs>
          <w:tab w:leader="none" w:pos="2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payments for income taxes in 2024 includes $1.7 billion related to the purchase of third-party transferable tax credits.</w:t>
      </w:r>
    </w:p>
    <w:p>
      <w:pPr>
        <w:spacing w:after="0" w:line="136" w:lineRule="exact"/>
        <w:rPr>
          <w:rFonts w:ascii="Times New Roman" w:cs="Times New Roman" w:eastAsia="Times New Roman" w:hAnsi="Times New Roman"/>
          <w:sz w:val="14"/>
          <w:szCs w:val="14"/>
          <w:color w:val="auto"/>
        </w:rPr>
      </w:pPr>
    </w:p>
    <w:p>
      <w:pPr>
        <w:ind w:firstLine="8"/>
        <w:spacing w:after="0" w:line="302" w:lineRule="auto"/>
        <w:tabs>
          <w:tab w:leader="none" w:pos="20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other operating assets and liabilities in the consolidated statements of cash flows included an increase in current tax receivables and a decrease in current taxes payable for the year ended December 31, 2024, and an increase in current taxes payable for the year ended December 31, 2023. See Notes 5 and 7.</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w:t>
      </w:r>
    </w:p>
    <w:p>
      <w:pPr>
        <w:spacing w:after="0" w:line="117"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$2.8 billion of property and equipment and intangible assets that were accrued but unpaid</w:t>
      </w:r>
    </w:p>
    <w:p>
      <w:pPr>
        <w:spacing w:after="0" w:line="117" w:lineRule="exact"/>
        <w:rPr>
          <w:rFonts w:ascii="Times New Roman" w:cs="Times New Roman" w:eastAsia="Times New Roman" w:hAnsi="Times New Roman"/>
          <w:sz w:val="18"/>
          <w:szCs w:val="18"/>
          <w:color w:val="auto"/>
        </w:rPr>
      </w:pPr>
    </w:p>
    <w:p>
      <w:pPr>
        <w:ind w:right="2220" w:firstLine="332"/>
        <w:spacing w:after="0" w:line="375" w:lineRule="auto"/>
        <w:tabs>
          <w:tab w:leader="none" w:pos="6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$0.31 per common share paid in January 2025 During 2023:</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$2.1 billion of property and equipment and intangible assets that were accrued but unpaid</w:t>
      </w:r>
    </w:p>
    <w:p>
      <w:pPr>
        <w:spacing w:after="0" w:line="117" w:lineRule="exact"/>
        <w:rPr>
          <w:rFonts w:ascii="Times New Roman" w:cs="Times New Roman" w:eastAsia="Times New Roman" w:hAnsi="Times New Roman"/>
          <w:sz w:val="18"/>
          <w:szCs w:val="18"/>
          <w:color w:val="auto"/>
        </w:rPr>
      </w:pPr>
    </w:p>
    <w:p>
      <w:pPr>
        <w:ind w:right="2220" w:firstLine="332"/>
        <w:spacing w:after="0" w:line="375" w:lineRule="auto"/>
        <w:tabs>
          <w:tab w:leader="none" w:pos="6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$0.29 per common share paid in January 2024 During 2022:</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$2.0 billion of property and equipment and intangible assets that were accrued but unpaid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$1.1 billion for a quarterly cash dividend of $0.27 per common share paid in January 2023</w:t>
      </w:r>
    </w:p>
    <w:p>
      <w:pPr>
        <w:spacing w:after="0" w:line="11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Cash, Cash Equivalents and Restricted Cash</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of the amounts reported in our consolidated statements of cash flows.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8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7,322</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p>
        </w:tc>
        <w:tc>
          <w:tcPr>
            <w:tcW w:w="1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68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1740" w:type="dxa"/>
            <w:vAlign w:val="bottom"/>
            <w:tcBorders>
              <w:bottom w:val="single" w:sz="8" w:color="0C6D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640" w:type="dxa"/>
            <w:vAlign w:val="bottom"/>
            <w:tcBorders>
              <w:bottom w:val="single" w:sz="8" w:color="0C6D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14: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Content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significant fixed-price purchase obligations related to long-term agreements for licensed content. Refer to Note 4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use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2024 Annual Report on Form 10-K</w:t>
      </w:r>
      <w:r>
        <w:rPr>
          <w:sz w:val="20"/>
          <w:szCs w:val="20"/>
          <w:color w:val="auto"/>
        </w:rPr>
        <w:tab/>
      </w:r>
      <w:r>
        <w:rPr>
          <w:rFonts w:ascii="Times New Roman" w:cs="Times New Roman" w:eastAsia="Times New Roman" w:hAnsi="Times New Roman"/>
          <w:sz w:val="14"/>
          <w:szCs w:val="14"/>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operating leases recorded in the balance sheets, lease expense is based on the future minimum lease payments recognized on a straight-line basis over the term of the lease plus any variable lease costs. In 2024, 2023 and 2022, operating lease expenses, inclusive of short-term and variable lease expenses, recognized in our consolidated statements of income were each $1.2 billion.</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Operating Lease Assets and Liabilities Recorded in our Consolidated Balance Sheet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2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5,524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5,569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Future Minimum Lease Commitments for Operating Leases</w:t>
            </w:r>
          </w:p>
        </w:tc>
        <w:tc>
          <w:tcPr>
            <w:tcW w:w="2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right"/>
              <w:ind w:right="4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auto"/>
            </w:tcBorders>
            <w:vMerge w:val="continue"/>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w:t>
            </w:r>
          </w:p>
        </w:tc>
        <w:tc>
          <w:tcPr>
            <w:tcW w:w="2220" w:type="dxa"/>
            <w:vAlign w:val="bottom"/>
            <w:tcBorders>
              <w:bottom w:val="single" w:sz="8" w:color="0C6DFF"/>
            </w:tcBorders>
            <w:shd w:val="clear" w:color="auto" w:fill="CCEEFF"/>
          </w:tcPr>
          <w:p>
            <w:pPr>
              <w:spacing w:after="0"/>
              <w:rPr>
                <w:sz w:val="19"/>
                <w:szCs w:val="19"/>
                <w:color w:val="auto"/>
              </w:rPr>
            </w:pPr>
          </w:p>
        </w:tc>
        <w:tc>
          <w:tcPr>
            <w:tcW w:w="1000" w:type="dxa"/>
            <w:vAlign w:val="bottom"/>
            <w:tcBorders>
              <w:bottom w:val="single" w:sz="8" w:color="0C6D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C6DFF"/>
            </w:tcBorders>
            <w:shd w:val="clear" w:color="auto" w:fill="CCEEFF"/>
          </w:tcPr>
          <w:p>
            <w:pPr>
              <w:spacing w:after="0"/>
              <w:rPr>
                <w:sz w:val="19"/>
                <w:szCs w:val="19"/>
                <w:color w:val="auto"/>
              </w:rPr>
            </w:pPr>
          </w:p>
        </w:tc>
        <w:tc>
          <w:tcPr>
            <w:tcW w:w="12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60" w:type="dxa"/>
            <w:vAlign w:val="bottom"/>
            <w:tcBorders>
              <w:bottom w:val="single" w:sz="8" w:color="0C6D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terms for operating leases and the weighted-average discount rates used to calculate our operating lease liabilities as of December 31, 2024 were 17 years and 4.2%, respectively, and as of December 31, 2023 were 17 years and 4.1%, respectively.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2023 and 2022, cash payments for operating leases recorded in the consolidated balance sheets were $1.0 billion, $963 million and $965 million, respectively. Lease assets and liabilities associated with operating leases entered into or modified were not material in any period presented.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2024, our carrying value was $1.1 billion, and the estimated value of the contractual obligation was $1.8 billion based on inputs to the contractual formula as of that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00" w:lineRule="exact"/>
        <w:rPr>
          <w:sz w:val="20"/>
          <w:szCs w:val="20"/>
          <w:color w:val="auto"/>
        </w:rPr>
      </w:pPr>
    </w:p>
    <w:p>
      <w:pPr>
        <w:spacing w:after="0" w:line="280"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91</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color w:val="006EBF"/>
        </w:rPr>
        <w:t>Item 9: Changes in and Disagreements with Accountants on Accounting and Financial Disclosure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006EBF"/>
        </w:rPr>
        <w:t>Item 9A: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Management’s Report on Internal Control Over Financial Reporting on page 57.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Report of Independent Registered Public Accounting Firm on page 58.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color w:val="006EBF"/>
        </w:rPr>
        <w:t>Item 9B: Other Information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28, 2025, the Company’s Board of Directors adopted Amended and Restated Bylaws of the Company, effective immediately. The Amended and Restated Bylaws were amended to specify that proposals of business that would have an adverse effect on the rights, powers or preferences of a class of capital stock that require consent of one or more classes of stock in order to be effected may be made only by the Board or holder(s) of any class of capital stock that would be adversely affected. The Amended and Restated Bylaws also incorporate other minor clean-up and conforming changes. The foregoing description is qualified in its entirety by reference to the Amended and Restated Bylaws, which are filed as Exhibit 3.2 to this Annual Report on Form 10-K and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006EBF"/>
        </w:rPr>
        <w:t>Item 9C: Disclosure Regarding Foreign Jurisdictions that Prevent Inspections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006EBF"/>
        </w:rPr>
        <w:t>Item 10: Directors, Executive Officers and Corporate Governance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We refer to this proxy statement as the 2025 Proxy Statement.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office of each of our executive officers continues until his successor is selected and qualified or until his earlier death, resignation or removal.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positions and tenure, as of the date hereof.</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1140" w:type="dxa"/>
            <w:vAlign w:val="bottom"/>
          </w:tcPr>
          <w:p>
            <w:pPr>
              <w:jc w:val="center"/>
              <w:ind w:left="133"/>
              <w:spacing w:after="0"/>
              <w:rPr>
                <w:sz w:val="20"/>
                <w:szCs w:val="20"/>
                <w:color w:val="auto"/>
              </w:rPr>
            </w:pPr>
            <w:r>
              <w:rPr>
                <w:rFonts w:ascii="Times New Roman" w:cs="Times New Roman" w:eastAsia="Times New Roman" w:hAnsi="Times New Roman"/>
                <w:sz w:val="14"/>
                <w:szCs w:val="14"/>
                <w:color w:val="auto"/>
              </w:rPr>
              <w:t>Age</w:t>
            </w:r>
          </w:p>
        </w:tc>
        <w:tc>
          <w:tcPr>
            <w:tcW w:w="1240" w:type="dxa"/>
            <w:vAlign w:val="bottom"/>
          </w:tcPr>
          <w:p>
            <w:pPr>
              <w:jc w:val="center"/>
              <w:ind w:left="113"/>
              <w:spacing w:after="0"/>
              <w:rPr>
                <w:sz w:val="20"/>
                <w:szCs w:val="20"/>
                <w:color w:val="auto"/>
              </w:rPr>
            </w:pPr>
            <w:r>
              <w:rPr>
                <w:rFonts w:ascii="Times New Roman" w:cs="Times New Roman" w:eastAsia="Times New Roman" w:hAnsi="Times New Roman"/>
                <w:sz w:val="14"/>
                <w:szCs w:val="14"/>
                <w:color w:val="auto"/>
              </w:rPr>
              <w:t>Officer Since</w:t>
            </w:r>
          </w:p>
        </w:tc>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Position with Comcast</w:t>
            </w:r>
          </w:p>
        </w:tc>
      </w:tr>
      <w:tr>
        <w:trPr>
          <w:trHeight w:val="23"/>
        </w:trPr>
        <w:tc>
          <w:tcPr>
            <w:tcW w:w="2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L. Roberts</w:t>
            </w:r>
          </w:p>
        </w:tc>
        <w:tc>
          <w:tcPr>
            <w:tcW w:w="11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65</w:t>
            </w:r>
          </w:p>
        </w:tc>
        <w:tc>
          <w:tcPr>
            <w:tcW w:w="12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1986</w:t>
            </w:r>
          </w:p>
        </w:tc>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Cavanagh</w:t>
            </w:r>
          </w:p>
        </w:tc>
        <w:tc>
          <w:tcPr>
            <w:tcW w:w="11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59</w:t>
            </w:r>
          </w:p>
        </w:tc>
        <w:tc>
          <w:tcPr>
            <w:tcW w:w="12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2015</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S. Armstrong</w:t>
            </w:r>
          </w:p>
        </w:tc>
        <w:tc>
          <w:tcPr>
            <w:tcW w:w="11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48</w:t>
            </w:r>
          </w:p>
        </w:tc>
        <w:tc>
          <w:tcPr>
            <w:tcW w:w="12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2023</w:t>
            </w:r>
          </w:p>
        </w:tc>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Khoury</w:t>
            </w:r>
          </w:p>
        </w:tc>
        <w:tc>
          <w:tcPr>
            <w:tcW w:w="11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51</w:t>
            </w:r>
          </w:p>
        </w:tc>
        <w:tc>
          <w:tcPr>
            <w:tcW w:w="12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2023</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Communications Officer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c>
          <w:tcPr>
            <w:tcW w:w="11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51</w:t>
            </w:r>
          </w:p>
        </w:tc>
        <w:tc>
          <w:tcPr>
            <w:tcW w:w="12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2017</w:t>
            </w:r>
          </w:p>
        </w:tc>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r>
        <w:trPr>
          <w:trHeight w:val="229"/>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J. Reid</w:t>
            </w:r>
          </w:p>
        </w:tc>
        <w:tc>
          <w:tcPr>
            <w:tcW w:w="114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w w:val="99"/>
              </w:rPr>
              <w:t>60</w:t>
            </w:r>
          </w:p>
        </w:tc>
        <w:tc>
          <w:tcPr>
            <w:tcW w:w="124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w w:val="99"/>
              </w:rPr>
              <w:t>2019</w:t>
            </w:r>
          </w:p>
        </w:tc>
        <w:tc>
          <w:tcPr>
            <w:tcW w:w="6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Brian L. Roberts </w:t>
      </w:r>
      <w:r>
        <w:rPr>
          <w:rFonts w:ascii="Times New Roman" w:cs="Times New Roman" w:eastAsia="Times New Roman" w:hAnsi="Times New Roman"/>
          <w:sz w:val="18"/>
          <w:szCs w:val="18"/>
          <w:color w:val="auto"/>
        </w:rPr>
        <w:t>has served as a director and as Chairman of the Board and Chief Executive Officer for more than five years. Mr. Roberts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until October 2022. As of December 31, 2024, Mr. Roberts had sole voting power over approximately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combined voting power of our two classes of common stock. He is a son of our late founder, Mr. Ralph J. Roberts.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Michael J. Cavanagh </w:t>
      </w:r>
      <w:r>
        <w:rPr>
          <w:rFonts w:ascii="Times New Roman" w:cs="Times New Roman" w:eastAsia="Times New Roman" w:hAnsi="Times New Roman"/>
          <w:sz w:val="18"/>
          <w:szCs w:val="18"/>
          <w:color w:val="auto"/>
        </w:rPr>
        <w:t>has served as President since October 2022 and Chief Financial Officer between July 2015 and January 2023. Prior to joining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Mr. Cavanagh had 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Jason S. Armstrong </w:t>
      </w:r>
      <w:r>
        <w:rPr>
          <w:rFonts w:ascii="Times New Roman" w:cs="Times New Roman" w:eastAsia="Times New Roman" w:hAnsi="Times New Roman"/>
          <w:sz w:val="18"/>
          <w:szCs w:val="18"/>
          <w:color w:val="auto"/>
        </w:rPr>
        <w:t>has served as Chief Financial Officer since January 2023. He previously served as Treasurer between July 2020 and October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Deputy Chief Financial Officer between January 2022 and January 2023, and held various other senior positions since joining our company in 2014, including as Chief Financial Officer of Sky Limited and as Senior Vice President of Investor Relations. Prior to that, Mr. Armstrong spent 14 years at Goldman Sachs &amp; Co. LLC where he most recently served as Managing Director, Deputy Business Unit Leader of the firm’s Technology, Media and Telecommunications Research Group.</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Jennifer Khoury </w:t>
      </w:r>
      <w:r>
        <w:rPr>
          <w:rFonts w:ascii="Times New Roman" w:cs="Times New Roman" w:eastAsia="Times New Roman" w:hAnsi="Times New Roman"/>
          <w:sz w:val="18"/>
          <w:szCs w:val="18"/>
          <w:color w:val="auto"/>
        </w:rPr>
        <w:t>has served as Chief Communications Officer since February 2020. She had held various other senior positions since joining our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1999, including Senior Vice President of Corporate and Digital Communications, leading communications for Comcast Cable and the corporation’s digital and social media. Previously, Ms. Khoury led communications, public affairs and social responsibility programs and campaigns for AT&amp;T Broadband and MediaOne and served as a strategic consultant for ML Strategies, LLC.</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Daniel C. Murdock </w:t>
      </w:r>
      <w:r>
        <w:rPr>
          <w:rFonts w:ascii="Times New Roman" w:cs="Times New Roman" w:eastAsia="Times New Roman" w:hAnsi="Times New Roman"/>
          <w:sz w:val="18"/>
          <w:szCs w:val="18"/>
          <w:color w:val="auto"/>
        </w:rPr>
        <w:t>has served as an Executive Vice President since March 2020, Chief Accounting Officer since March 2017 and Controller since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Prior to joining our company, Mr. Murdock had been with the U.S. Securities and Exchange Commission where he served as the Deputy Chief Accountant in the agency’s Office of the Chief Accountant since 2013. Prior to that, he was Deloitte &amp; Touche’s Audit/Industry Professional Practice Director for media and entertainment.</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Thomas J. Reid </w:t>
      </w:r>
      <w:r>
        <w:rPr>
          <w:rFonts w:ascii="Times New Roman" w:cs="Times New Roman" w:eastAsia="Times New Roman" w:hAnsi="Times New Roman"/>
          <w:sz w:val="18"/>
          <w:szCs w:val="18"/>
          <w:color w:val="auto"/>
        </w:rPr>
        <w:t>has served as Chief Legal Officer and Secretary since April 2019. Prior to joining our company, Mr. Reid had served as the Chairman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Partner of Davis Polk &amp; Wardwell LLP, a global law firm, since 2011. Prior to that, Mr. Reid was a partner at Davis Polk &amp; Wardwell LLP from 2003 to 2011 and a Managing Director in the Investment Banking Division of Morgan Stanley from 2000 to 2003.</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006EBF"/>
        </w:rPr>
        <w:t>Item 11: Executive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2025 Proxy Statement.</w:t>
      </w:r>
    </w:p>
    <w:p>
      <w:pPr>
        <w:spacing w:after="0" w:line="200" w:lineRule="exact"/>
        <w:rPr>
          <w:sz w:val="20"/>
          <w:szCs w:val="20"/>
          <w:color w:val="auto"/>
        </w:rPr>
      </w:pPr>
    </w:p>
    <w:p>
      <w:pPr>
        <w:spacing w:after="0" w:line="34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93</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340"/>
        <w:spacing w:after="0" w:line="285" w:lineRule="auto"/>
        <w:rPr>
          <w:sz w:val="20"/>
          <w:szCs w:val="20"/>
          <w:color w:val="auto"/>
        </w:rPr>
      </w:pPr>
      <w:r>
        <w:rPr>
          <w:rFonts w:ascii="Arial" w:cs="Arial" w:eastAsia="Arial" w:hAnsi="Arial"/>
          <w:sz w:val="25"/>
          <w:szCs w:val="25"/>
          <w:color w:val="006EBF"/>
        </w:rPr>
        <w:t>Item 12: Security Ownership of Certain Beneficial Owners and Management and Related Stockholder Matters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2025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006EBF"/>
        </w:rPr>
        <w:t>Item 13: Certain Relationships and Related Transactions, and Director Independence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2025 Proxy Statement.</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006EBF"/>
        </w:rPr>
        <w:t>Item 14: Principal Accountant Fees and Services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incorporate the information required by this item relating to our principal accountant, Deloitte &amp; Touche LLP (PCAOB ID No. 34), by reference to our 2025 Proxy Statement.</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94</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006EBF"/>
        </w:rPr>
        <w:t>Item 15: Exhibits and Financial Statement Schedules</w:t>
      </w:r>
    </w:p>
    <w:p>
      <w:pPr>
        <w:spacing w:after="0" w:line="135" w:lineRule="exact"/>
        <w:rPr>
          <w:sz w:val="20"/>
          <w:szCs w:val="20"/>
          <w:color w:val="auto"/>
        </w:rPr>
      </w:pPr>
    </w:p>
    <w:p>
      <w:pPr>
        <w:jc w:val="both"/>
        <w:ind w:firstLine="8"/>
        <w:spacing w:after="0" w:line="266" w:lineRule="auto"/>
        <w:tabs>
          <w:tab w:leader="none" w:pos="24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filed as a part of this report on Form 10-K in Item 8, Financial Statements and Supplementary Data, and a list of Comcast’s consolidated financial statements are found on page 56 of this report. Financial statement schedules are omitted because the required information is not applicable, or because the information required is included in the consolidated financial statements and notes thereto.</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to be filed by Item 601 of Regulation S-K (all of which are under Commission File No. 001-32871, except as otherwise noted):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1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Amended and Restated Articles of Incorporation of Comcast Corporation (incorporated by reference to Exhibit 3.1 to Comcast’s Current</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 on Form 8-K filed on December 15, 2015).</w:t>
            </w:r>
          </w:p>
        </w:tc>
        <w:tc>
          <w:tcPr>
            <w:tcW w:w="2960" w:type="dxa"/>
            <w:vAlign w:val="bottom"/>
          </w:tcPr>
          <w:p>
            <w:pPr>
              <w:spacing w:after="0"/>
              <w:rPr>
                <w:sz w:val="18"/>
                <w:szCs w:val="18"/>
                <w:color w:val="auto"/>
              </w:rPr>
            </w:pPr>
          </w:p>
        </w:tc>
      </w:tr>
      <w:tr>
        <w:trPr>
          <w:trHeight w:val="238"/>
        </w:trPr>
        <w:tc>
          <w:tcPr>
            <w:tcW w:w="680" w:type="dxa"/>
            <w:vAlign w:val="bottom"/>
            <w:gridSpan w:val="5"/>
          </w:tcPr>
          <w:p>
            <w:pPr>
              <w:ind w:left="20"/>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w:t>
              </w:r>
            </w:hyperlink>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Certificate of a Change of Registered Office Provider (incorporated by reference to Exhibit 3.1.1 to Comcast’s Annual Report on Form 10-K</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 the year ended December 31, 2023).</w:t>
            </w:r>
          </w:p>
        </w:tc>
        <w:tc>
          <w:tcPr>
            <w:tcW w:w="29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By-Laws of Comcast Corporation.</w:t>
            </w:r>
          </w:p>
        </w:tc>
        <w:tc>
          <w:tcPr>
            <w:tcW w:w="2960" w:type="dxa"/>
            <w:vAlign w:val="bottom"/>
          </w:tcPr>
          <w:p>
            <w:pPr>
              <w:spacing w:after="0"/>
              <w:rPr>
                <w:sz w:val="20"/>
                <w:szCs w:val="20"/>
                <w:color w:val="auto"/>
              </w:rPr>
            </w:pPr>
          </w:p>
        </w:tc>
      </w:tr>
      <w:tr>
        <w:trPr>
          <w:trHeight w:val="263"/>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1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Specimen Class A Common Stock Certificate (incorporated by reference to Exhibit 4.1 to Comcast’s Annual Report on Form 10-K for the</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year ended December 31, 2002).</w:t>
            </w:r>
          </w:p>
        </w:tc>
        <w:tc>
          <w:tcPr>
            <w:tcW w:w="2960" w:type="dxa"/>
            <w:vAlign w:val="bottom"/>
          </w:tcPr>
          <w:p>
            <w:pPr>
              <w:spacing w:after="0"/>
              <w:rPr>
                <w:sz w:val="18"/>
                <w:szCs w:val="18"/>
                <w:color w:val="auto"/>
              </w:rPr>
            </w:pPr>
          </w:p>
        </w:tc>
      </w:tr>
      <w:tr>
        <w:trPr>
          <w:trHeight w:val="238"/>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1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Indenture, dated January 7, 2003, between Comcast Corporation, the subsidiary guarantor party thereto, and The Bank of New York Mellon</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(f/k/a The Bank of New York), as trustee (incorporated by reference to Exhibit 4.4 to Comcast’s Annual Report on Form 10-K for the year</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ended December 31, 2008).</w:t>
            </w:r>
          </w:p>
        </w:tc>
        <w:tc>
          <w:tcPr>
            <w:tcW w:w="2960" w:type="dxa"/>
            <w:vAlign w:val="bottom"/>
          </w:tcPr>
          <w:p>
            <w:pPr>
              <w:spacing w:after="0"/>
              <w:rPr>
                <w:sz w:val="20"/>
                <w:szCs w:val="20"/>
                <w:color w:val="auto"/>
              </w:rPr>
            </w:pPr>
          </w:p>
        </w:tc>
      </w:tr>
      <w:tr>
        <w:trPr>
          <w:trHeight w:val="252"/>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1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First Supplemental Indenture, dated March 25, 2003, to the Indenture between Comcast Corporation, the subsidiary guarantors party thereto,</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and The Bank of New York Mellon (f/k/a The Bank of New York), as trustee, dated January 7, 2003 (incorporated by reference to Exhibit 4.5</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Comcast’s Annual Report on Form 10-K for the year ended December 31, 2008).</w:t>
            </w:r>
          </w:p>
        </w:tc>
        <w:tc>
          <w:tcPr>
            <w:tcW w:w="2960" w:type="dxa"/>
            <w:vAlign w:val="bottom"/>
          </w:tcPr>
          <w:p>
            <w:pPr>
              <w:spacing w:after="0"/>
              <w:rPr>
                <w:sz w:val="20"/>
                <w:szCs w:val="20"/>
                <w:color w:val="auto"/>
              </w:rPr>
            </w:pPr>
          </w:p>
        </w:tc>
      </w:tr>
      <w:tr>
        <w:trPr>
          <w:trHeight w:val="252"/>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1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Second Supplemental Indenture, dated August 31, 2009, to the Indenture between Comcast Corporation, the subsidiary guarantors party</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thereto, and The Bank of New York Mellon, as Trustee, dated January 7, 2003, as supplemented by a First Supplemental Indenture dated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March 25, 2003 (incorporated by reference to Exhibit 4.1 to Comcast’s Current Report on Form 8-K filed on September 2, 2009).</w:t>
            </w:r>
          </w:p>
        </w:tc>
      </w:tr>
      <w:tr>
        <w:trPr>
          <w:trHeight w:val="252"/>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1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Third Supplemental Indenture, dated March 27, 2013, to the Indenture between Comcast Corporation, the subsidiary guarantors party thereto,</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and The Bank of New York Mellon (f/k/a The Bank of New York), as trustee, dated January 7, 2003, as supplemented by a First</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560" w:type="dxa"/>
            <w:vAlign w:val="bottom"/>
            <w:gridSpan w:val="2"/>
          </w:tcPr>
          <w:p>
            <w:pPr>
              <w:ind w:left="300"/>
              <w:spacing w:after="0" w:line="184" w:lineRule="exact"/>
              <w:rPr>
                <w:sz w:val="20"/>
                <w:szCs w:val="20"/>
                <w:color w:val="auto"/>
              </w:rPr>
            </w:pPr>
            <w:r>
              <w:rPr>
                <w:rFonts w:ascii="Times New Roman" w:cs="Times New Roman" w:eastAsia="Times New Roman" w:hAnsi="Times New Roman"/>
                <w:sz w:val="18"/>
                <w:szCs w:val="18"/>
                <w:color w:val="auto"/>
              </w:rPr>
              <w:t>Supplemental Indenture dated March 25, 2003 and a second Supplemental Indenture dated August 31, 2009 (incorporated by reference to</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 4.4 to Comcast’s Quarterly Report on Form 10-Q for the quarter ended March 31, 2013).</w:t>
            </w:r>
          </w:p>
        </w:tc>
        <w:tc>
          <w:tcPr>
            <w:tcW w:w="2960" w:type="dxa"/>
            <w:vAlign w:val="bottom"/>
          </w:tcPr>
          <w:p>
            <w:pPr>
              <w:spacing w:after="0"/>
              <w:rPr>
                <w:sz w:val="20"/>
                <w:szCs w:val="20"/>
                <w:color w:val="auto"/>
              </w:rPr>
            </w:pPr>
          </w:p>
        </w:tc>
      </w:tr>
      <w:tr>
        <w:trPr>
          <w:trHeight w:val="243"/>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2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6</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Fourth Supplemental Indenture, dated October 1, 2015, to the Indenture dated January 7, 2003 between Comcast Corporation, the subsidiary</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guarantors party thereto, and The Bank of New York Mellon (f/k/a The Bank of New York), as trustee, as supplemented by a First</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560" w:type="dxa"/>
            <w:vAlign w:val="bottom"/>
            <w:gridSpan w:val="2"/>
          </w:tcPr>
          <w:p>
            <w:pPr>
              <w:ind w:left="300"/>
              <w:spacing w:after="0" w:line="184" w:lineRule="exact"/>
              <w:rPr>
                <w:sz w:val="20"/>
                <w:szCs w:val="20"/>
                <w:color w:val="auto"/>
              </w:rPr>
            </w:pPr>
            <w:r>
              <w:rPr>
                <w:rFonts w:ascii="Times New Roman" w:cs="Times New Roman" w:eastAsia="Times New Roman" w:hAnsi="Times New Roman"/>
                <w:sz w:val="18"/>
                <w:szCs w:val="18"/>
                <w:color w:val="auto"/>
              </w:rPr>
              <w:t>Supplemental Indenture dated March 25, 2003, a second Supplemental Indenture dated August 31, 2009 and a Third Supplemental Indenture</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5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8"/>
                <w:szCs w:val="18"/>
                <w:color w:val="auto"/>
              </w:rPr>
              <w:t>dated March 27, 2013 (incorporated by reference to Exhibit 4.1 to Comcast’s Quarterly Report on Form 10-Q for the quarter ended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September 30, 2015).</w:t>
            </w:r>
          </w:p>
        </w:tc>
        <w:tc>
          <w:tcPr>
            <w:tcW w:w="2960" w:type="dxa"/>
            <w:vAlign w:val="bottom"/>
          </w:tcPr>
          <w:p>
            <w:pPr>
              <w:spacing w:after="0"/>
              <w:rPr>
                <w:sz w:val="20"/>
                <w:szCs w:val="20"/>
                <w:color w:val="auto"/>
              </w:rPr>
            </w:pPr>
          </w:p>
        </w:tc>
      </w:tr>
      <w:tr>
        <w:trPr>
          <w:trHeight w:val="252"/>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2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7</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Senior Indenture dated September 18, 2013, among Comcast Corporation, the guarantors party thereto and The Bank of New York Mellon, as</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trustee (incorporated by reference to Exhibit 4.3 to Comcast’s Registration Statement on Form S-3 filed September 18, 2013).</w:t>
            </w:r>
          </w:p>
        </w:tc>
      </w:tr>
      <w:tr>
        <w:trPr>
          <w:trHeight w:val="238"/>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2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8</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First Supplemental Indenture dated as of November 17, 2015, to the Senior Indenture dated September 18, 2013, among Comcast</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Corporation, the guarantors party thereto, and The Bank of New York Mellon, as trustee (incorporated by reference to Exhibit 4.4 to Post</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Effective Amendment No. 2 to Comcast’s Registration Statement on Form S-3 filed November 23, 2015).</w:t>
            </w:r>
          </w:p>
        </w:tc>
      </w:tr>
      <w:tr>
        <w:trPr>
          <w:trHeight w:val="252"/>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22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9</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Second Supplemental Indenture dated as of July 29, 2022, to the Senior Indenture dated September 18, 2013, among Comcast Corporation,</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the guarantors party thereto, and The Bank of New York Mellon, as trustee, as supplemented by a First Supplemental Indenture dated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November 17, 2015 (incorporated by reference to Exhibit 4.4 to Comcast’s Registration Statement on Form S-3 filed July 29, 2022).</w:t>
            </w:r>
          </w:p>
        </w:tc>
      </w:tr>
      <w:tr>
        <w:trPr>
          <w:trHeight w:val="252"/>
        </w:trPr>
        <w:tc>
          <w:tcPr>
            <w:tcW w:w="380" w:type="dxa"/>
            <w:vAlign w:val="bottom"/>
            <w:gridSpan w:val="4"/>
          </w:tcPr>
          <w:p>
            <w:pPr>
              <w:ind w:left="20"/>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hyperlink>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Indenture, dated as of April 30, 2010, between NBC Universal, Inc. (n/k/a NBCUniversal Media, LLC) and The Bank of New York Mellon,</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as trustee (incorporated by reference to Exhibit 4 to the Registration Statement on Form S-4 of NBCUniversal Media, LLC (Commission File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333-174175) filed on May 13, 2011).</w:t>
            </w:r>
          </w:p>
        </w:tc>
        <w:tc>
          <w:tcPr>
            <w:tcW w:w="2960" w:type="dxa"/>
            <w:vAlign w:val="bottom"/>
          </w:tcPr>
          <w:p>
            <w:pPr>
              <w:spacing w:after="0"/>
              <w:rPr>
                <w:sz w:val="20"/>
                <w:szCs w:val="20"/>
                <w:color w:val="auto"/>
              </w:rPr>
            </w:pPr>
          </w:p>
        </w:tc>
      </w:tr>
      <w:tr>
        <w:trPr>
          <w:trHeight w:val="74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tcPr>
          <w:p>
            <w:pPr>
              <w:ind w:left="4840"/>
              <w:spacing w:after="0"/>
              <w:rPr>
                <w:sz w:val="20"/>
                <w:szCs w:val="20"/>
                <w:color w:val="auto"/>
              </w:rPr>
            </w:pPr>
            <w:r>
              <w:rPr>
                <w:rFonts w:ascii="Times New Roman" w:cs="Times New Roman" w:eastAsia="Times New Roman" w:hAnsi="Times New Roman"/>
                <w:sz w:val="14"/>
                <w:szCs w:val="14"/>
                <w:b w:val="1"/>
                <w:bCs w:val="1"/>
                <w:color w:val="auto"/>
              </w:rPr>
              <w:t>95</w:t>
            </w:r>
          </w:p>
        </w:tc>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Comcast 2024 Annual Report on Form 10-K</w:t>
            </w:r>
          </w:p>
        </w:tc>
      </w:tr>
      <w:tr>
        <w:trPr>
          <w:trHeight w:val="328"/>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227">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First Supplemental Indenture, dated March 27, 2013, to the Indenture between NBCUniversal Media, LLC (f/k/a NBC Universal, Inc.) and</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720" w:type="dxa"/>
            <w:vAlign w:val="bottom"/>
            <w:gridSpan w:val="2"/>
          </w:tcPr>
          <w:p>
            <w:pPr>
              <w:ind w:left="460"/>
              <w:spacing w:after="0" w:line="150" w:lineRule="exact"/>
              <w:rPr>
                <w:sz w:val="20"/>
                <w:szCs w:val="20"/>
                <w:color w:val="auto"/>
              </w:rPr>
            </w:pPr>
            <w:r>
              <w:rPr>
                <w:rFonts w:ascii="Times New Roman" w:cs="Times New Roman" w:eastAsia="Times New Roman" w:hAnsi="Times New Roman"/>
                <w:sz w:val="17"/>
                <w:szCs w:val="17"/>
                <w:color w:val="auto"/>
              </w:rPr>
              <w:t>The Bank of New York Mellon, as trustee, dated April 30, 2010 (incorporated by reference to Exhibit 4.3 to Comcast’s Quarterly Report on</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10-Q for the quarter ended March 31, 2013).</w:t>
            </w:r>
          </w:p>
        </w:tc>
        <w:tc>
          <w:tcPr>
            <w:tcW w:w="5860" w:type="dxa"/>
            <w:vAlign w:val="bottom"/>
          </w:tcPr>
          <w:p>
            <w:pPr>
              <w:spacing w:after="0"/>
              <w:rPr>
                <w:sz w:val="20"/>
                <w:szCs w:val="20"/>
                <w:color w:val="auto"/>
              </w:rPr>
            </w:pPr>
          </w:p>
        </w:tc>
      </w:tr>
      <w:tr>
        <w:trPr>
          <w:trHeight w:val="24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hyperlink>
          </w:p>
        </w:tc>
        <w:tc>
          <w:tcPr>
            <w:tcW w:w="80" w:type="dxa"/>
            <w:vAlign w:val="bottom"/>
          </w:tcPr>
          <w:p>
            <w:pPr>
              <w:spacing w:after="0"/>
              <w:rPr>
                <w:sz w:val="21"/>
                <w:szCs w:val="21"/>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Second Supplemental Indenture, dated October 1, 2015, to the Indenture dated April 30, 2010 between NBC Universal, Inc. (n/k/a</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720" w:type="dxa"/>
            <w:vAlign w:val="bottom"/>
            <w:gridSpan w:val="2"/>
          </w:tcPr>
          <w:p>
            <w:pPr>
              <w:ind w:left="460"/>
              <w:spacing w:after="0" w:line="150" w:lineRule="exact"/>
              <w:rPr>
                <w:sz w:val="20"/>
                <w:szCs w:val="20"/>
                <w:color w:val="auto"/>
              </w:rPr>
            </w:pPr>
            <w:r>
              <w:rPr>
                <w:rFonts w:ascii="Times New Roman" w:cs="Times New Roman" w:eastAsia="Times New Roman" w:hAnsi="Times New Roman"/>
                <w:sz w:val="17"/>
                <w:szCs w:val="17"/>
                <w:color w:val="auto"/>
              </w:rPr>
              <w:t>NBCUniversal Media, LLC) and The Bank of New York Mellon, as trustee, as supplemented by a First Supplemental Indenture dated March</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27, 2013 (incorporated by reference to Exhibit 4.2 to Comcast’s Quarterly Report on Form 10-Q for the quarter ended September 30, 2015).</w:t>
            </w:r>
          </w:p>
        </w:tc>
      </w:tr>
      <w:tr>
        <w:trPr>
          <w:trHeight w:val="24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13</w:t>
              </w:r>
            </w:hyperlink>
          </w:p>
        </w:tc>
        <w:tc>
          <w:tcPr>
            <w:tcW w:w="80" w:type="dxa"/>
            <w:vAlign w:val="bottom"/>
          </w:tcPr>
          <w:p>
            <w:pPr>
              <w:spacing w:after="0"/>
              <w:rPr>
                <w:sz w:val="21"/>
                <w:szCs w:val="21"/>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Trust Deed dated September 5, 2014 among BSKYB Finance UK plc, British Sky Broadcasting Group plc, the initial guarantors party thereto</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720" w:type="dxa"/>
            <w:vAlign w:val="bottom"/>
            <w:gridSpan w:val="2"/>
          </w:tcPr>
          <w:p>
            <w:pPr>
              <w:ind w:left="460"/>
              <w:spacing w:after="0" w:line="150" w:lineRule="exact"/>
              <w:rPr>
                <w:sz w:val="20"/>
                <w:szCs w:val="20"/>
                <w:color w:val="auto"/>
              </w:rPr>
            </w:pPr>
            <w:r>
              <w:rPr>
                <w:rFonts w:ascii="Times New Roman" w:cs="Times New Roman" w:eastAsia="Times New Roman" w:hAnsi="Times New Roman"/>
                <w:sz w:val="17"/>
                <w:szCs w:val="17"/>
                <w:color w:val="auto"/>
              </w:rPr>
              <w:t>and BNY Mellon Corporate Trustee Services Limited, as trustee (incorporated by reference to Exhibit 4.13 to Comcast’s Annual Report on</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10-K for the year ended December 31, 2018).</w:t>
            </w:r>
          </w:p>
        </w:tc>
        <w:tc>
          <w:tcPr>
            <w:tcW w:w="5860" w:type="dxa"/>
            <w:vAlign w:val="bottom"/>
          </w:tcPr>
          <w:p>
            <w:pPr>
              <w:spacing w:after="0"/>
              <w:rPr>
                <w:sz w:val="20"/>
                <w:szCs w:val="20"/>
                <w:color w:val="auto"/>
              </w:rPr>
            </w:pPr>
          </w:p>
        </w:tc>
      </w:tr>
      <w:tr>
        <w:trPr>
          <w:trHeight w:val="24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14</w:t>
              </w:r>
            </w:hyperlink>
          </w:p>
        </w:tc>
        <w:tc>
          <w:tcPr>
            <w:tcW w:w="80" w:type="dxa"/>
            <w:vAlign w:val="bottom"/>
          </w:tcPr>
          <w:p>
            <w:pPr>
              <w:spacing w:after="0"/>
              <w:rPr>
                <w:sz w:val="21"/>
                <w:szCs w:val="21"/>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Supplemental Trust Deed dated March 18, 2015 among Sky Group Finance plc (f/k/a BSKYB Finance UK plc), Sky plc (f/k/a British Sky</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720" w:type="dxa"/>
            <w:vAlign w:val="bottom"/>
            <w:gridSpan w:val="2"/>
          </w:tcPr>
          <w:p>
            <w:pPr>
              <w:ind w:left="460"/>
              <w:spacing w:after="0" w:line="150" w:lineRule="exact"/>
              <w:rPr>
                <w:sz w:val="20"/>
                <w:szCs w:val="20"/>
                <w:color w:val="auto"/>
              </w:rPr>
            </w:pPr>
            <w:r>
              <w:rPr>
                <w:rFonts w:ascii="Times New Roman" w:cs="Times New Roman" w:eastAsia="Times New Roman" w:hAnsi="Times New Roman"/>
                <w:sz w:val="17"/>
                <w:szCs w:val="17"/>
                <w:color w:val="auto"/>
              </w:rPr>
              <w:t>Broadcasting Group plc), the initial guarantors party thereto and BNY Mellon Corporate Trustee Services Limited, as trustee (incorporated by</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reference to Exhibit 4.14 to Comcast’s Annual Report on Form 10-K for the year ended December 31, 2018).</w:t>
            </w:r>
          </w:p>
        </w:tc>
      </w:tr>
      <w:tr>
        <w:trPr>
          <w:trHeight w:val="24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15</w:t>
            </w:r>
          </w:p>
        </w:tc>
        <w:tc>
          <w:tcPr>
            <w:tcW w:w="80" w:type="dxa"/>
            <w:vAlign w:val="bottom"/>
          </w:tcPr>
          <w:p>
            <w:pPr>
              <w:spacing w:after="0"/>
              <w:rPr>
                <w:sz w:val="21"/>
                <w:szCs w:val="21"/>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Description of Comcast Corporation’s securities registered pursuant to Section 12 of the Securities Exchange Act.</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Certain instruments defining the rights of holders of long-term obligation of the registrant and certain of its subsidiaries (the total amount of</w:t>
            </w: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720" w:type="dxa"/>
            <w:vAlign w:val="bottom"/>
            <w:gridSpan w:val="2"/>
          </w:tcPr>
          <w:p>
            <w:pPr>
              <w:ind w:left="460"/>
              <w:spacing w:after="0" w:line="184" w:lineRule="exact"/>
              <w:rPr>
                <w:sz w:val="20"/>
                <w:szCs w:val="20"/>
                <w:color w:val="auto"/>
              </w:rPr>
            </w:pPr>
            <w:r>
              <w:rPr>
                <w:rFonts w:ascii="Times New Roman" w:cs="Times New Roman" w:eastAsia="Times New Roman" w:hAnsi="Times New Roman"/>
                <w:sz w:val="18"/>
                <w:szCs w:val="18"/>
                <w:color w:val="auto"/>
              </w:rPr>
              <w:t>securities authorized under each of which does not exceed ten percent of the total assets of the registrant and its subsidiaries on a consolidated</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720" w:type="dxa"/>
            <w:vAlign w:val="bottom"/>
            <w:gridSpan w:val="2"/>
          </w:tcPr>
          <w:p>
            <w:pPr>
              <w:ind w:left="460"/>
              <w:spacing w:after="0" w:line="181" w:lineRule="exact"/>
              <w:rPr>
                <w:sz w:val="20"/>
                <w:szCs w:val="20"/>
                <w:color w:val="auto"/>
              </w:rPr>
            </w:pPr>
            <w:r>
              <w:rPr>
                <w:rFonts w:ascii="Times New Roman" w:cs="Times New Roman" w:eastAsia="Times New Roman" w:hAnsi="Times New Roman"/>
                <w:sz w:val="18"/>
                <w:szCs w:val="18"/>
                <w:color w:val="auto"/>
              </w:rPr>
              <w:t>basis), are omitted pursuant to Item 601(b)(4)(iii)(A) of Regulation S-K. We agree to furnish copies of any such instruments to the SEC upon</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request.</w:t>
            </w:r>
          </w:p>
        </w:tc>
        <w:tc>
          <w:tcPr>
            <w:tcW w:w="5860" w:type="dxa"/>
            <w:vAlign w:val="bottom"/>
          </w:tcPr>
          <w:p>
            <w:pPr>
              <w:spacing w:after="0"/>
              <w:rPr>
                <w:sz w:val="20"/>
                <w:szCs w:val="20"/>
                <w:color w:val="auto"/>
              </w:rPr>
            </w:pPr>
          </w:p>
        </w:tc>
      </w:tr>
      <w:tr>
        <w:trPr>
          <w:trHeight w:val="238"/>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0"/>
                <w:szCs w:val="20"/>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Credit Agreement dated as of May 17, 2024, among Comcast Corporation, the financial institutions party thereto, JPMorgan Chase Bank,</w:t>
            </w:r>
          </w:p>
        </w:tc>
      </w:tr>
      <w:tr>
        <w:trPr>
          <w:trHeight w:val="191"/>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72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N.A., as administrative agent, Citibank, N.A., as syndication agent, and Bank of America, N.A., Barclays Bank PLC, Mizuho Bank, Ltd.,</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720" w:type="dxa"/>
            <w:vAlign w:val="bottom"/>
            <w:gridSpan w:val="2"/>
          </w:tcPr>
          <w:p>
            <w:pPr>
              <w:ind w:left="460"/>
              <w:spacing w:after="0" w:line="202" w:lineRule="exact"/>
              <w:rPr>
                <w:sz w:val="20"/>
                <w:szCs w:val="20"/>
                <w:color w:val="auto"/>
              </w:rPr>
            </w:pPr>
            <w:r>
              <w:rPr>
                <w:rFonts w:ascii="Times New Roman" w:cs="Times New Roman" w:eastAsia="Times New Roman" w:hAnsi="Times New Roman"/>
                <w:sz w:val="18"/>
                <w:szCs w:val="18"/>
                <w:color w:val="auto"/>
              </w:rPr>
              <w:t>Morgan Stanley MUFG Partners, LLC and Wells Fargo Bank, National Association, as co-documentation agents (incorporated by reference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 Exhibit 10.1 to Comcast’s Current Report on Form 8-K filed on May 17, 2024).</w:t>
            </w:r>
          </w:p>
        </w:tc>
      </w:tr>
      <w:tr>
        <w:trPr>
          <w:trHeight w:val="270"/>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32">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23"/>
                <w:szCs w:val="23"/>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 Select Deferred Compensation Plan, as amended and restated effective October 12, 2021 (incorporated by reference to Exhibit 10.3</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 Comcast’s Annual Report on Form 10-K for the year ended December 31, 2021).</w:t>
            </w:r>
          </w:p>
        </w:tc>
      </w:tr>
      <w:tr>
        <w:trPr>
          <w:trHeight w:val="270"/>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33">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3*</w:t>
            </w:r>
          </w:p>
        </w:tc>
        <w:tc>
          <w:tcPr>
            <w:tcW w:w="80" w:type="dxa"/>
            <w:vAlign w:val="bottom"/>
          </w:tcPr>
          <w:p>
            <w:pPr>
              <w:spacing w:after="0"/>
              <w:rPr>
                <w:sz w:val="23"/>
                <w:szCs w:val="23"/>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 Corporation 2003 Stock Option Plan, as amended and restated April 10, 2020 (incorporated by reference to Exhibit 10.4 to</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Comcast’s Quarterly Report on Form 10-Q for the quarter ended March 31, 2020).</w:t>
            </w:r>
          </w:p>
        </w:tc>
      </w:tr>
      <w:tr>
        <w:trPr>
          <w:trHeight w:val="238"/>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34">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4*</w:t>
            </w:r>
          </w:p>
        </w:tc>
        <w:tc>
          <w:tcPr>
            <w:tcW w:w="80" w:type="dxa"/>
            <w:vAlign w:val="bottom"/>
          </w:tcPr>
          <w:p>
            <w:pPr>
              <w:spacing w:after="0"/>
              <w:rPr>
                <w:sz w:val="20"/>
                <w:szCs w:val="20"/>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 Corporation 2002 Deferred Compensation Plan, as amended and restated effective March 1, 2021 (incorporated by reference to</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Exhibit 10.2 to Comcast’s Quarterly Report on Form 10-Q for the quarter ended March 31, 2021).</w:t>
            </w:r>
          </w:p>
        </w:tc>
      </w:tr>
      <w:tr>
        <w:trPr>
          <w:trHeight w:val="270"/>
        </w:trPr>
        <w:tc>
          <w:tcPr>
            <w:tcW w:w="20" w:type="dxa"/>
            <w:vAlign w:val="bottom"/>
          </w:tcPr>
          <w:p>
            <w:pPr>
              <w:spacing w:after="0"/>
              <w:rPr>
                <w:sz w:val="23"/>
                <w:szCs w:val="23"/>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w:t>
            </w:r>
          </w:p>
        </w:tc>
        <w:tc>
          <w:tcPr>
            <w:tcW w:w="80" w:type="dxa"/>
            <w:vAlign w:val="bottom"/>
          </w:tcPr>
          <w:p>
            <w:pPr>
              <w:spacing w:after="0"/>
              <w:rPr>
                <w:sz w:val="23"/>
                <w:szCs w:val="23"/>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 Corporation 2005 Deferred Compensation Plan, as amended and restated effective May 14, 2024.</w:t>
            </w:r>
          </w:p>
        </w:tc>
      </w:tr>
      <w:tr>
        <w:trPr>
          <w:trHeight w:val="264"/>
        </w:trPr>
        <w:tc>
          <w:tcPr>
            <w:tcW w:w="20" w:type="dxa"/>
            <w:vAlign w:val="bottom"/>
          </w:tcPr>
          <w:p>
            <w:pPr>
              <w:spacing w:after="0"/>
              <w:rPr>
                <w:sz w:val="22"/>
                <w:szCs w:val="22"/>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w:t>
            </w:r>
          </w:p>
        </w:tc>
        <w:tc>
          <w:tcPr>
            <w:tcW w:w="80" w:type="dxa"/>
            <w:vAlign w:val="bottom"/>
          </w:tcPr>
          <w:p>
            <w:pPr>
              <w:spacing w:after="0"/>
              <w:rPr>
                <w:sz w:val="22"/>
                <w:szCs w:val="22"/>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 Corporation 2002 Restricted Stock Plan, as amended and restated effective May 14, 2024.</w:t>
            </w:r>
          </w:p>
        </w:tc>
      </w:tr>
      <w:tr>
        <w:trPr>
          <w:trHeight w:val="263"/>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3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7*</w:t>
            </w:r>
          </w:p>
        </w:tc>
        <w:tc>
          <w:tcPr>
            <w:tcW w:w="80" w:type="dxa"/>
            <w:vAlign w:val="bottom"/>
          </w:tcPr>
          <w:p>
            <w:pPr>
              <w:spacing w:after="0"/>
              <w:rPr>
                <w:sz w:val="22"/>
                <w:szCs w:val="22"/>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 Corporation 2006 Cash Bonus Plan, as amended and restated effective February 18, 2015 (incorporated by reference to Exhibit</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10.11 to Comcast’s Annual Report on Form 10-K for the year ended December 31, 2015).</w:t>
            </w:r>
          </w:p>
        </w:tc>
      </w:tr>
      <w:tr>
        <w:trPr>
          <w:trHeight w:val="238"/>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36">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8*</w:t>
            </w:r>
          </w:p>
        </w:tc>
        <w:tc>
          <w:tcPr>
            <w:tcW w:w="80" w:type="dxa"/>
            <w:vAlign w:val="bottom"/>
          </w:tcPr>
          <w:p>
            <w:pPr>
              <w:spacing w:after="0"/>
              <w:rPr>
                <w:sz w:val="20"/>
                <w:szCs w:val="20"/>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 Corporation Non-Employee Director Compensation Plan, as amended and restated effective July 11, 2023 (incorporated by</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reference to Exhibit 10.3 to Comcast’s Quarterly Report on Form 10-Q for the quarter ended June 30, 2023).</w:t>
            </w:r>
          </w:p>
        </w:tc>
      </w:tr>
      <w:tr>
        <w:trPr>
          <w:trHeight w:val="238"/>
        </w:trPr>
        <w:tc>
          <w:tcPr>
            <w:tcW w:w="20" w:type="dxa"/>
            <w:vAlign w:val="bottom"/>
          </w:tcPr>
          <w:p>
            <w:pPr>
              <w:spacing w:after="0"/>
              <w:rPr>
                <w:sz w:val="20"/>
                <w:szCs w:val="20"/>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9*</w:t>
            </w:r>
          </w:p>
        </w:tc>
        <w:tc>
          <w:tcPr>
            <w:tcW w:w="80" w:type="dxa"/>
            <w:vAlign w:val="bottom"/>
          </w:tcPr>
          <w:p>
            <w:pPr>
              <w:spacing w:after="0"/>
              <w:rPr>
                <w:sz w:val="20"/>
                <w:szCs w:val="20"/>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 Corporation 2002 Employee Stock Purchase Plan, as amended and restated effective May 14, 2024.</w:t>
            </w:r>
          </w:p>
        </w:tc>
      </w:tr>
      <w:tr>
        <w:trPr>
          <w:trHeight w:val="263"/>
        </w:trPr>
        <w:tc>
          <w:tcPr>
            <w:tcW w:w="20" w:type="dxa"/>
            <w:vAlign w:val="bottom"/>
          </w:tcPr>
          <w:p>
            <w:pPr>
              <w:spacing w:after="0"/>
              <w:rPr>
                <w:sz w:val="22"/>
                <w:szCs w:val="22"/>
                <w:color w:val="auto"/>
              </w:rPr>
            </w:pPr>
          </w:p>
        </w:tc>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10*</w:t>
            </w: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Comcast-NBCUniversal 2011 Employee Stock Purchase Plan, as amended and restated effective May 14, 2024.</w:t>
            </w:r>
          </w:p>
        </w:tc>
      </w:tr>
      <w:tr>
        <w:trPr>
          <w:trHeight w:val="264"/>
        </w:trPr>
        <w:tc>
          <w:tcPr>
            <w:tcW w:w="520" w:type="dxa"/>
            <w:vAlign w:val="bottom"/>
            <w:gridSpan w:val="4"/>
          </w:tcPr>
          <w:p>
            <w:pPr>
              <w:ind w:left="20"/>
              <w:spacing w:after="0"/>
              <w:rPr>
                <w:rFonts w:ascii="Times New Roman" w:cs="Times New Roman" w:eastAsia="Times New Roman" w:hAnsi="Times New Roman"/>
                <w:sz w:val="18"/>
                <w:szCs w:val="18"/>
                <w:color w:val="0000FF"/>
                <w:w w:val="96"/>
              </w:rPr>
            </w:pPr>
            <w:hyperlink r:id="rId237">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11*</w:t>
            </w: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Comcast Corporation 2023 Omnibus Equity Incentive Plan, effective June 7, 2023 (incorporated by reference to Exhibit 10.1 to Comcast’s</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June 9, 2023).</w:t>
            </w:r>
          </w:p>
        </w:tc>
        <w:tc>
          <w:tcPr>
            <w:tcW w:w="5860" w:type="dxa"/>
            <w:vAlign w:val="bottom"/>
          </w:tcPr>
          <w:p>
            <w:pPr>
              <w:spacing w:after="0"/>
              <w:rPr>
                <w:sz w:val="18"/>
                <w:szCs w:val="18"/>
                <w:color w:val="auto"/>
              </w:rPr>
            </w:pPr>
          </w:p>
        </w:tc>
      </w:tr>
      <w:tr>
        <w:trPr>
          <w:trHeight w:val="238"/>
        </w:trPr>
        <w:tc>
          <w:tcPr>
            <w:tcW w:w="520" w:type="dxa"/>
            <w:vAlign w:val="bottom"/>
            <w:gridSpan w:val="4"/>
          </w:tcPr>
          <w:p>
            <w:pPr>
              <w:ind w:left="20"/>
              <w:spacing w:after="0"/>
              <w:rPr>
                <w:rFonts w:ascii="Times New Roman" w:cs="Times New Roman" w:eastAsia="Times New Roman" w:hAnsi="Times New Roman"/>
                <w:sz w:val="18"/>
                <w:szCs w:val="18"/>
                <w:color w:val="0000FF"/>
                <w:w w:val="96"/>
              </w:rPr>
            </w:pPr>
            <w:hyperlink r:id="rId238">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12*</w:t>
            </w: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Employment Agreement with Brian L. Roberts, dated as of July 26, 2017 (incorporated by reference to Exhibit 10.2 to Comcast’s Quarterly</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Report on Form 10-Q for the quarter ended June 30, 2017).</w:t>
            </w:r>
          </w:p>
        </w:tc>
        <w:tc>
          <w:tcPr>
            <w:tcW w:w="5860" w:type="dxa"/>
            <w:vAlign w:val="bottom"/>
          </w:tcPr>
          <w:p>
            <w:pPr>
              <w:spacing w:after="0"/>
              <w:rPr>
                <w:sz w:val="18"/>
                <w:szCs w:val="18"/>
                <w:color w:val="auto"/>
              </w:rPr>
            </w:pPr>
          </w:p>
        </w:tc>
      </w:tr>
      <w:tr>
        <w:trPr>
          <w:trHeight w:val="238"/>
        </w:trPr>
        <w:tc>
          <w:tcPr>
            <w:tcW w:w="520" w:type="dxa"/>
            <w:vAlign w:val="bottom"/>
            <w:gridSpan w:val="4"/>
          </w:tcPr>
          <w:p>
            <w:pPr>
              <w:ind w:left="20"/>
              <w:spacing w:after="0"/>
              <w:rPr>
                <w:rFonts w:ascii="Times New Roman" w:cs="Times New Roman" w:eastAsia="Times New Roman" w:hAnsi="Times New Roman"/>
                <w:sz w:val="18"/>
                <w:szCs w:val="18"/>
                <w:color w:val="0000FF"/>
                <w:w w:val="96"/>
              </w:rPr>
            </w:pPr>
            <w:hyperlink r:id="rId239">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13*</w:t>
            </w: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Amendment No. 1 to Employment Agreement with Brian L. Roberts, dated as of December 16, 2019 (incorporated by reference to Exhibit</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10.20 to Comcast’s Annual Report on Form 10-K for the year ended December 31, 2019).</w:t>
            </w:r>
          </w:p>
        </w:tc>
      </w:tr>
      <w:tr>
        <w:trPr>
          <w:trHeight w:val="238"/>
        </w:trPr>
        <w:tc>
          <w:tcPr>
            <w:tcW w:w="520" w:type="dxa"/>
            <w:vAlign w:val="bottom"/>
            <w:gridSpan w:val="4"/>
          </w:tcPr>
          <w:p>
            <w:pPr>
              <w:ind w:left="20"/>
              <w:spacing w:after="0"/>
              <w:rPr>
                <w:rFonts w:ascii="Times New Roman" w:cs="Times New Roman" w:eastAsia="Times New Roman" w:hAnsi="Times New Roman"/>
                <w:sz w:val="18"/>
                <w:szCs w:val="18"/>
                <w:color w:val="0000FF"/>
                <w:w w:val="96"/>
              </w:rPr>
            </w:pPr>
            <w:hyperlink r:id="rId240">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14*</w:t>
            </w: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Employment Agreement dated as of December 27, 2022 between Comcast Corporation and Michael J. Cavanagh (incorporated by reference</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 Exhibit 10.15 to Comcast’s Annual Report on Form 10-K for the year ended December 31, 2022).</w:t>
            </w:r>
          </w:p>
        </w:tc>
      </w:tr>
      <w:tr>
        <w:trPr>
          <w:trHeight w:val="728"/>
        </w:trPr>
        <w:tc>
          <w:tcPr>
            <w:tcW w:w="2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586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96</w:t>
            </w:r>
          </w:p>
        </w:tc>
      </w:tr>
      <w:tr>
        <w:trPr>
          <w:trHeight w:val="341"/>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80" w:hanging="957"/>
        <w:spacing w:after="0" w:line="237" w:lineRule="auto"/>
        <w:tabs>
          <w:tab w:leader="none" w:pos="960" w:val="left"/>
        </w:tabs>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color w:val="0000FF"/>
        </w:rPr>
        <w:tab/>
        <w:t>Employment Agreement dated as of January 6, 2023 between Comcast Corporation and Jason S. Armstrong (incorporated by reference to Exhibit 10.16 to Comcast’s Annual Report on Form 10-K for the year ended December 31, 2022).</w:t>
      </w:r>
    </w:p>
    <w:p>
      <w:pPr>
        <w:spacing w:after="0" w:line="64" w:lineRule="exact"/>
        <w:rPr>
          <w:sz w:val="20"/>
          <w:szCs w:val="20"/>
          <w:color w:val="auto"/>
        </w:rPr>
      </w:pPr>
    </w:p>
    <w:p>
      <w:pPr>
        <w:jc w:val="both"/>
        <w:ind w:left="980" w:hanging="957"/>
        <w:spacing w:after="0" w:line="237" w:lineRule="auto"/>
        <w:tabs>
          <w:tab w:leader="none" w:pos="960" w:val="left"/>
        </w:tabs>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color w:val="0000FF"/>
        </w:rPr>
        <w:tab/>
        <w:t>Employment Agreement between Comcast Corporation and Jennifer Khoury, dated as of December 31, 2022 (incorporated by reference to Exhibit 10.2 to Comcast’s Quarterly Report on Form 10-Q for the quarter ended June 30, 2024).</w:t>
      </w:r>
    </w:p>
    <w:p>
      <w:pPr>
        <w:spacing w:after="0" w:line="52" w:lineRule="exact"/>
        <w:rPr>
          <w:sz w:val="20"/>
          <w:szCs w:val="20"/>
          <w:color w:val="auto"/>
        </w:rPr>
      </w:pPr>
    </w:p>
    <w:p>
      <w:pPr>
        <w:ind w:left="20"/>
        <w:spacing w:after="0"/>
        <w:tabs>
          <w:tab w:leader="none" w:pos="960" w:val="left"/>
        </w:tabs>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FF"/>
        </w:rPr>
        <w:t>17*</w:t>
        <w:tab/>
        <w:t>Employment Agreement between Comcast Corporation and Thomas J. Reid, dated as of April 17, 2024 (incorporated by reference to Exhibit</w:t>
      </w:r>
    </w:p>
    <w:p>
      <w:pPr>
        <w:ind w:left="980"/>
        <w:spacing w:after="0"/>
        <w:rPr>
          <w:sz w:val="20"/>
          <w:szCs w:val="20"/>
          <w:color w:val="auto"/>
        </w:rPr>
      </w:pPr>
      <w:r>
        <w:rPr>
          <w:rFonts w:ascii="Times New Roman" w:cs="Times New Roman" w:eastAsia="Times New Roman" w:hAnsi="Times New Roman"/>
          <w:sz w:val="18"/>
          <w:szCs w:val="18"/>
          <w:color w:val="auto"/>
        </w:rPr>
        <w:t>10.3 to Comcast’s Quarterly Report on Form 10-Q for the quarter ended June 30, 2024).</w:t>
      </w:r>
    </w:p>
    <w:p>
      <w:pPr>
        <w:spacing w:after="0" w:line="70" w:lineRule="exact"/>
        <w:rPr>
          <w:sz w:val="20"/>
          <w:szCs w:val="20"/>
          <w:color w:val="auto"/>
        </w:rPr>
      </w:pPr>
    </w:p>
    <w:p>
      <w:pPr>
        <w:jc w:val="both"/>
        <w:ind w:left="980" w:hanging="957"/>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10.18*</w:t>
      </w:r>
      <w:r>
        <w:rPr>
          <w:sz w:val="20"/>
          <w:szCs w:val="20"/>
          <w:color w:val="auto"/>
        </w:rPr>
        <w:tab/>
      </w:r>
      <w:r>
        <w:rPr>
          <w:rFonts w:ascii="Times New Roman" w:cs="Times New Roman" w:eastAsia="Times New Roman" w:hAnsi="Times New Roman"/>
          <w:sz w:val="18"/>
          <w:szCs w:val="18"/>
          <w:color w:val="auto"/>
        </w:rPr>
        <w:t>Form of Non-Qualified Stock Option and Long-Term Incentive Awards Summary Schedule under the Comcast Corporation 2003 Stock Option Plan.</w:t>
      </w:r>
    </w:p>
    <w:p>
      <w:pPr>
        <w:spacing w:after="0" w:line="64" w:lineRule="exact"/>
        <w:rPr>
          <w:sz w:val="20"/>
          <w:szCs w:val="20"/>
          <w:color w:val="auto"/>
        </w:rPr>
      </w:pPr>
    </w:p>
    <w:p>
      <w:pPr>
        <w:ind w:left="980" w:right="220" w:hanging="957"/>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10.19*</w:t>
      </w:r>
      <w:r>
        <w:rPr>
          <w:sz w:val="20"/>
          <w:szCs w:val="20"/>
          <w:color w:val="auto"/>
        </w:rPr>
        <w:tab/>
      </w:r>
      <w:r>
        <w:rPr>
          <w:rFonts w:ascii="Times New Roman" w:cs="Times New Roman" w:eastAsia="Times New Roman" w:hAnsi="Times New Roman"/>
          <w:sz w:val="18"/>
          <w:szCs w:val="18"/>
          <w:color w:val="auto"/>
        </w:rPr>
        <w:t>Form of Non-Qualified Stock Option and Long-Term Incentive Awards Summary Schedule under the Comcast Corporation 2023 Omnibus Equity Incentive Plan.</w:t>
      </w:r>
    </w:p>
    <w:p>
      <w:pPr>
        <w:spacing w:after="0" w:line="64" w:lineRule="exact"/>
        <w:rPr>
          <w:sz w:val="20"/>
          <w:szCs w:val="20"/>
          <w:color w:val="auto"/>
        </w:rPr>
      </w:pPr>
    </w:p>
    <w:p>
      <w:pPr>
        <w:jc w:val="both"/>
        <w:ind w:left="980" w:hanging="957"/>
        <w:spacing w:after="0" w:line="250" w:lineRule="auto"/>
        <w:tabs>
          <w:tab w:leader="none" w:pos="960" w:val="left"/>
        </w:tabs>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color w:val="0000FF"/>
        </w:rPr>
        <w:tab/>
        <w:t>Form of Performance-Based Restricted Stock Unit Award and Long-Term Incentive Awards Summary Schedule under the Comcast Corporation 2002 Restricted Stock Plan (incorporated by reference to Exhibit 10.37 to Comcast’s Annual Report on Form 10-K for the year ended December 31, 2020).</w:t>
      </w:r>
    </w:p>
    <w:p>
      <w:pPr>
        <w:spacing w:after="0" w:line="69" w:lineRule="exact"/>
        <w:rPr>
          <w:sz w:val="20"/>
          <w:szCs w:val="20"/>
          <w:color w:val="auto"/>
        </w:rPr>
      </w:pPr>
    </w:p>
    <w:p>
      <w:pPr>
        <w:jc w:val="both"/>
        <w:ind w:left="980" w:hanging="957"/>
        <w:spacing w:after="0" w:line="237" w:lineRule="auto"/>
        <w:tabs>
          <w:tab w:leader="none" w:pos="960" w:val="left"/>
        </w:tabs>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color w:val="0000FF"/>
        </w:rPr>
        <w:tab/>
        <w:t>Form of Performance-Based Stock Option Award (incorporated by reference to Exhibit 10.24 to Comcast’s Annual Report on Form 10-K for the year ended December 31, 2022).</w:t>
      </w:r>
    </w:p>
    <w:p>
      <w:pPr>
        <w:spacing w:after="0" w:line="64"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10.22*</w:t>
      </w:r>
      <w:r>
        <w:rPr>
          <w:sz w:val="20"/>
          <w:szCs w:val="20"/>
          <w:color w:val="auto"/>
        </w:rPr>
        <w:tab/>
      </w:r>
      <w:r>
        <w:rPr>
          <w:rFonts w:ascii="Times New Roman" w:cs="Times New Roman" w:eastAsia="Times New Roman" w:hAnsi="Times New Roman"/>
          <w:sz w:val="17"/>
          <w:szCs w:val="17"/>
          <w:color w:val="auto"/>
        </w:rPr>
        <w:t>Form of Performance-Based Restricted Stock Unit Award and Long-Term Incentive Awards Summary Schedule.</w:t>
      </w:r>
    </w:p>
    <w:p>
      <w:pPr>
        <w:spacing w:after="0" w:line="7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10.23*</w:t>
      </w:r>
      <w:r>
        <w:rPr>
          <w:sz w:val="20"/>
          <w:szCs w:val="20"/>
          <w:color w:val="auto"/>
        </w:rPr>
        <w:tab/>
      </w:r>
      <w:r>
        <w:rPr>
          <w:rFonts w:ascii="Times New Roman" w:cs="Times New Roman" w:eastAsia="Times New Roman" w:hAnsi="Times New Roman"/>
          <w:sz w:val="17"/>
          <w:szCs w:val="17"/>
          <w:color w:val="auto"/>
        </w:rPr>
        <w:t>Form of Time-Based Restricted Stock Unit Award.</w:t>
      </w:r>
    </w:p>
    <w:p>
      <w:pPr>
        <w:spacing w:after="0" w:line="77" w:lineRule="exact"/>
        <w:rPr>
          <w:sz w:val="20"/>
          <w:szCs w:val="20"/>
          <w:color w:val="auto"/>
        </w:rPr>
      </w:pPr>
    </w:p>
    <w:p>
      <w:pPr>
        <w:jc w:val="both"/>
        <w:ind w:left="980" w:hanging="957"/>
        <w:spacing w:after="0" w:line="237" w:lineRule="auto"/>
        <w:tabs>
          <w:tab w:leader="none" w:pos="960" w:val="left"/>
        </w:tabs>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color w:val="0000FF"/>
        </w:rPr>
        <w:tab/>
        <w:t>Form of Airplane Time Sharing Agreement (incorporated by reference to Exhibit 10.60 to Comcast’s Annual Report on Form 10-K for the year ended December 31, 2014).</w:t>
      </w:r>
    </w:p>
    <w:p>
      <w:pPr>
        <w:spacing w:after="0" w:line="64" w:lineRule="exact"/>
        <w:rPr>
          <w:sz w:val="20"/>
          <w:szCs w:val="20"/>
          <w:color w:val="auto"/>
        </w:rPr>
      </w:pPr>
    </w:p>
    <w:p>
      <w:pPr>
        <w:jc w:val="both"/>
        <w:ind w:left="980" w:hanging="957"/>
        <w:spacing w:after="0" w:line="237" w:lineRule="auto"/>
        <w:tabs>
          <w:tab w:leader="none" w:pos="960" w:val="left"/>
        </w:tabs>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color w:val="0000FF"/>
        </w:rPr>
        <w:tab/>
        <w:t>Form of Director Indemnification Agreement (incorporated by reference to Exhibit 10.3 to Comcast’s Quarterly Report on Form 10-Q for the quarter ended June 30, 2009).</w:t>
      </w:r>
    </w:p>
    <w:p>
      <w:pPr>
        <w:spacing w:after="0" w:line="64" w:lineRule="exact"/>
        <w:rPr>
          <w:sz w:val="20"/>
          <w:szCs w:val="20"/>
          <w:color w:val="auto"/>
        </w:rPr>
      </w:pPr>
    </w:p>
    <w:p>
      <w:pPr>
        <w:jc w:val="both"/>
        <w:ind w:left="980" w:hanging="957"/>
        <w:spacing w:after="0" w:line="222" w:lineRule="auto"/>
        <w:tabs>
          <w:tab w:leader="none" w:pos="960" w:val="left"/>
        </w:tabs>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color w:val="0000FF"/>
        </w:rPr>
        <w:tab/>
        <w:t>Fourth Amended and Restated Shareholders Agreement, dated as of April 15, 2022, among Atairos Group, Inc., Comcast AG Holdings, LLC, Atairos Partners, L.P., Atairos Management, L.P. and Comcast Corporation (incorporated by reference to Exhibit 10.27 to Comcast’s Annual</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Report on Form 10-K for the year ended December 31, 2022).</w:t>
      </w:r>
    </w:p>
    <w:p>
      <w:pPr>
        <w:spacing w:after="0" w:line="57" w:lineRule="exact"/>
        <w:rPr>
          <w:sz w:val="20"/>
          <w:szCs w:val="20"/>
          <w:color w:val="auto"/>
        </w:rPr>
      </w:pPr>
    </w:p>
    <w:p>
      <w:pPr>
        <w:jc w:val="both"/>
        <w:ind w:left="980" w:hanging="957"/>
        <w:spacing w:after="0" w:line="222" w:lineRule="auto"/>
        <w:tabs>
          <w:tab w:leader="none" w:pos="960" w:val="left"/>
        </w:tabs>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color w:val="0000FF"/>
        </w:rPr>
        <w:tab/>
        <w:t>First Amendment dated June 2, 2023 to Fourth Amended and Restated Shareholders Agreement, dated as of April 15, 2022, among Atairos Group, Inc., Comcast AG Holdings, LLC, Atairos Partners, L.P. and Atairos Management, L.P. (incorporated by reference to Exhibit 10.28 to</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Comcast’s Annual Report on Form 10-K for the year ended December 31, 2023).</w:t>
      </w:r>
    </w:p>
    <w:p>
      <w:pPr>
        <w:spacing w:after="0" w:line="57" w:lineRule="exact"/>
        <w:rPr>
          <w:sz w:val="20"/>
          <w:szCs w:val="20"/>
          <w:color w:val="auto"/>
        </w:rPr>
      </w:pPr>
    </w:p>
    <w:p>
      <w:pPr>
        <w:jc w:val="both"/>
        <w:ind w:left="980" w:hanging="957"/>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10.28</w:t>
      </w:r>
      <w:r>
        <w:rPr>
          <w:sz w:val="20"/>
          <w:szCs w:val="20"/>
          <w:color w:val="auto"/>
        </w:rPr>
        <w:tab/>
      </w:r>
      <w:r>
        <w:rPr>
          <w:rFonts w:ascii="Times New Roman" w:cs="Times New Roman" w:eastAsia="Times New Roman" w:hAnsi="Times New Roman"/>
          <w:sz w:val="18"/>
          <w:szCs w:val="18"/>
          <w:color w:val="auto"/>
        </w:rPr>
        <w:t>Second Amendment dated February 26, 2024 to Fourth Amended and Restated Shareholders Agreement, dated as of April 15, 2022, among Atairos Group, Inc., Comcast AG Holdings, LLC, Atairos Partners, L.P. and Atairos Management, L.P.</w:t>
      </w:r>
    </w:p>
    <w:p>
      <w:pPr>
        <w:spacing w:after="0" w:line="64" w:lineRule="exact"/>
        <w:rPr>
          <w:sz w:val="20"/>
          <w:szCs w:val="20"/>
          <w:color w:val="auto"/>
        </w:rPr>
      </w:pPr>
    </w:p>
    <w:p>
      <w:pPr>
        <w:jc w:val="both"/>
        <w:ind w:left="980" w:hanging="957"/>
        <w:spacing w:after="0" w:line="222" w:lineRule="auto"/>
        <w:tabs>
          <w:tab w:leader="none" w:pos="960" w:val="left"/>
        </w:tabs>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color w:val="0000FF"/>
        </w:rPr>
        <w:tab/>
        <w:t>Consultant Agreement, dated as of January 20, 1987, between Steven Spielberg and Universal City Florida Partners (incorporated by reference to Exhibit 10.49 to the Registration Statement on Form S-4 of Universal City Development Partners, Ltd. and UCDP Finance, Inc.</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filed on January 20, 2010 (File No. 333-164431)).</w:t>
      </w:r>
    </w:p>
    <w:p>
      <w:pPr>
        <w:spacing w:after="0" w:line="57" w:lineRule="exact"/>
        <w:rPr>
          <w:sz w:val="20"/>
          <w:szCs w:val="20"/>
          <w:color w:val="auto"/>
        </w:rPr>
      </w:pPr>
    </w:p>
    <w:p>
      <w:pPr>
        <w:jc w:val="both"/>
        <w:ind w:left="980" w:hanging="957"/>
        <w:spacing w:after="0" w:line="222" w:lineRule="auto"/>
        <w:tabs>
          <w:tab w:leader="none" w:pos="960" w:val="left"/>
        </w:tabs>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color w:val="0000FF"/>
        </w:rPr>
        <w:tab/>
        <w:t>Amendment dated February 5, 2001 to the Consultant Agreement dated as of January 20, 1987, between the Consultant and Universal City Florida Partners (incorporated by reference to Exhibit 10.50 to the Registration Statement on Form S-4 of Universal City Development</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Partners, Ltd. and UCDP Finance, Inc. filed on January 20, 2010 (File No. 333-164431)).</w:t>
      </w:r>
    </w:p>
    <w:p>
      <w:pPr>
        <w:spacing w:after="0" w:line="57" w:lineRule="exact"/>
        <w:rPr>
          <w:sz w:val="20"/>
          <w:szCs w:val="20"/>
          <w:color w:val="auto"/>
        </w:rPr>
      </w:pPr>
    </w:p>
    <w:p>
      <w:pPr>
        <w:jc w:val="both"/>
        <w:ind w:left="980" w:hanging="957"/>
        <w:spacing w:after="0" w:line="222" w:lineRule="auto"/>
        <w:tabs>
          <w:tab w:leader="none" w:pos="960" w:val="left"/>
        </w:tabs>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u w:val="single" w:color="auto"/>
            <w:color w:val="0000FF"/>
          </w:rPr>
          <w:t>10.31</w:t>
        </w:r>
      </w:hyperlink>
      <w:r>
        <w:rPr>
          <w:rFonts w:ascii="Times New Roman" w:cs="Times New Roman" w:eastAsia="Times New Roman" w:hAnsi="Times New Roman"/>
          <w:sz w:val="18"/>
          <w:szCs w:val="18"/>
          <w:color w:val="0000FF"/>
        </w:rPr>
        <w:tab/>
        <w:t>Amendment to the Consultant Agreement, dated as of October 18, 2009, between Steven Spielberg, Diamond Lane Productions, Inc. and Universal City Development Partners, Ltd. (incorporated by reference to Exhibit 10.52 to the Registration Statement on Form S-4 of</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Universal City Development Partners, Ltd. and UCDP Finance, Inc. filed on January 20, 2010 (File No. 333-164431)).</w:t>
      </w:r>
    </w:p>
    <w:p>
      <w:pPr>
        <w:spacing w:after="0" w:line="57" w:lineRule="exact"/>
        <w:rPr>
          <w:sz w:val="20"/>
          <w:szCs w:val="20"/>
          <w:color w:val="auto"/>
        </w:rPr>
      </w:pPr>
    </w:p>
    <w:p>
      <w:pPr>
        <w:jc w:val="both"/>
        <w:ind w:left="980" w:hanging="957"/>
        <w:spacing w:after="0" w:line="222" w:lineRule="auto"/>
        <w:tabs>
          <w:tab w:leader="none" w:pos="960" w:val="left"/>
        </w:tabs>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u w:val="single" w:color="auto"/>
            <w:color w:val="0000FF"/>
          </w:rPr>
          <w:t>10.32</w:t>
        </w:r>
      </w:hyperlink>
      <w:r>
        <w:rPr>
          <w:rFonts w:ascii="Times New Roman" w:cs="Times New Roman" w:eastAsia="Times New Roman" w:hAnsi="Times New Roman"/>
          <w:sz w:val="18"/>
          <w:szCs w:val="18"/>
          <w:color w:val="0000FF"/>
        </w:rPr>
        <w:tab/>
        <w:t>Letter Agreement dated July 15, 2003, among Diamond Lane Productions, Vivendi Universal Entertainment LLLP and Universal City Development Partners, Ltd. (incorporated by reference to Exhibit 10.51 to the Registration Statement on Form S-4 of Universal City</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Development Partners, Ltd. and UCDP Finance, Inc. filed on January 20, 2010 (File No. 333-164431)).</w:t>
      </w:r>
    </w:p>
    <w:p>
      <w:pPr>
        <w:spacing w:after="0" w:line="57" w:lineRule="exact"/>
        <w:rPr>
          <w:sz w:val="20"/>
          <w:szCs w:val="20"/>
          <w:color w:val="auto"/>
        </w:rPr>
      </w:pPr>
    </w:p>
    <w:p>
      <w:pPr>
        <w:ind w:left="980" w:hanging="954"/>
        <w:spacing w:after="0"/>
        <w:tabs>
          <w:tab w:leader="none" w:pos="980" w:val="left"/>
        </w:tabs>
        <w:numPr>
          <w:ilvl w:val="0"/>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Comcast Corporation Insider Trading Policies.</w:t>
      </w:r>
    </w:p>
    <w:p>
      <w:pPr>
        <w:spacing w:after="0" w:line="77" w:lineRule="exact"/>
        <w:rPr>
          <w:sz w:val="20"/>
          <w:szCs w:val="20"/>
          <w:color w:val="auto"/>
        </w:rPr>
      </w:pPr>
    </w:p>
    <w:p>
      <w:pPr>
        <w:ind w:left="980" w:hanging="954"/>
        <w:spacing w:after="0"/>
        <w:tabs>
          <w:tab w:leader="none" w:pos="980" w:val="left"/>
        </w:tabs>
        <w:numPr>
          <w:ilvl w:val="0"/>
          <w:numId w:val="5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subsidiaries.</w:t>
      </w:r>
    </w:p>
    <w:p>
      <w:pPr>
        <w:spacing w:after="0" w:line="200" w:lineRule="exact"/>
        <w:rPr>
          <w:sz w:val="20"/>
          <w:szCs w:val="20"/>
          <w:color w:val="auto"/>
        </w:rPr>
      </w:pPr>
    </w:p>
    <w:p>
      <w:pPr>
        <w:spacing w:after="0" w:line="31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97</w:t>
      </w:r>
      <w:r>
        <w:rPr>
          <w:sz w:val="20"/>
          <w:szCs w:val="20"/>
          <w:color w:val="auto"/>
        </w:rPr>
        <w:tab/>
      </w:r>
      <w:r>
        <w:rPr>
          <w:rFonts w:ascii="Times New Roman" w:cs="Times New Roman" w:eastAsia="Times New Roman" w:hAnsi="Times New Roman"/>
          <w:sz w:val="14"/>
          <w:szCs w:val="14"/>
          <w:color w:val="auto"/>
        </w:rPr>
        <w:t>Comcast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80" w:hanging="954"/>
        <w:spacing w:after="0"/>
        <w:tabs>
          <w:tab w:leader="none" w:pos="980" w:val="left"/>
        </w:tabs>
        <w:numPr>
          <w:ilvl w:val="0"/>
          <w:numId w:val="6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Subsidiary guarantors and issuers of guaranteed securities and affiliates whose securities collateralize securities of the registrant.</w:t>
      </w:r>
    </w:p>
    <w:p>
      <w:pPr>
        <w:spacing w:after="0" w:line="76" w:lineRule="exact"/>
        <w:rPr>
          <w:rFonts w:ascii="Times New Roman" w:cs="Times New Roman" w:eastAsia="Times New Roman" w:hAnsi="Times New Roman"/>
          <w:sz w:val="18"/>
          <w:szCs w:val="18"/>
          <w:u w:val="single" w:color="auto"/>
          <w:color w:val="0000FF"/>
        </w:rPr>
      </w:pPr>
    </w:p>
    <w:p>
      <w:pPr>
        <w:ind w:left="980" w:hanging="954"/>
        <w:spacing w:after="0"/>
        <w:tabs>
          <w:tab w:leader="none" w:pos="980" w:val="left"/>
        </w:tabs>
        <w:numPr>
          <w:ilvl w:val="0"/>
          <w:numId w:val="6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Deloitte &amp; Touche LLP.</w:t>
      </w:r>
    </w:p>
    <w:p>
      <w:pPr>
        <w:spacing w:after="0" w:line="77" w:lineRule="exact"/>
        <w:rPr>
          <w:sz w:val="20"/>
          <w:szCs w:val="20"/>
          <w:color w:val="auto"/>
        </w:rPr>
      </w:pPr>
    </w:p>
    <w:p>
      <w:pPr>
        <w:ind w:left="980" w:hanging="954"/>
        <w:spacing w:after="0"/>
        <w:tabs>
          <w:tab w:leader="none" w:pos="980" w:val="left"/>
        </w:tabs>
        <w:numPr>
          <w:ilvl w:val="0"/>
          <w:numId w:val="6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302 of the Sarbanes-Oxley Act of 2002.</w:t>
      </w:r>
    </w:p>
    <w:p>
      <w:pPr>
        <w:spacing w:after="0" w:line="76" w:lineRule="exact"/>
        <w:rPr>
          <w:rFonts w:ascii="Times New Roman" w:cs="Times New Roman" w:eastAsia="Times New Roman" w:hAnsi="Times New Roman"/>
          <w:sz w:val="18"/>
          <w:szCs w:val="18"/>
          <w:u w:val="single" w:color="auto"/>
          <w:color w:val="0000FF"/>
        </w:rPr>
      </w:pPr>
    </w:p>
    <w:p>
      <w:pPr>
        <w:ind w:left="980" w:hanging="954"/>
        <w:spacing w:after="0"/>
        <w:tabs>
          <w:tab w:leader="none" w:pos="980" w:val="left"/>
        </w:tabs>
        <w:numPr>
          <w:ilvl w:val="0"/>
          <w:numId w:val="6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906 of the Sarbanes-Oxley Act of 2002.</w:t>
      </w:r>
    </w:p>
    <w:p>
      <w:pPr>
        <w:spacing w:after="0" w:line="77" w:lineRule="exact"/>
        <w:rPr>
          <w:sz w:val="20"/>
          <w:szCs w:val="20"/>
          <w:color w:val="auto"/>
        </w:rPr>
      </w:pPr>
    </w:p>
    <w:p>
      <w:pPr>
        <w:ind w:left="980" w:right="20" w:hanging="954"/>
        <w:spacing w:after="0" w:line="237" w:lineRule="auto"/>
        <w:tabs>
          <w:tab w:leader="none" w:pos="980" w:val="left"/>
        </w:tabs>
        <w:numPr>
          <w:ilvl w:val="0"/>
          <w:numId w:val="6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Comcast Corporation Recoupment Policy (incorporated by reference to Exhibit 97 to Comcast’s Annual Report on Form 10-K for the year ended December 31, 2023).</w:t>
      </w:r>
    </w:p>
    <w:p>
      <w:pPr>
        <w:spacing w:after="0" w:line="77" w:lineRule="exact"/>
        <w:rPr>
          <w:sz w:val="20"/>
          <w:szCs w:val="20"/>
          <w:color w:val="auto"/>
        </w:rPr>
      </w:pPr>
    </w:p>
    <w:p>
      <w:pPr>
        <w:jc w:val="both"/>
        <w:ind w:left="980" w:right="200" w:hanging="954"/>
        <w:spacing w:after="0" w:line="261"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Annual Report on Form 10-K for the year ended December 31, 2024, filed with the Securities and Exchange Commission on January 31, 2025, formatted in Inline Extensible Business Reporting Language (iXBRL):</w:t>
      </w:r>
    </w:p>
    <w:p>
      <w:pPr>
        <w:jc w:val="both"/>
        <w:ind w:left="98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Consolidated Statement of Income; (2) the Consolidated Statement of Comprehensive Income; (3) the Consolidated Statement of Cash Flows; (4) the Consolidated Balance Sheet; (5) the Consolidated Statement of Changes in Equity; and (6) the Notes to Consolidated Financial Statements.</w:t>
      </w:r>
    </w:p>
    <w:p>
      <w:pPr>
        <w:spacing w:after="0" w:line="118"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980" w:hanging="954"/>
        <w:spacing w:after="0"/>
        <w:tabs>
          <w:tab w:leader="none" w:pos="9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a management contract or compensatory plan or arrangement.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color w:val="006EBF"/>
        </w:rPr>
        <w:t>Item 16: Form 10-K Summary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2024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98</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uto"/>
        </w:rPr>
        <w:t>Signatures</w:t>
      </w:r>
    </w:p>
    <w:p>
      <w:pPr>
        <w:spacing w:after="0" w:line="2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January 31, 2025.</w:t>
      </w:r>
    </w:p>
    <w:p>
      <w:pPr>
        <w:spacing w:after="0" w:line="94" w:lineRule="exact"/>
        <w:rPr>
          <w:sz w:val="20"/>
          <w:szCs w:val="20"/>
          <w:color w:val="auto"/>
        </w:rPr>
      </w:pPr>
    </w:p>
    <w:tbl>
      <w:tblPr>
        <w:tblLayout w:type="fixed"/>
        <w:tblInd w:w="384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L. ROBERTS</w:t>
            </w:r>
          </w:p>
        </w:tc>
      </w:tr>
      <w:tr>
        <w:trPr>
          <w:trHeight w:val="216"/>
        </w:trPr>
        <w:tc>
          <w:tcPr>
            <w:tcW w:w="1120" w:type="dxa"/>
            <w:vAlign w:val="bottom"/>
          </w:tcPr>
          <w:p>
            <w:pPr>
              <w:spacing w:after="0"/>
              <w:rPr>
                <w:sz w:val="18"/>
                <w:szCs w:val="18"/>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L. Roberts</w:t>
            </w:r>
          </w:p>
        </w:tc>
      </w:tr>
      <w:tr>
        <w:trPr>
          <w:trHeight w:val="236"/>
        </w:trPr>
        <w:tc>
          <w:tcPr>
            <w:tcW w:w="1120" w:type="dxa"/>
            <w:vAlign w:val="bottom"/>
          </w:tcPr>
          <w:p>
            <w:pPr>
              <w:spacing w:after="0"/>
              <w:rPr>
                <w:sz w:val="20"/>
                <w:szCs w:val="20"/>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bl>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p>
      <w:pPr>
        <w:ind w:left="1620"/>
        <w:spacing w:after="0"/>
        <w:tabs>
          <w:tab w:leader="none" w:pos="6080" w:val="left"/>
          <w:tab w:leader="none" w:pos="9820" w:val="left"/>
        </w:tabs>
        <w:rPr>
          <w:sz w:val="20"/>
          <w:szCs w:val="20"/>
          <w:color w:val="auto"/>
        </w:rPr>
      </w:pPr>
      <w:r>
        <w:rPr>
          <w:rFonts w:ascii="Times New Roman" w:cs="Times New Roman" w:eastAsia="Times New Roman" w:hAnsi="Times New Roman"/>
          <w:sz w:val="14"/>
          <w:szCs w:val="14"/>
          <w:color w:val="auto"/>
        </w:rPr>
        <w:t>Signature</w:t>
      </w:r>
      <w:r>
        <w:rPr>
          <w:sz w:val="20"/>
          <w:szCs w:val="20"/>
          <w:color w:val="auto"/>
        </w:rPr>
        <w:tab/>
      </w: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Brian L. Roberts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Jason S. Armstrong</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9141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Daniel C. Murdock</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Kenneth J. Bacon</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 THOMAS J. BALTIMORE,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914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Thomas J. Baltimore, Jr.</w:t>
      </w:r>
    </w:p>
    <w:p>
      <w:pPr>
        <w:spacing w:after="0" w:line="1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LOUISE F.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Louise F. Brady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MADELINE 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Madeline S. Bell</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Edward D. Breen</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 JEFFREY A. HONICKMAN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Jeffrey A. Honickman</w:t>
      </w:r>
    </w:p>
    <w:p>
      <w:pPr>
        <w:spacing w:after="0" w:line="1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WONYA 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Wonya Y. Lucas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ASUKA NAKAHARA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Asuka Nakahara</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 DAVID C.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David C. Novak</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Chairman and Chief Executive Officer; 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23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20" w:type="dxa"/>
            <w:vAlign w:val="bottom"/>
          </w:tcPr>
          <w:p>
            <w:pPr>
              <w:spacing w:after="0"/>
              <w:rPr>
                <w:sz w:val="20"/>
                <w:szCs w:val="20"/>
                <w:color w:val="auto"/>
              </w:rPr>
            </w:pPr>
          </w:p>
        </w:tc>
      </w:tr>
      <w:tr>
        <w:trPr>
          <w:trHeight w:val="306"/>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23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20" w:type="dxa"/>
            <w:vAlign w:val="bottom"/>
          </w:tcPr>
          <w:p>
            <w:pPr>
              <w:spacing w:after="0"/>
              <w:rPr>
                <w:sz w:val="20"/>
                <w:szCs w:val="20"/>
                <w:color w:val="auto"/>
              </w:rPr>
            </w:pPr>
          </w:p>
        </w:tc>
      </w:tr>
      <w:tr>
        <w:trPr>
          <w:trHeight w:val="360"/>
        </w:trPr>
        <w:tc>
          <w:tcPr>
            <w:tcW w:w="41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Executive Vice President, Chief Accounting</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184"/>
        </w:trPr>
        <w:tc>
          <w:tcPr>
            <w:tcW w:w="4160" w:type="dxa"/>
            <w:vAlign w:val="bottom"/>
          </w:tcPr>
          <w:p>
            <w:pPr>
              <w:jc w:val="center"/>
              <w:ind w:right="590"/>
              <w:spacing w:after="0" w:line="184" w:lineRule="exact"/>
              <w:rPr>
                <w:sz w:val="20"/>
                <w:szCs w:val="20"/>
                <w:color w:val="auto"/>
              </w:rPr>
            </w:pPr>
            <w:r>
              <w:rPr>
                <w:rFonts w:ascii="Times New Roman" w:cs="Times New Roman" w:eastAsia="Times New Roman" w:hAnsi="Times New Roman"/>
                <w:sz w:val="18"/>
                <w:szCs w:val="18"/>
                <w:color w:val="auto"/>
                <w:w w:val="99"/>
              </w:rPr>
              <w:t>Officer and Controller</w:t>
            </w:r>
          </w:p>
        </w:tc>
        <w:tc>
          <w:tcPr>
            <w:tcW w:w="1920" w:type="dxa"/>
            <w:vAlign w:val="bottom"/>
          </w:tcPr>
          <w:p>
            <w:pPr>
              <w:spacing w:after="0"/>
              <w:rPr>
                <w:sz w:val="16"/>
                <w:szCs w:val="16"/>
                <w:color w:val="auto"/>
              </w:rPr>
            </w:pPr>
          </w:p>
        </w:tc>
      </w:tr>
      <w:tr>
        <w:trPr>
          <w:trHeight w:val="23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20" w:type="dxa"/>
            <w:vAlign w:val="bottom"/>
          </w:tcPr>
          <w:p>
            <w:pPr>
              <w:spacing w:after="0"/>
              <w:rPr>
                <w:sz w:val="20"/>
                <w:szCs w:val="20"/>
                <w:color w:val="auto"/>
              </w:rPr>
            </w:pPr>
          </w:p>
        </w:tc>
      </w:tr>
      <w:tr>
        <w:trPr>
          <w:trHeight w:val="283"/>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January 31, 2025</w:t>
            </w:r>
          </w:p>
        </w:tc>
      </w:tr>
    </w:tbl>
    <w:p>
      <w:pPr>
        <w:spacing w:after="0" w:line="483" w:lineRule="exact"/>
        <w:rPr>
          <w:sz w:val="20"/>
          <w:szCs w:val="20"/>
          <w:color w:val="auto"/>
        </w:rPr>
      </w:pPr>
    </w:p>
    <w:p>
      <w:pPr>
        <w:sectPr>
          <w:pgSz w:w="11900" w:h="16838" w:orient="portrait"/>
          <w:cols w:equalWidth="0" w:num="2">
            <w:col w:w="3780" w:space="720"/>
            <w:col w:w="67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99</w:t>
      </w:r>
      <w:r>
        <w:rPr>
          <w:sz w:val="20"/>
          <w:szCs w:val="20"/>
          <w:color w:val="auto"/>
        </w:rPr>
        <w:tab/>
      </w:r>
      <w:r>
        <w:rPr>
          <w:rFonts w:ascii="Times New Roman" w:cs="Times New Roman" w:eastAsia="Times New Roman" w:hAnsi="Times New Roman"/>
          <w:sz w:val="14"/>
          <w:szCs w:val="14"/>
          <w:color w:val="auto"/>
        </w:rPr>
        <w:t>Comcast 2024 Annual Report on Form 10-K</w:t>
      </w:r>
    </w:p>
    <w:p>
      <w:pPr>
        <w:sectPr>
          <w:pgSz w:w="11900" w:h="16838" w:orient="portrait"/>
          <w:cols w:equalWidth="0" w:num="1">
            <w:col w:w="11240"/>
          </w:cols>
          <w:pgMar w:left="320" w:top="117" w:right="339"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00" w:lineRule="exact"/>
        <w:rPr>
          <w:sz w:val="20"/>
          <w:szCs w:val="20"/>
          <w:color w:val="auto"/>
        </w:rPr>
      </w:pPr>
    </w:p>
    <w:p>
      <w:pPr>
        <w:spacing w:after="0" w:line="2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AMENDED AND RESTATED BYLAWS</w:t>
      </w:r>
    </w:p>
    <w:p>
      <w:pPr>
        <w:spacing w:after="0" w:line="3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COMCAST CORPORATION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January 28, 2025</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OFFICES</w:t>
      </w:r>
    </w:p>
    <w:p>
      <w:pPr>
        <w:spacing w:after="0" w:line="355" w:lineRule="exact"/>
        <w:rPr>
          <w:sz w:val="20"/>
          <w:szCs w:val="20"/>
          <w:color w:val="auto"/>
        </w:rPr>
      </w:pPr>
    </w:p>
    <w:p>
      <w:pPr>
        <w:ind w:right="500" w:firstLine="647"/>
        <w:spacing w:after="0" w:line="268"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Registered Office</w:t>
      </w:r>
      <w:r>
        <w:rPr>
          <w:rFonts w:ascii="Times New Roman" w:cs="Times New Roman" w:eastAsia="Times New Roman" w:hAnsi="Times New Roman"/>
          <w:sz w:val="18"/>
          <w:szCs w:val="18"/>
          <w:color w:val="auto"/>
        </w:rPr>
        <w:t>. The registered office of the Comcast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be located within the Commonwealth of Pennsylvania at such place as the Board of Directors (hereinafter referred to as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determine from time to time.</w:t>
      </w:r>
    </w:p>
    <w:p>
      <w:pPr>
        <w:spacing w:after="0" w:line="213" w:lineRule="exact"/>
        <w:rPr>
          <w:sz w:val="20"/>
          <w:szCs w:val="20"/>
          <w:color w:val="auto"/>
        </w:rPr>
      </w:pPr>
    </w:p>
    <w:p>
      <w:pPr>
        <w:ind w:right="100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Offices</w:t>
      </w:r>
      <w:r>
        <w:rPr>
          <w:rFonts w:ascii="Times New Roman" w:cs="Times New Roman" w:eastAsia="Times New Roman" w:hAnsi="Times New Roman"/>
          <w:sz w:val="18"/>
          <w:szCs w:val="18"/>
          <w:color w:val="auto"/>
        </w:rPr>
        <w:t>. The Corporation may also have offices at such other places, within or without the Commonwealth of Pennsylvania, as the Board of Directors may determine from time to time.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MEETINGS OF SHAREHOLDERS</w:t>
      </w:r>
    </w:p>
    <w:p>
      <w:pPr>
        <w:spacing w:after="0" w:line="371" w:lineRule="exact"/>
        <w:rPr>
          <w:sz w:val="20"/>
          <w:szCs w:val="20"/>
          <w:color w:val="auto"/>
        </w:rPr>
      </w:pPr>
    </w:p>
    <w:p>
      <w:pPr>
        <w:ind w:right="40"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Place of Meetings of Shareholders</w:t>
      </w:r>
      <w:r>
        <w:rPr>
          <w:rFonts w:ascii="Times New Roman" w:cs="Times New Roman" w:eastAsia="Times New Roman" w:hAnsi="Times New Roman"/>
          <w:sz w:val="18"/>
          <w:szCs w:val="18"/>
          <w:color w:val="auto"/>
        </w:rPr>
        <w:t>.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pose questions to the Directors, make appropriate motions and comment on the business of the meeting, the meeting need not be held at a particular geographic location.</w:t>
      </w:r>
    </w:p>
    <w:p>
      <w:pPr>
        <w:spacing w:after="0" w:line="223"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i w:val="1"/>
          <w:iCs w:val="1"/>
          <w:color w:val="auto"/>
        </w:rPr>
        <w:t>Annual Meetings of Shareholders</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jc w:val="both"/>
        <w:ind w:right="340" w:firstLine="1293"/>
        <w:spacing w:after="0" w:line="261" w:lineRule="auto"/>
        <w:tabs>
          <w:tab w:leader="none" w:pos="18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and if such day is a Holiday, then such meeting shall be held on the next business day at such time.</w:t>
      </w:r>
    </w:p>
    <w:p>
      <w:pPr>
        <w:spacing w:after="0" w:line="206" w:lineRule="exact"/>
        <w:rPr>
          <w:rFonts w:ascii="Times New Roman" w:cs="Times New Roman" w:eastAsia="Times New Roman" w:hAnsi="Times New Roman"/>
          <w:sz w:val="18"/>
          <w:szCs w:val="18"/>
          <w:color w:val="auto"/>
        </w:rPr>
      </w:pPr>
    </w:p>
    <w:p>
      <w:pPr>
        <w:ind w:right="100" w:firstLine="1293"/>
        <w:spacing w:after="0" w:line="282" w:lineRule="auto"/>
        <w:tabs>
          <w:tab w:leader="none" w:pos="184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200" w:lineRule="exact"/>
        <w:rPr>
          <w:sz w:val="20"/>
          <w:szCs w:val="20"/>
          <w:color w:val="auto"/>
        </w:rPr>
      </w:pPr>
    </w:p>
    <w:p>
      <w:pPr>
        <w:jc w:val="both"/>
        <w:ind w:right="80" w:firstLine="647"/>
        <w:spacing w:after="0" w:line="267"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Special Meetings of Shareholders</w:t>
      </w:r>
      <w:r>
        <w:rPr>
          <w:rFonts w:ascii="Times New Roman" w:cs="Times New Roman" w:eastAsia="Times New Roman" w:hAnsi="Times New Roman"/>
          <w:sz w:val="18"/>
          <w:szCs w:val="18"/>
          <w:color w:val="auto"/>
        </w:rPr>
        <w:t>.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w:t>
      </w: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40"/>
          </w:cols>
          <w:pgMar w:left="420" w:top="770" w:right="439" w:bottom="1440" w:gutter="0" w:footer="0" w:header="0"/>
        </w:sectPr>
      </w:pPr>
    </w:p>
    <w:bookmarkStart w:id="104" w:name="page105"/>
    <w:bookmarkEnd w:id="104"/>
    <w:p>
      <w:pPr>
        <w:ind w:right="80"/>
        <w:spacing w:after="0" w:line="282" w:lineRule="auto"/>
        <w:rPr>
          <w:sz w:val="20"/>
          <w:szCs w:val="20"/>
          <w:color w:val="auto"/>
        </w:rPr>
      </w:pPr>
      <w:r>
        <w:rPr>
          <w:rFonts w:ascii="Times New Roman" w:cs="Times New Roman" w:eastAsia="Times New Roman" w:hAnsi="Times New Roman"/>
          <w:sz w:val="18"/>
          <w:szCs w:val="18"/>
          <w:color w:val="auto"/>
        </w:rPr>
        <w:t>transacted at such meeting as well as the date, time and place of such meeting, it shall be the duty of the Secretary to give due notice thereof as required by Section 2.04 hereof.</w:t>
      </w:r>
    </w:p>
    <w:p>
      <w:pPr>
        <w:spacing w:after="0" w:line="200" w:lineRule="exact"/>
        <w:rPr>
          <w:sz w:val="20"/>
          <w:szCs w:val="20"/>
          <w:color w:val="auto"/>
        </w:rPr>
      </w:pPr>
    </w:p>
    <w:p>
      <w:pPr>
        <w:ind w:right="20"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Notices of Meetings of Shareholders</w:t>
      </w:r>
      <w:r>
        <w:rPr>
          <w:rFonts w:ascii="Times New Roman" w:cs="Times New Roman" w:eastAsia="Times New Roman" w:hAnsi="Times New Roman"/>
          <w:sz w:val="18"/>
          <w:szCs w:val="18"/>
          <w:color w:val="auto"/>
        </w:rPr>
        <w:t>. Notice complying with Article 6 of these Bylaws of every meeting of the shareholders shall be given to each shareholder of record entitled to vote at the meeting at least: (a) 10 days prior to the day named for a meeting that will consider a transaction under Chapter 3 of Title 15 of the Pennsylvania Consolidated Statutes or Chapter 19 of the Pennsylvania Business Corporation Law of 1988,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color w:val="auto"/>
        </w:rPr>
        <w:t>Pennsylvania BCL</w:t>
      </w:r>
      <w:r>
        <w:rPr>
          <w:rFonts w:ascii="Times New Roman" w:cs="Times New Roman" w:eastAsia="Times New Roman" w:hAnsi="Times New Roman"/>
          <w:sz w:val="18"/>
          <w:szCs w:val="18"/>
          <w:color w:val="auto"/>
        </w:rPr>
        <w:t>”) or (b) five days prior to the day named for the meeting in any other case.</w:t>
      </w:r>
    </w:p>
    <w:p>
      <w:pPr>
        <w:spacing w:after="0" w:line="245"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i w:val="1"/>
          <w:iCs w:val="1"/>
          <w:color w:val="auto"/>
        </w:rPr>
        <w:t>Quorum of and Action by Shareholders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60" w:firstLine="1293"/>
        <w:spacing w:after="0" w:line="255" w:lineRule="auto"/>
        <w:tabs>
          <w:tab w:leader="none" w:pos="18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Rule. A meeting of shareholders duly called shall not be organized for the transaction of business unless a quorum is present as to at least one of the matters to be considered. Except as provided in subsections (c), (d) and (e) of this Section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229" w:lineRule="exact"/>
        <w:rPr>
          <w:rFonts w:ascii="Times New Roman" w:cs="Times New Roman" w:eastAsia="Times New Roman" w:hAnsi="Times New Roman"/>
          <w:sz w:val="18"/>
          <w:szCs w:val="18"/>
          <w:color w:val="auto"/>
        </w:rPr>
      </w:pPr>
    </w:p>
    <w:p>
      <w:pPr>
        <w:ind w:firstLine="1293"/>
        <w:spacing w:after="0" w:line="258" w:lineRule="auto"/>
        <w:tabs>
          <w:tab w:leader="none" w:pos="184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may the required shareholder vote be reduced below that provided above.</w:t>
      </w:r>
    </w:p>
    <w:p>
      <w:pPr>
        <w:spacing w:after="0" w:line="223" w:lineRule="exact"/>
        <w:rPr>
          <w:rFonts w:ascii="Times New Roman" w:cs="Times New Roman" w:eastAsia="Times New Roman" w:hAnsi="Times New Roman"/>
          <w:sz w:val="18"/>
          <w:szCs w:val="18"/>
          <w:color w:val="auto"/>
        </w:rPr>
      </w:pPr>
    </w:p>
    <w:p>
      <w:pPr>
        <w:ind w:right="380" w:firstLine="1293"/>
        <w:spacing w:after="0" w:line="282" w:lineRule="auto"/>
        <w:tabs>
          <w:tab w:leader="none" w:pos="18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188" w:lineRule="exact"/>
        <w:rPr>
          <w:rFonts w:ascii="Times New Roman" w:cs="Times New Roman" w:eastAsia="Times New Roman" w:hAnsi="Times New Roman"/>
          <w:sz w:val="18"/>
          <w:szCs w:val="18"/>
          <w:color w:val="auto"/>
        </w:rPr>
      </w:pPr>
    </w:p>
    <w:p>
      <w:pPr>
        <w:jc w:val="both"/>
        <w:ind w:right="120" w:firstLine="1293"/>
        <w:spacing w:after="0" w:line="266" w:lineRule="auto"/>
        <w:tabs>
          <w:tab w:leader="none" w:pos="184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at Adjourned Meetings. Those shareholders entitled to vote who attend a meeting at which Directors are to be elected that has been previously adjourned for lack of a quorum with respect thereto, although less than a quorum as fixed in subsection (a), shall nevertheless constitute a quorum for the purpose of electing Directors at such reconvened meeting.</w:t>
      </w:r>
    </w:p>
    <w:p>
      <w:pPr>
        <w:spacing w:after="0" w:line="216" w:lineRule="exact"/>
        <w:rPr>
          <w:rFonts w:ascii="Times New Roman" w:cs="Times New Roman" w:eastAsia="Times New Roman" w:hAnsi="Times New Roman"/>
          <w:sz w:val="18"/>
          <w:szCs w:val="18"/>
          <w:color w:val="auto"/>
        </w:rPr>
      </w:pPr>
    </w:p>
    <w:p>
      <w:pPr>
        <w:ind w:right="20" w:firstLine="1293"/>
        <w:spacing w:after="0" w:line="258" w:lineRule="auto"/>
        <w:tabs>
          <w:tab w:leader="none" w:pos="18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Other Business at Adjourned Meetings. Those shareholders entitled to vote who attend a meeting at which a matter other than the election of Directors is to be acted upon, that has been previously adjourned for one or more periods aggregating at least 15 days because of an absence of a quorum with respect thereto, although less than a quorum as fixed in subsection (a),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222"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8"/>
          <w:szCs w:val="18"/>
          <w:i w:val="1"/>
          <w:iCs w:val="1"/>
          <w:color w:val="auto"/>
        </w:rPr>
        <w:t>Adjournments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right="400" w:firstLine="1293"/>
        <w:spacing w:after="0" w:line="282" w:lineRule="auto"/>
        <w:tabs>
          <w:tab w:leader="none" w:pos="18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202" w:lineRule="exact"/>
        <w:rPr>
          <w:rFonts w:ascii="Times New Roman" w:cs="Times New Roman" w:eastAsia="Times New Roman" w:hAnsi="Times New Roman"/>
          <w:sz w:val="18"/>
          <w:szCs w:val="18"/>
          <w:color w:val="auto"/>
        </w:rPr>
      </w:pPr>
    </w:p>
    <w:p>
      <w:pPr>
        <w:ind w:right="240" w:firstLine="1293"/>
        <w:spacing w:after="0" w:line="261" w:lineRule="auto"/>
        <w:tabs>
          <w:tab w:leader="none" w:pos="18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Quorum. Without limiting the generality of Section 2.06(c), if a meeting cannot be organized because a quorum has not attended, those shareholders present may, except as otherwise provided in the Pennsylvania BCL, adjourn the meeting to such time and place as they may determine. To the extent, as set forth in Section 2.05(a), that a quorum was not present with respect to consideration of and action on a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00"/>
          </w:cols>
          <w:pgMar w:left="420" w:top="1417" w:right="479" w:bottom="1440" w:gutter="0" w:footer="0" w:header="0"/>
        </w:sectPr>
      </w:pPr>
    </w:p>
    <w:bookmarkStart w:id="105" w:name="page106"/>
    <w:bookmarkEnd w:id="105"/>
    <w:p>
      <w:pPr>
        <w:spacing w:after="0" w:line="221" w:lineRule="exact"/>
        <w:rPr>
          <w:sz w:val="20"/>
          <w:szCs w:val="20"/>
          <w:color w:val="auto"/>
        </w:rPr>
      </w:pPr>
    </w:p>
    <w:p>
      <w:pPr>
        <w:jc w:val="both"/>
        <w:ind w:left="2" w:right="40"/>
        <w:spacing w:after="0" w:line="266" w:lineRule="auto"/>
        <w:rPr>
          <w:sz w:val="20"/>
          <w:szCs w:val="20"/>
          <w:color w:val="auto"/>
        </w:rPr>
      </w:pPr>
      <w:r>
        <w:rPr>
          <w:rFonts w:ascii="Times New Roman" w:cs="Times New Roman" w:eastAsia="Times New Roman" w:hAnsi="Times New Roman"/>
          <w:sz w:val="18"/>
          <w:szCs w:val="18"/>
          <w:color w:val="auto"/>
        </w:rPr>
        <w:t>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216" w:lineRule="exact"/>
        <w:rPr>
          <w:sz w:val="20"/>
          <w:szCs w:val="20"/>
          <w:color w:val="auto"/>
        </w:rPr>
      </w:pPr>
    </w:p>
    <w:p>
      <w:pPr>
        <w:ind w:left="2" w:right="40" w:firstLine="1293"/>
        <w:spacing w:after="0" w:line="261" w:lineRule="auto"/>
        <w:tabs>
          <w:tab w:leader="none" w:pos="18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218" w:lineRule="exact"/>
        <w:rPr>
          <w:sz w:val="20"/>
          <w:szCs w:val="20"/>
          <w:color w:val="auto"/>
        </w:rPr>
      </w:pPr>
    </w:p>
    <w:p>
      <w:pPr>
        <w:ind w:left="642"/>
        <w:spacing w:after="0"/>
        <w:tabs>
          <w:tab w:leader="none" w:pos="1702"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i w:val="1"/>
          <w:iCs w:val="1"/>
          <w:color w:val="auto"/>
        </w:rPr>
        <w:t>Voting List, Voting and Proxies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left="2" w:firstLine="1293"/>
        <w:spacing w:after="0" w:line="258" w:lineRule="auto"/>
        <w:tabs>
          <w:tab w:leader="none" w:pos="184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the Corporation shall not be required to produce the list at a meeting of shareholders for which a judge or judges of election are appointed but instead shall furnish the list to the judge or judges of election.</w:t>
      </w:r>
    </w:p>
    <w:p>
      <w:pPr>
        <w:spacing w:after="0" w:line="223" w:lineRule="exact"/>
        <w:rPr>
          <w:rFonts w:ascii="Times New Roman" w:cs="Times New Roman" w:eastAsia="Times New Roman" w:hAnsi="Times New Roman"/>
          <w:sz w:val="18"/>
          <w:szCs w:val="18"/>
          <w:color w:val="auto"/>
        </w:rPr>
      </w:pPr>
    </w:p>
    <w:p>
      <w:pPr>
        <w:ind w:left="1942" w:hanging="646"/>
        <w:spacing w:after="0"/>
        <w:tabs>
          <w:tab w:leader="none" w:pos="194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Voting. At the discretion of the presiding officer of a meeting of shareholders,</w:t>
      </w:r>
    </w:p>
    <w:p>
      <w:pPr>
        <w:spacing w:after="0" w:line="27" w:lineRule="exact"/>
        <w:rPr>
          <w:rFonts w:ascii="Times New Roman" w:cs="Times New Roman" w:eastAsia="Times New Roman" w:hAnsi="Times New Roman"/>
          <w:sz w:val="18"/>
          <w:szCs w:val="18"/>
          <w:color w:val="auto"/>
        </w:rPr>
      </w:pPr>
    </w:p>
    <w:p>
      <w:pPr>
        <w:jc w:val="both"/>
        <w:ind w:left="2" w:right="180" w:hanging="2"/>
        <w:spacing w:after="0" w:line="253" w:lineRule="auto"/>
        <w:tabs>
          <w:tab w:leader="none" w:pos="21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229" w:lineRule="exact"/>
        <w:rPr>
          <w:rFonts w:ascii="Times New Roman" w:cs="Times New Roman" w:eastAsia="Times New Roman" w:hAnsi="Times New Roman"/>
          <w:sz w:val="18"/>
          <w:szCs w:val="18"/>
          <w:color w:val="auto"/>
        </w:rPr>
      </w:pPr>
    </w:p>
    <w:p>
      <w:pPr>
        <w:ind w:left="2" w:right="60" w:firstLine="1293"/>
        <w:spacing w:after="0" w:line="271" w:lineRule="auto"/>
        <w:tabs>
          <w:tab w:leader="none" w:pos="1848"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200" w:lineRule="exact"/>
        <w:rPr>
          <w:rFonts w:ascii="Times New Roman" w:cs="Times New Roman" w:eastAsia="Times New Roman" w:hAnsi="Times New Roman"/>
          <w:sz w:val="17"/>
          <w:szCs w:val="17"/>
          <w:color w:val="auto"/>
        </w:rPr>
      </w:pPr>
    </w:p>
    <w:p>
      <w:pPr>
        <w:ind w:left="2" w:firstLine="1293"/>
        <w:spacing w:after="0" w:line="255" w:lineRule="auto"/>
        <w:tabs>
          <w:tab w:leader="none" w:pos="184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229" w:lineRule="exact"/>
        <w:rPr>
          <w:rFonts w:ascii="Times New Roman" w:cs="Times New Roman" w:eastAsia="Times New Roman" w:hAnsi="Times New Roman"/>
          <w:sz w:val="18"/>
          <w:szCs w:val="18"/>
          <w:color w:val="auto"/>
        </w:rPr>
      </w:pPr>
    </w:p>
    <w:p>
      <w:pPr>
        <w:ind w:left="2" w:right="840" w:firstLine="1293"/>
        <w:spacing w:after="0" w:line="282" w:lineRule="auto"/>
        <w:tabs>
          <w:tab w:leader="none" w:pos="18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200" w:lineRule="exact"/>
        <w:rPr>
          <w:sz w:val="20"/>
          <w:szCs w:val="20"/>
          <w:color w:val="auto"/>
        </w:rPr>
      </w:pPr>
    </w:p>
    <w:p>
      <w:pPr>
        <w:spacing w:after="0" w:line="349"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82"/>
          </w:cols>
          <w:pgMar w:left="418" w:top="1440" w:right="499" w:bottom="1440" w:gutter="0" w:footer="0" w:header="0"/>
        </w:sectPr>
      </w:pPr>
    </w:p>
    <w:bookmarkStart w:id="106" w:name="page107"/>
    <w:bookmarkEnd w:id="106"/>
    <w:p>
      <w:pPr>
        <w:ind w:right="200" w:firstLine="647"/>
        <w:spacing w:after="0" w:line="25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Participation in Meetings by Electronic Means</w:t>
      </w:r>
      <w:r>
        <w:rPr>
          <w:rFonts w:ascii="Times New Roman" w:cs="Times New Roman" w:eastAsia="Times New Roman" w:hAnsi="Times New Roman"/>
          <w:sz w:val="18"/>
          <w:szCs w:val="18"/>
          <w:color w:val="auto"/>
        </w:rPr>
        <w:t xml:space="preserve">. The Board of Directors may permit, by resolution with respect to a </w:t>
      </w:r>
      <w:r>
        <w:rPr>
          <w:rFonts w:ascii="Times New Roman" w:cs="Times New Roman" w:eastAsia="Times New Roman" w:hAnsi="Times New Roman"/>
          <w:sz w:val="18"/>
          <w:szCs w:val="18"/>
          <w:i w:val="1"/>
          <w:iCs w:val="1"/>
          <w:color w:val="auto"/>
        </w:rPr>
        <w:t>particular</w:t>
      </w:r>
      <w:r>
        <w:rPr>
          <w:rFonts w:ascii="Times New Roman" w:cs="Times New Roman" w:eastAsia="Times New Roman" w:hAnsi="Times New Roman"/>
          <w:sz w:val="18"/>
          <w:szCs w:val="18"/>
          <w:color w:val="auto"/>
        </w:rPr>
        <w:t xml:space="preserve">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223"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i w:val="1"/>
          <w:iCs w:val="1"/>
          <w:color w:val="auto"/>
        </w:rPr>
        <w:t>Notice of Shareholder Nominations and Other Business at Meetings of Shareholders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left="1940" w:hanging="646"/>
        <w:spacing w:after="0"/>
        <w:tabs>
          <w:tab w:leader="none" w:pos="19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Meeting.</w:t>
      </w:r>
    </w:p>
    <w:p>
      <w:pPr>
        <w:spacing w:after="0" w:line="265" w:lineRule="exact"/>
        <w:rPr>
          <w:rFonts w:ascii="Times New Roman" w:cs="Times New Roman" w:eastAsia="Times New Roman" w:hAnsi="Times New Roman"/>
          <w:sz w:val="18"/>
          <w:szCs w:val="18"/>
          <w:color w:val="auto"/>
        </w:rPr>
      </w:pPr>
    </w:p>
    <w:p>
      <w:pPr>
        <w:ind w:left="640" w:right="200" w:firstLine="1302"/>
        <w:spacing w:after="0" w:line="261" w:lineRule="auto"/>
        <w:tabs>
          <w:tab w:leader="none" w:pos="248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business other than nominations, may be brought before any annual meeting of the shareholders only:</w:t>
      </w:r>
    </w:p>
    <w:p>
      <w:pPr>
        <w:ind w:left="640" w:right="20" w:firstLine="6"/>
        <w:spacing w:after="0" w:line="251" w:lineRule="auto"/>
        <w:tabs>
          <w:tab w:leader="none" w:pos="9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shall have been specified in the written notice of the meeting (or any supplement thereto) given by the Corporation; or (B) by or at the direction of the Board of Directors; or (C) by the presiding officer of the meeting unless a majority of the Directors then in office object to such business being conducted at the meeting; or (D) if it shall have been specified in a written notice delivered to the Secretary of the Corporation (the “</w:t>
      </w:r>
      <w:r>
        <w:rPr>
          <w:rFonts w:ascii="Times New Roman" w:cs="Times New Roman" w:eastAsia="Times New Roman" w:hAnsi="Times New Roman"/>
          <w:sz w:val="18"/>
          <w:szCs w:val="18"/>
          <w:b w:val="1"/>
          <w:bCs w:val="1"/>
          <w:color w:val="auto"/>
        </w:rPr>
        <w:t>Shareholder Notice</w:t>
      </w:r>
      <w:r>
        <w:rPr>
          <w:rFonts w:ascii="Times New Roman" w:cs="Times New Roman" w:eastAsia="Times New Roman" w:hAnsi="Times New Roman"/>
          <w:sz w:val="18"/>
          <w:szCs w:val="18"/>
          <w:color w:val="auto"/>
        </w:rPr>
        <w:t>”) by or on behalf of any shareholder who shall have been a shareholder of record at the time the Shareholder Notice is delivered to the Secretary and on the record date for determination of shareholders entitled to vote at such meeting and who shall continue to be entitled to vote thereat on the date of the meeting, and who complies with the notice procedures and other requirements set forth in this Section 2.09; or (E) by way of proxy access in accordance with Section 3.11. For the avoidance of doubt, clauses (D) and (E) of this Section 2.09(a)(i) shall be the exclusive means for a shareholder to make Director nominations and clause (D) of this Section 2.09(a)(i) shall be the exclusive means for a shareholder to propose other business (other than a proposal included in the Corporation’s proxy statement pursuant to and in compliance with Rule 14a-8 promulgated under the Securities Exchange Act of 1934, as amended, or any successor provision thereto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at an annual meeting of shareholders.</w:t>
      </w:r>
    </w:p>
    <w:p>
      <w:pPr>
        <w:spacing w:after="0" w:line="232" w:lineRule="exact"/>
        <w:rPr>
          <w:rFonts w:ascii="Times New Roman" w:cs="Times New Roman" w:eastAsia="Times New Roman" w:hAnsi="Times New Roman"/>
          <w:sz w:val="18"/>
          <w:szCs w:val="18"/>
          <w:color w:val="auto"/>
        </w:rPr>
      </w:pPr>
    </w:p>
    <w:p>
      <w:pPr>
        <w:ind w:left="640" w:firstLine="1302"/>
        <w:spacing w:after="0" w:line="252" w:lineRule="auto"/>
        <w:tabs>
          <w:tab w:leader="none" w:pos="2493"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by a shareholder pursuant to clause (D) of Section 2.09(a)(i), the shareholder must have given a timely Shareholder Notice and, in the case of business other than nominations, such business must be a proper subject for shareholder action. To be timely, each Shareholder Notice must be delivered to and received (and include all information required by these Bylaws) by the Secretary of the Corporation at the principal executive offices of the Corporation: (A) in the case of an annual meeting that is called for a date that is within 30 days before or after the anniversary date of the immediately preceding annual meeting of shareholders, by the “</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(as defined in Section 2.09(d)(ii)) not less than 90 days, and not more than 120 days, prior to such anniversary date; and (B) in the case of an annual meeting that is called for a date that is not within 30 days before or after the anniversary date of the immediately preceding annual meeting (or if no annual meeting was held in the preceding year), not later than the Close of Business on the 10th day following the day on which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(as defined in Section 2.09(d)(ii)) of the date of the meeting is first made by the Corporation. In no event shall the recess, adjournment or postponement of an annual meeting, or the Public Announcement thereof, commence a new time period (or extend any time period) for the giving of a Shareholder Notice, and a shareholder shall not be entitled to make additional or substitute nominations following the expiration of the time periods set forth in this Section 2.09(a). The number of nominees a shareholder may nominate for election at the annual meeting (or in the case of a shareholder giving the Shareholder Notice on behalf of a beneficial owner, the number of nominees a shareholder may nominate for election at the annual meeting on behalf of the beneficial owner) shall not exceed the number of Directors to be elected at such annual meeting.</w:t>
      </w:r>
    </w:p>
    <w:p>
      <w:pPr>
        <w:spacing w:after="0" w:line="236" w:lineRule="exact"/>
        <w:rPr>
          <w:rFonts w:ascii="Times New Roman" w:cs="Times New Roman" w:eastAsia="Times New Roman" w:hAnsi="Times New Roman"/>
          <w:sz w:val="18"/>
          <w:szCs w:val="18"/>
          <w:color w:val="auto"/>
        </w:rPr>
      </w:pPr>
    </w:p>
    <w:p>
      <w:pPr>
        <w:ind w:left="2580" w:hanging="638"/>
        <w:spacing w:after="0"/>
        <w:tabs>
          <w:tab w:leader="none" w:pos="258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Shareholder Notice must set forth:</w:t>
      </w:r>
    </w:p>
    <w:p>
      <w:pPr>
        <w:spacing w:after="0" w:line="252" w:lineRule="exact"/>
        <w:rPr>
          <w:sz w:val="20"/>
          <w:szCs w:val="20"/>
          <w:color w:val="auto"/>
        </w:rPr>
      </w:pPr>
    </w:p>
    <w:p>
      <w:pPr>
        <w:ind w:left="1300" w:right="260" w:firstLine="1290"/>
        <w:spacing w:after="0" w:line="282" w:lineRule="auto"/>
        <w:tabs>
          <w:tab w:leader="none" w:pos="31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shareholder proposes to nominate for election or re-election as a Director: (1) all information relating to such person that is required to</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00"/>
          </w:cols>
          <w:pgMar w:left="420" w:top="1415" w:right="479" w:bottom="1440" w:gutter="0" w:footer="0" w:header="0"/>
        </w:sectPr>
      </w:pPr>
    </w:p>
    <w:bookmarkStart w:id="107" w:name="page108"/>
    <w:bookmarkEnd w:id="107"/>
    <w:p>
      <w:pPr>
        <w:spacing w:after="0" w:line="200" w:lineRule="exact"/>
        <w:rPr>
          <w:sz w:val="20"/>
          <w:szCs w:val="20"/>
          <w:color w:val="auto"/>
        </w:rPr>
      </w:pPr>
    </w:p>
    <w:p>
      <w:pPr>
        <w:spacing w:after="0" w:line="264" w:lineRule="exact"/>
        <w:rPr>
          <w:sz w:val="20"/>
          <w:szCs w:val="20"/>
          <w:color w:val="auto"/>
        </w:rPr>
      </w:pPr>
    </w:p>
    <w:p>
      <w:pPr>
        <w:jc w:val="both"/>
        <w:ind w:left="280" w:right="60"/>
        <w:spacing w:after="0" w:line="266" w:lineRule="auto"/>
        <w:rPr>
          <w:sz w:val="20"/>
          <w:szCs w:val="20"/>
          <w:color w:val="auto"/>
        </w:rPr>
      </w:pPr>
      <w:r>
        <w:rPr>
          <w:rFonts w:ascii="Times New Roman" w:cs="Times New Roman" w:eastAsia="Times New Roman" w:hAnsi="Times New Roman"/>
          <w:sz w:val="18"/>
          <w:szCs w:val="18"/>
          <w:color w:val="auto"/>
        </w:rPr>
        <w:t>be disclosed in solicitations of proxies for election of directors in an election contest, or is otherwise required, in each case pursuant to and in accordance with Regulation 14A under the Exchange Act; and (2) the information required to be submitted pursuant to Section 3.10, including all fully completed and signed Questionnaires described in Section 3.10(a)(ii);</w:t>
      </w:r>
    </w:p>
    <w:p>
      <w:pPr>
        <w:spacing w:after="0" w:line="216" w:lineRule="exact"/>
        <w:rPr>
          <w:sz w:val="20"/>
          <w:szCs w:val="20"/>
          <w:color w:val="auto"/>
        </w:rPr>
      </w:pPr>
    </w:p>
    <w:p>
      <w:pPr>
        <w:ind w:left="280" w:right="120" w:firstLine="1290"/>
        <w:spacing w:after="0" w:line="272" w:lineRule="auto"/>
        <w:tabs>
          <w:tab w:leader="none" w:pos="212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 description of any substantial interest (within the meaning of Item 5 of Schedule 14A under the Exchange Act) in such business of such shareholder and the Shareholder Associated Person (as defined in Section 2.09(d)(i)), if any, on whose behalf the proposal is made and all other information relating to such proposed business that would be required to be disclosed in a proxy statement or other filing required to be made by the shareholder in connection with the solicitation of proxies in support of such proposed business pursuant to Regulation 14A under the Exchange Act;</w:t>
      </w:r>
    </w:p>
    <w:p>
      <w:pPr>
        <w:spacing w:after="0" w:line="198" w:lineRule="exact"/>
        <w:rPr>
          <w:rFonts w:ascii="Times New Roman" w:cs="Times New Roman" w:eastAsia="Times New Roman" w:hAnsi="Times New Roman"/>
          <w:sz w:val="17"/>
          <w:szCs w:val="17"/>
          <w:color w:val="auto"/>
        </w:rPr>
      </w:pPr>
    </w:p>
    <w:p>
      <w:pPr>
        <w:ind w:left="280" w:right="60" w:firstLine="1290"/>
        <w:spacing w:after="0" w:line="282" w:lineRule="auto"/>
        <w:tabs>
          <w:tab w:leader="none" w:pos="21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shareholder giving the Shareholder Notice and the Shareholder Associated Person, if any, on whose behalf the nomination is made or the other business is proposed:</w:t>
      </w:r>
    </w:p>
    <w:p>
      <w:pPr>
        <w:spacing w:after="0" w:line="202" w:lineRule="exact"/>
        <w:rPr>
          <w:rFonts w:ascii="Times New Roman" w:cs="Times New Roman" w:eastAsia="Times New Roman" w:hAnsi="Times New Roman"/>
          <w:sz w:val="18"/>
          <w:szCs w:val="18"/>
          <w:color w:val="auto"/>
        </w:rPr>
      </w:pPr>
    </w:p>
    <w:p>
      <w:pPr>
        <w:ind w:left="920" w:right="520" w:firstLine="1298"/>
        <w:spacing w:after="0" w:line="282" w:lineRule="auto"/>
        <w:tabs>
          <w:tab w:leader="none" w:pos="276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shareholder, as they appear on the Corporation’s books, and the name and address of any Shareholder Associated Person;</w:t>
      </w:r>
    </w:p>
    <w:p>
      <w:pPr>
        <w:spacing w:after="0" w:line="202" w:lineRule="exact"/>
        <w:rPr>
          <w:rFonts w:ascii="Times New Roman" w:cs="Times New Roman" w:eastAsia="Times New Roman" w:hAnsi="Times New Roman"/>
          <w:sz w:val="18"/>
          <w:szCs w:val="18"/>
          <w:color w:val="auto"/>
        </w:rPr>
      </w:pPr>
    </w:p>
    <w:p>
      <w:pPr>
        <w:ind w:left="920" w:right="180" w:firstLine="1298"/>
        <w:spacing w:after="0" w:line="266" w:lineRule="auto"/>
        <w:tabs>
          <w:tab w:leader="none" w:pos="276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which are owned of record by such shareholder or any Shareholder Associated Person as of the date of the Shareholder Notice, the dates such shares of stock of the Corporation were acquired and the investment intent at the time of such acquisition;</w:t>
      </w:r>
    </w:p>
    <w:p>
      <w:pPr>
        <w:spacing w:after="0" w:line="212" w:lineRule="exact"/>
        <w:rPr>
          <w:rFonts w:ascii="Times New Roman" w:cs="Times New Roman" w:eastAsia="Times New Roman" w:hAnsi="Times New Roman"/>
          <w:sz w:val="18"/>
          <w:szCs w:val="18"/>
          <w:color w:val="auto"/>
        </w:rPr>
      </w:pPr>
    </w:p>
    <w:p>
      <w:pPr>
        <w:ind w:left="920" w:right="560" w:firstLine="1298"/>
        <w:spacing w:after="0" w:line="268" w:lineRule="auto"/>
        <w:tabs>
          <w:tab w:leader="none" w:pos="276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shareholder (or a “</w:t>
      </w:r>
      <w:r>
        <w:rPr>
          <w:rFonts w:ascii="Times New Roman" w:cs="Times New Roman" w:eastAsia="Times New Roman" w:hAnsi="Times New Roman"/>
          <w:sz w:val="18"/>
          <w:szCs w:val="18"/>
          <w:b w:val="1"/>
          <w:bCs w:val="1"/>
          <w:color w:val="auto"/>
        </w:rPr>
        <w:t>Qualified Representative</w:t>
      </w:r>
      <w:r>
        <w:rPr>
          <w:rFonts w:ascii="Times New Roman" w:cs="Times New Roman" w:eastAsia="Times New Roman" w:hAnsi="Times New Roman"/>
          <w:sz w:val="18"/>
          <w:szCs w:val="18"/>
          <w:color w:val="auto"/>
        </w:rPr>
        <w:t>” thereof, as defined in Section 2.09(d)(iv)) intends to appear at the meeting to make the nomination or bring the business specified in the Shareholder Notice before the meeting;</w:t>
      </w:r>
    </w:p>
    <w:p>
      <w:pPr>
        <w:spacing w:after="0" w:line="197" w:lineRule="exact"/>
        <w:rPr>
          <w:rFonts w:ascii="Times New Roman" w:cs="Times New Roman" w:eastAsia="Times New Roman" w:hAnsi="Times New Roman"/>
          <w:sz w:val="18"/>
          <w:szCs w:val="18"/>
          <w:color w:val="auto"/>
        </w:rPr>
      </w:pPr>
    </w:p>
    <w:p>
      <w:pPr>
        <w:ind w:left="920" w:right="220" w:firstLine="1298"/>
        <w:spacing w:after="0" w:line="268" w:lineRule="auto"/>
        <w:tabs>
          <w:tab w:leader="none" w:pos="276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which are “</w:t>
      </w:r>
      <w:r>
        <w:rPr>
          <w:rFonts w:ascii="Times New Roman" w:cs="Times New Roman" w:eastAsia="Times New Roman" w:hAnsi="Times New Roman"/>
          <w:sz w:val="18"/>
          <w:szCs w:val="18"/>
          <w:b w:val="1"/>
          <w:bCs w:val="1"/>
          <w:color w:val="auto"/>
        </w:rPr>
        <w:t>Beneficially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Owned</w:t>
      </w:r>
      <w:r>
        <w:rPr>
          <w:rFonts w:ascii="Times New Roman" w:cs="Times New Roman" w:eastAsia="Times New Roman" w:hAnsi="Times New Roman"/>
          <w:sz w:val="18"/>
          <w:szCs w:val="18"/>
          <w:color w:val="auto"/>
        </w:rPr>
        <w:t>” (as defined in Section 2.09(d)(iii)) by such shareholder or any Shareholder Associated Person as of the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 Notice;</w:t>
      </w:r>
    </w:p>
    <w:p>
      <w:pPr>
        <w:spacing w:after="0" w:line="215" w:lineRule="exact"/>
        <w:rPr>
          <w:rFonts w:ascii="Times New Roman" w:cs="Times New Roman" w:eastAsia="Times New Roman" w:hAnsi="Times New Roman"/>
          <w:sz w:val="18"/>
          <w:szCs w:val="18"/>
          <w:color w:val="auto"/>
        </w:rPr>
      </w:pPr>
    </w:p>
    <w:p>
      <w:pPr>
        <w:ind w:left="920" w:firstLine="1298"/>
        <w:spacing w:after="0" w:line="255" w:lineRule="auto"/>
        <w:tabs>
          <w:tab w:leader="none" w:pos="276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of any (x) purpose, plan or proposal which such shareholder or Shareholder Associated Person may have which relate to or would result in any action or matter that would be required to be disclosed pursuant to Item 4 of Exchange Act Schedule 13D (regardless of whether the requirement to file a Schedule 13D is applicable) and (y) any agreement, arrangement or understanding with respect to the nomination or other business between or among such shareholder or any Shareholder Associated Person and any other person (naming such person or persons), including, without limitation, any agreements that would be required to be disclosed pursuant to Item 5 or Item 6 of Exchange Act Schedule 13D (regardless of whether the requirement to file a Schedule 13D is applicable);</w:t>
      </w:r>
    </w:p>
    <w:p>
      <w:pPr>
        <w:spacing w:after="0" w:line="229" w:lineRule="exact"/>
        <w:rPr>
          <w:rFonts w:ascii="Times New Roman" w:cs="Times New Roman" w:eastAsia="Times New Roman" w:hAnsi="Times New Roman"/>
          <w:sz w:val="18"/>
          <w:szCs w:val="18"/>
          <w:color w:val="auto"/>
        </w:rPr>
      </w:pPr>
    </w:p>
    <w:p>
      <w:pPr>
        <w:ind w:left="920" w:right="840" w:firstLine="1298"/>
        <w:spacing w:after="0" w:line="282" w:lineRule="auto"/>
        <w:tabs>
          <w:tab w:leader="none" w:pos="276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(which description shall include, in addition to all other information, information identifying all parties thereto)</w:t>
      </w:r>
    </w:p>
    <w:p>
      <w:pPr>
        <w:spacing w:after="0" w:line="200" w:lineRule="exact"/>
        <w:rPr>
          <w:sz w:val="20"/>
          <w:szCs w:val="20"/>
          <w:color w:val="auto"/>
        </w:rPr>
      </w:pPr>
    </w:p>
    <w:p>
      <w:pPr>
        <w:spacing w:after="0" w:line="34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000"/>
          </w:cols>
          <w:pgMar w:left="1440" w:top="1440" w:right="459" w:bottom="1440" w:gutter="0" w:footer="0" w:header="0"/>
        </w:sectPr>
      </w:pPr>
    </w:p>
    <w:bookmarkStart w:id="108" w:name="page109"/>
    <w:bookmarkEnd w:id="108"/>
    <w:p>
      <w:pPr>
        <w:ind w:left="1300" w:right="60"/>
        <w:spacing w:after="0" w:line="262" w:lineRule="auto"/>
        <w:rPr>
          <w:sz w:val="20"/>
          <w:szCs w:val="20"/>
          <w:color w:val="auto"/>
        </w:rPr>
      </w:pPr>
      <w:r>
        <w:rPr>
          <w:rFonts w:ascii="Times New Roman" w:cs="Times New Roman" w:eastAsia="Times New Roman" w:hAnsi="Times New Roman"/>
          <w:sz w:val="18"/>
          <w:szCs w:val="18"/>
          <w:color w:val="auto"/>
        </w:rPr>
        <w:t>of any “</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(as defined in Section 2.09(d)(v)), all of which Derivative Instruments shall be disclosed without regard to whether (x) any such Derivative Instrument is required to be, or is capable of being, settled through delivery of shares of any class or series of capital stock of the Corporation or (y) such shareholder or Shareholder Associated Person may have entered into other transactions that hedge or mitigate the economic effect of such Derivative Instrument;</w:t>
      </w:r>
    </w:p>
    <w:p>
      <w:pPr>
        <w:spacing w:after="0" w:line="221" w:lineRule="exact"/>
        <w:rPr>
          <w:sz w:val="20"/>
          <w:szCs w:val="20"/>
          <w:color w:val="auto"/>
        </w:rPr>
      </w:pPr>
    </w:p>
    <w:p>
      <w:pPr>
        <w:ind w:left="1300" w:firstLine="1380"/>
        <w:spacing w:after="0" w:line="253" w:lineRule="auto"/>
        <w:tabs>
          <w:tab w:leader="none" w:pos="314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shareholder or any Shareholder Associated Person or any other participant (as defined in Item 4 of Schedule 14A under the Exchange Act) will engage in a solicitation within the meaning of Rule 14a-1(l) under the Exchange Act (without reference to the exception in Section 14a- 1(l)(2)(iv)) with respect to the nomination or other business and, if so, whether or not such solicitation will be conducted as an exempt solicitation under Rule 14a-2(b) of the Exchange Act, the name of each participant in such solicitation, and (x) in the case of a proposal of business other than nominations, a representation as to whether such person or group intends to deliver, through means satisfying each of the conditions that would be applicable to the Corporation under either Exchange Act Rule 14a-16(a) or Exchange Act Rule 14a-16(n) a proxy statement and form of proxy to holders of at least the percentage of the Corporation’s voting shares required under applicable law to carry the proposal and/or (y) in the case of any solicitation that is subject to Rule 14a-19 of the Exchange Act, confirming that such person or group will engage in such solicitation in accordance with Rule 14a-19 under the Exchange Act;</w:t>
      </w:r>
    </w:p>
    <w:p>
      <w:pPr>
        <w:spacing w:after="0" w:line="232" w:lineRule="exact"/>
        <w:rPr>
          <w:rFonts w:ascii="Times New Roman" w:cs="Times New Roman" w:eastAsia="Times New Roman" w:hAnsi="Times New Roman"/>
          <w:sz w:val="18"/>
          <w:szCs w:val="18"/>
          <w:color w:val="auto"/>
        </w:rPr>
      </w:pPr>
    </w:p>
    <w:p>
      <w:pPr>
        <w:ind w:left="1300" w:right="120" w:firstLine="1380"/>
        <w:spacing w:after="0" w:line="266" w:lineRule="auto"/>
        <w:tabs>
          <w:tab w:leader="none" w:pos="314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such shareholder or any Shareholder Associated Person is directly or indirectly entitled to based on any increase or decrease in the value of shares of the Corporation or in Derivative Instruments, if any; and</w:t>
      </w:r>
    </w:p>
    <w:p>
      <w:pPr>
        <w:spacing w:after="0" w:line="202" w:lineRule="exact"/>
        <w:rPr>
          <w:rFonts w:ascii="Times New Roman" w:cs="Times New Roman" w:eastAsia="Times New Roman" w:hAnsi="Times New Roman"/>
          <w:sz w:val="18"/>
          <w:szCs w:val="18"/>
          <w:color w:val="auto"/>
        </w:rPr>
      </w:pPr>
    </w:p>
    <w:p>
      <w:pPr>
        <w:ind w:left="1300" w:right="300" w:firstLine="1380"/>
        <w:spacing w:after="0" w:line="266" w:lineRule="auto"/>
        <w:tabs>
          <w:tab w:leader="none" w:pos="314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interests or Derivative Instruments in any principal competitor of the Corporation (as defined for the purposes of Section 8 of the Clayton Antitrust Act of 1914, as amended) held by or on behalf of such shareholder or Shareholder Associated Person;</w:t>
      </w:r>
    </w:p>
    <w:p>
      <w:pPr>
        <w:spacing w:after="0" w:line="216" w:lineRule="exact"/>
        <w:rPr>
          <w:rFonts w:ascii="Times New Roman" w:cs="Times New Roman" w:eastAsia="Times New Roman" w:hAnsi="Times New Roman"/>
          <w:sz w:val="18"/>
          <w:szCs w:val="18"/>
          <w:color w:val="auto"/>
        </w:rPr>
      </w:pPr>
    </w:p>
    <w:p>
      <w:pPr>
        <w:ind w:left="660" w:right="60" w:firstLine="1290"/>
        <w:spacing w:after="0" w:line="256" w:lineRule="auto"/>
        <w:tabs>
          <w:tab w:leader="none" w:pos="250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immediately after soliciting the percentage of holders referred to in the representation required under Section 2.09(a)(iii)(C)(7) of these Bylaws, and in any event no later than the 10th day before the applicable meeting of shareholders, such shareholder will provide the Corporation with documents, which may take the form of a statement and documentation from a proxy solicitor, confirming that the necessary steps have been taken to deliver a proxy statement and form of proxy to holders of the percentage of the voting power of the Corporation’s stock entitled to vote generally in the election of Directors in accordance with Rule 14a-19 under the Exchange Act;</w:t>
      </w:r>
    </w:p>
    <w:p>
      <w:pPr>
        <w:spacing w:after="0" w:line="227" w:lineRule="exact"/>
        <w:rPr>
          <w:rFonts w:ascii="Times New Roman" w:cs="Times New Roman" w:eastAsia="Times New Roman" w:hAnsi="Times New Roman"/>
          <w:sz w:val="18"/>
          <w:szCs w:val="18"/>
          <w:color w:val="auto"/>
        </w:rPr>
      </w:pPr>
    </w:p>
    <w:p>
      <w:pPr>
        <w:ind w:left="660" w:right="140" w:firstLine="1290"/>
        <w:spacing w:after="0" w:line="261" w:lineRule="auto"/>
        <w:tabs>
          <w:tab w:leader="none" w:pos="251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shareholder giving the Shareholder Notice or any Shareholder Associated Person, or to each person whom the shareholder proposes to nominate for election or re-election as a Director, that would be required to be disclosed in a proxy statement or other filing required to be made in connection with the solicitation of proxies in support of such nominee pursuant to Section 14 of the Exchange Act; and</w:t>
      </w:r>
    </w:p>
    <w:p>
      <w:pPr>
        <w:spacing w:after="0" w:line="206" w:lineRule="exact"/>
        <w:rPr>
          <w:rFonts w:ascii="Times New Roman" w:cs="Times New Roman" w:eastAsia="Times New Roman" w:hAnsi="Times New Roman"/>
          <w:sz w:val="18"/>
          <w:szCs w:val="18"/>
          <w:color w:val="auto"/>
        </w:rPr>
      </w:pPr>
    </w:p>
    <w:p>
      <w:pPr>
        <w:ind w:left="660" w:right="600" w:firstLine="1290"/>
        <w:spacing w:after="0" w:line="312" w:lineRule="auto"/>
        <w:tabs>
          <w:tab w:leader="none" w:pos="2513"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information relating to the proposed nomination or other business as the Corporation may reasonably require to determine whether the nomination or other business proposed is a proper matter for shareholder action.</w:t>
      </w:r>
    </w:p>
    <w:p>
      <w:pPr>
        <w:spacing w:after="0" w:line="180" w:lineRule="exact"/>
        <w:rPr>
          <w:rFonts w:ascii="Times New Roman" w:cs="Times New Roman" w:eastAsia="Times New Roman" w:hAnsi="Times New Roman"/>
          <w:sz w:val="17"/>
          <w:szCs w:val="17"/>
          <w:color w:val="auto"/>
        </w:rPr>
      </w:pPr>
    </w:p>
    <w:p>
      <w:pPr>
        <w:ind w:right="60" w:firstLine="1302"/>
        <w:spacing w:after="0" w:line="266" w:lineRule="auto"/>
        <w:tabs>
          <w:tab w:leader="none" w:pos="185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be considered timely, a Shareholder Notice shall further be updated and supplemented, if necessary, so that the information provided or required to be provided in such notice shall be true and correct as of the record date for the meeting and as of the date that is 10 days prior to the meeting or any adjournment or postponement thereof, and such update and supplement shall be</w:t>
      </w:r>
    </w:p>
    <w:p>
      <w:pPr>
        <w:spacing w:after="0" w:line="200" w:lineRule="exact"/>
        <w:rPr>
          <w:sz w:val="20"/>
          <w:szCs w:val="20"/>
          <w:color w:val="auto"/>
        </w:rPr>
      </w:pPr>
    </w:p>
    <w:p>
      <w:pPr>
        <w:spacing w:after="0" w:line="36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360"/>
          </w:cols>
          <w:pgMar w:left="1060" w:top="1359" w:right="479" w:bottom="1440" w:gutter="0" w:footer="0" w:header="0"/>
        </w:sectPr>
      </w:pPr>
    </w:p>
    <w:bookmarkStart w:id="109" w:name="page110"/>
    <w:bookmarkEnd w:id="109"/>
    <w:p>
      <w:pPr>
        <w:ind w:left="642" w:right="120"/>
        <w:spacing w:after="0" w:line="254" w:lineRule="auto"/>
        <w:rPr>
          <w:sz w:val="20"/>
          <w:szCs w:val="20"/>
          <w:color w:val="auto"/>
        </w:rPr>
      </w:pPr>
      <w:r>
        <w:rPr>
          <w:rFonts w:ascii="Times New Roman" w:cs="Times New Roman" w:eastAsia="Times New Roman" w:hAnsi="Times New Roman"/>
          <w:sz w:val="18"/>
          <w:szCs w:val="18"/>
          <w:color w:val="auto"/>
        </w:rPr>
        <w:t>delivered to the Secretary of the Corporation at the principal executive offices of the Corporation not later than five days after the record date for the meeting in the case of the update and supplement required to be made as of the record date, and not later than eight days prior to the date for the meeting or any adjournment or postponement thereof in the case of the update and supplement required to be made as of 10 days prior to the meeting or any adjournment or postponement thereof. For the avoidance of doubt, the obligation to update and supplement as set forth in this Section 2.09(a)(iv) or any other Section of these Bylaws shall not limit the Corporation’s rights with respect to any deficiencies in any Shareholder Notice, extend any applicable deadlines under these Bylaws or enable or be deemed to permit a shareholder who has previously submitted a Shareholder Notice under these Bylaws to amend or update any proposal or to submit any new proposal, including by changing or adding nominees, matters, business and/or resolutions proposed to be brought before a meeting of shareholders.</w:t>
      </w:r>
    </w:p>
    <w:p>
      <w:pPr>
        <w:spacing w:after="0" w:line="232" w:lineRule="exact"/>
        <w:rPr>
          <w:sz w:val="20"/>
          <w:szCs w:val="20"/>
          <w:color w:val="auto"/>
        </w:rPr>
      </w:pPr>
    </w:p>
    <w:p>
      <w:pPr>
        <w:ind w:left="2" w:right="140" w:firstLine="1293"/>
        <w:spacing w:after="0" w:line="276" w:lineRule="auto"/>
        <w:tabs>
          <w:tab w:leader="none" w:pos="1844"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Meeting. Nominations of persons for election to the Board of Directors may be made at a special meeting of shareholders at which Directors are to be elected pursuant to the Corporation’s notice of meeting: (i) by or at the direction of the Board of Directors; or</w:t>
      </w:r>
    </w:p>
    <w:p>
      <w:pPr>
        <w:ind w:left="2" w:right="80" w:hanging="2"/>
        <w:spacing w:after="0" w:line="251" w:lineRule="auto"/>
        <w:tabs>
          <w:tab w:leader="none" w:pos="2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Board of Directors has determined that one or more Directors are to be elected at such meeting, by or on behalf of any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shall have been a shareholder of record at the time the Shareholder Notice is delivered to the Secretary and on the record date for such meeting, and who shall continue to be entitled to vote thereat on the date of the meeting, and who complies with the notice procedures and other requirements set forth in this Section 2.09(b). To be timely, the Shareholder Notice required by this Section 2.09(b) must comply with the notice procedures and information requirements set forth in Section 2.09(a)(iii) and (iv), and must be delivered to the Secretary of the Corporation at the principal executive offices of the Corporation by the Close of Business not more than 120 days prior to such special meeting and not later than the Close of Business on the later of 90 days prior to such special meeting or the 10th day following the day on which Public Announcement of the date of the special meeting and of the nominees proposed by the Board of Directors to be elected at such meeting is first made by the Corporation. Subject to compliance with the notice procedures and other requirements set forth in this Section 2.09(b), the number of nominees a shareholder may nominate for election at the special meeting (or in the case of a shareholder giving the notice on behalf of a beneficial owner, the number of nominees a shareholder may nominate for election at the special meeting on behalf of such beneficial owner) shall not exceed the number of Directors to be elected at such special meeting. In no event shall the recess, adjournment or postponement of a special meeting, or the Public Announcement thereof, commence a new time period (or extend any time period) for the giving of a Shareholder Notice, and a shareholder shall not be entitled to make additional or substitute nominations following the expiration of the time periods set forth in this Section 2.09(b).</w:t>
      </w:r>
    </w:p>
    <w:p>
      <w:pPr>
        <w:spacing w:after="0" w:line="231" w:lineRule="exact"/>
        <w:rPr>
          <w:rFonts w:ascii="Times New Roman" w:cs="Times New Roman" w:eastAsia="Times New Roman" w:hAnsi="Times New Roman"/>
          <w:sz w:val="18"/>
          <w:szCs w:val="18"/>
          <w:color w:val="auto"/>
        </w:rPr>
      </w:pPr>
    </w:p>
    <w:p>
      <w:pPr>
        <w:ind w:left="2" w:firstLine="1293"/>
        <w:spacing w:after="0" w:line="268" w:lineRule="auto"/>
        <w:tabs>
          <w:tab w:leader="none" w:pos="1848"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Except as otherwise required by law, only such persons who are nominated in accordance with the procedures set forth in this Section 2.09 or, with respect to annual meetings only, Section 3.11, shall be eligible to be elected at any meeting of shareholders to serve as Directors and only such other business as shall have been brought before the meeting in accordance with the procedures set forth in this Section 2.09 shall be conducted at a meeting of shareholders. Notwithstanding any other provision of these Bylaws, a shareholder (and any Shareholder Associated Person), shall also comply with all applicable requirements of the Exchange Act and the rules and regulations thereunder with respect to the matters set forth in this Section 2.09, and any failure to comply therewith shall be deemed a failure to comply with this Section 2.09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references in these Bylaws to the Exchange Act or the rules and regulations promulgated thereunder are not intended to and shall not limit any requirements applicable to nominations or proposals as to any other business to be considered pursuant to this Section 2.09). Except as otherwise provided by applicable law, each of the Board of Directors, a committee of the Board of Directors, any officer designated by the Board of Directors or a committee of the Board of Directors, or the presiding officer of the meeting shall have the power to determine whether a nomination or any other business proposed to be brought before the meeting was made or proposed, as the case may be, in accordance with the procedures set forth in these Bylaws, including, for the avoidance of doubt, whether the shareholder giving the Shareholder Notice seeking nomination and any Shareholder Associated Person has complied or failed to comply with the information and solicitation requirements set forth in these Bylaws and requirements of Rule 14a-19 under the Exchange Act and/or provided or failed to provide satisfactory documentation that such requirements had been met. If any proposed nomination or other business is not in compliance with these Bylaws, including due to failure to comply with requirements of Rule 14a-19 under the Exchange Act (or failure to timely provide documentation sufficient to satisfy the Corporation that such nomination complies with the requirements of Rule 14a-19 under the Exchange Act in accordance with Section 2.09(a)(iii)(D)), then except as otherwise required by law, the presiding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41"/>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002"/>
          </w:cols>
          <w:pgMar w:left="418" w:top="1363" w:right="479" w:bottom="1440" w:gutter="0" w:footer="0" w:header="0"/>
        </w:sectPr>
      </w:pPr>
    </w:p>
    <w:bookmarkStart w:id="110" w:name="page111"/>
    <w:bookmarkEnd w:id="110"/>
    <w:p>
      <w:pPr>
        <w:ind w:left="2"/>
        <w:spacing w:after="0" w:line="269" w:lineRule="auto"/>
        <w:rPr>
          <w:sz w:val="20"/>
          <w:szCs w:val="20"/>
          <w:color w:val="auto"/>
        </w:rPr>
      </w:pPr>
      <w:r>
        <w:rPr>
          <w:rFonts w:ascii="Times New Roman" w:cs="Times New Roman" w:eastAsia="Times New Roman" w:hAnsi="Times New Roman"/>
          <w:sz w:val="17"/>
          <w:szCs w:val="17"/>
          <w:color w:val="auto"/>
        </w:rPr>
        <w:t>officer of the meeting shall declare that any such nomination shall be disregarded or such other business shall not be transacted, notwithstanding that votes and proxies in respect of such vote may have been received by the Corporation (which votes and proxies, if any, for the avoidance of doubt, shall also be disregarded). In furtherance and not by way of limitation of the foregoing provisions of this Section 2.09, unless otherwise required by law, or otherwise determined by the Board of Directors, a committee of the Board of Directors, any officer designated by the Board of Directors or a committee of the Board of Directors, or the presiding officer of the meeting, (i) if the shareholder does not provide the information required under Section 2.09(a)</w:t>
      </w:r>
    </w:p>
    <w:p>
      <w:pPr>
        <w:spacing w:after="0" w:line="3" w:lineRule="exact"/>
        <w:rPr>
          <w:sz w:val="20"/>
          <w:szCs w:val="20"/>
          <w:color w:val="auto"/>
        </w:rPr>
      </w:pPr>
    </w:p>
    <w:p>
      <w:pPr>
        <w:ind w:left="2" w:hanging="2"/>
        <w:spacing w:after="0" w:line="253" w:lineRule="auto"/>
        <w:tabs>
          <w:tab w:leader="none" w:pos="30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 3.10 to the Corporation within the time frames specified therein, or (ii) if the shareholder (or a Qualified Representative thereof) does not appear at the annual or special meeting of shareholders of the Corporation to present a nomination or other business, any such nomination shall be disregarded and such other business shall not be transacted, notwithstanding that votes and proxies in respect of such vote may have been received by the Corporation (which votes and proxies, if any, for the avoidance of doubt, shall also be disregarded).</w:t>
      </w:r>
    </w:p>
    <w:p>
      <w:pPr>
        <w:spacing w:after="0" w:line="229" w:lineRule="exact"/>
        <w:rPr>
          <w:rFonts w:ascii="Times New Roman" w:cs="Times New Roman" w:eastAsia="Times New Roman" w:hAnsi="Times New Roman"/>
          <w:sz w:val="18"/>
          <w:szCs w:val="18"/>
          <w:color w:val="auto"/>
        </w:rPr>
      </w:pPr>
    </w:p>
    <w:p>
      <w:pPr>
        <w:ind w:left="1942" w:hanging="646"/>
        <w:spacing w:after="0"/>
        <w:tabs>
          <w:tab w:leader="none" w:pos="194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48" w:lineRule="exact"/>
        <w:rPr>
          <w:rFonts w:ascii="Times New Roman" w:cs="Times New Roman" w:eastAsia="Times New Roman" w:hAnsi="Times New Roman"/>
          <w:sz w:val="18"/>
          <w:szCs w:val="18"/>
          <w:color w:val="auto"/>
        </w:rPr>
      </w:pPr>
    </w:p>
    <w:p>
      <w:pPr>
        <w:jc w:val="both"/>
        <w:ind w:left="642" w:right="160" w:firstLine="1302"/>
        <w:spacing w:after="0" w:line="262" w:lineRule="auto"/>
        <w:tabs>
          <w:tab w:leader="none" w:pos="2486"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a “</w:t>
      </w:r>
      <w:r>
        <w:rPr>
          <w:rFonts w:ascii="Times New Roman" w:cs="Times New Roman" w:eastAsia="Times New Roman" w:hAnsi="Times New Roman"/>
          <w:sz w:val="18"/>
          <w:szCs w:val="18"/>
          <w:b w:val="1"/>
          <w:bCs w:val="1"/>
          <w:color w:val="auto"/>
        </w:rPr>
        <w:t>Shareholder Associated Person</w:t>
      </w:r>
      <w:r>
        <w:rPr>
          <w:rFonts w:ascii="Times New Roman" w:cs="Times New Roman" w:eastAsia="Times New Roman" w:hAnsi="Times New Roman"/>
          <w:sz w:val="18"/>
          <w:szCs w:val="18"/>
          <w:color w:val="auto"/>
        </w:rPr>
        <w:t>” of any shareholder means: (A) any beneficial owner (as used herein, within the meaning of Section 13(d) of the Exchange Act) of shares of stock of the Corporation on whose behalf any proposal or nomination is made by such shareholder; (B) any affiliates or associates of such shareholder or any beneficial owner described in clause (A); and (C) any affiliate who controls such shareholder or any beneficial owner described in clause (A).</w:t>
      </w:r>
    </w:p>
    <w:p>
      <w:pPr>
        <w:spacing w:after="0" w:line="216" w:lineRule="exact"/>
        <w:rPr>
          <w:rFonts w:ascii="Times New Roman" w:cs="Times New Roman" w:eastAsia="Times New Roman" w:hAnsi="Times New Roman"/>
          <w:sz w:val="18"/>
          <w:szCs w:val="18"/>
          <w:color w:val="auto"/>
        </w:rPr>
      </w:pPr>
    </w:p>
    <w:p>
      <w:pPr>
        <w:ind w:left="642" w:right="260" w:firstLine="1302"/>
        <w:spacing w:after="0" w:line="259" w:lineRule="auto"/>
        <w:tabs>
          <w:tab w:leader="none" w:pos="2496"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2.09 and Section 3.11 of these Bylaws, the “</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shall mean 6:00 p.m. local time at the principal executive offices of the Corporation on any calendar day, whether or not the day is a business day. A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Announcement</w:t>
      </w:r>
      <w:r>
        <w:rPr>
          <w:rFonts w:ascii="Times New Roman" w:cs="Times New Roman" w:eastAsia="Times New Roman" w:hAnsi="Times New Roman"/>
          <w:sz w:val="18"/>
          <w:szCs w:val="18"/>
          <w:color w:val="auto"/>
        </w:rPr>
        <w:t>” shall mean disclosure in a press release reported by the Dow Jones News Service, Associated Press or a comparable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national news service or in a document publicly filed by the Corporation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Section 13, 14 or 15(d) of the Exchange Act.</w:t>
      </w:r>
    </w:p>
    <w:p>
      <w:pPr>
        <w:spacing w:after="0" w:line="219" w:lineRule="exact"/>
        <w:rPr>
          <w:rFonts w:ascii="Times New Roman" w:cs="Times New Roman" w:eastAsia="Times New Roman" w:hAnsi="Times New Roman"/>
          <w:sz w:val="18"/>
          <w:szCs w:val="18"/>
          <w:color w:val="auto"/>
        </w:rPr>
      </w:pPr>
    </w:p>
    <w:p>
      <w:pPr>
        <w:ind w:left="642" w:right="140" w:firstLine="1302"/>
        <w:spacing w:after="0" w:line="257" w:lineRule="auto"/>
        <w:tabs>
          <w:tab w:leader="none" w:pos="2492"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clause (4) of Section 2.09(a)(iii)(C) shares shall be treated as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by a person if the person (A) beneficially owns such shares, directly or indirectly, for purposes of Section 13(d) of the Exchange Act and Regulations 13D and 13G thereunder or (B) has or shares pursuant to any agreement, arrangement or understanding (whether or not in writing): (1) the right to acquire such shares (whether such right is exercisable immediately or only after the passage of any length of time whatsoever or the fulfillment of a condition or both); (2) the right to vote such shares, alone or in concert with others; and/or (3) investment power with respect to such shares, including the power to dispose of, or to direct the disposition of, such shares.</w:t>
      </w:r>
    </w:p>
    <w:p>
      <w:pPr>
        <w:spacing w:after="0" w:line="209" w:lineRule="exact"/>
        <w:rPr>
          <w:rFonts w:ascii="Times New Roman" w:cs="Times New Roman" w:eastAsia="Times New Roman" w:hAnsi="Times New Roman"/>
          <w:sz w:val="18"/>
          <w:szCs w:val="18"/>
          <w:color w:val="auto"/>
        </w:rPr>
      </w:pPr>
    </w:p>
    <w:p>
      <w:pPr>
        <w:ind w:left="642" w:right="20" w:firstLine="1302"/>
        <w:spacing w:after="0" w:line="257" w:lineRule="auto"/>
        <w:tabs>
          <w:tab w:leader="none" w:pos="2495"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considered a “</w:t>
      </w:r>
      <w:r>
        <w:rPr>
          <w:rFonts w:ascii="Times New Roman" w:cs="Times New Roman" w:eastAsia="Times New Roman" w:hAnsi="Times New Roman"/>
          <w:sz w:val="18"/>
          <w:szCs w:val="18"/>
          <w:b w:val="1"/>
          <w:bCs w:val="1"/>
          <w:color w:val="auto"/>
        </w:rPr>
        <w:t>Qualified Representative</w:t>
      </w:r>
      <w:r>
        <w:rPr>
          <w:rFonts w:ascii="Times New Roman" w:cs="Times New Roman" w:eastAsia="Times New Roman" w:hAnsi="Times New Roman"/>
          <w:sz w:val="18"/>
          <w:szCs w:val="18"/>
          <w:color w:val="auto"/>
        </w:rPr>
        <w:t>” of a shareholder for purposes of these Bylaws, a person must be a duly authorized officer, manager or partner of such shareholder or authorized by a writing executed by such shareholder (or a reliable reproduction of the writing) or an electronic transmission delivered by such shareholder to the Corporation prior to the making of a nomination or proposal at a meeting of shareholders (and in any event no later than 24 hours before the meeting) stating that such person is authorized to act for such shareholder as proxy at the meeting of shareholders, which writing or electronic transmission (or a reliable reproduction of the writing or electronic transmission) must be produced by such person at the meeting of shareholders.</w:t>
      </w:r>
    </w:p>
    <w:p>
      <w:pPr>
        <w:spacing w:after="0" w:line="222" w:lineRule="exact"/>
        <w:rPr>
          <w:rFonts w:ascii="Times New Roman" w:cs="Times New Roman" w:eastAsia="Times New Roman" w:hAnsi="Times New Roman"/>
          <w:sz w:val="18"/>
          <w:szCs w:val="18"/>
          <w:color w:val="auto"/>
        </w:rPr>
      </w:pPr>
    </w:p>
    <w:p>
      <w:pPr>
        <w:ind w:left="642" w:right="140" w:firstLine="1302"/>
        <w:spacing w:after="0" w:line="256" w:lineRule="auto"/>
        <w:tabs>
          <w:tab w:leader="none" w:pos="2485"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2.09, “</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means any agreement, arrangement, instrument, contract, right or understanding, whether written or oral (including, without limitation, and regardless of whether or not such agreement, arrangement, instrument, contract, right or understanding shall be subject to settlement in shares of the Corporation, through the delivery of cash or other property, or otherwise, any derivative, long or short positions, profit interests, forwards, futures, swaps, options, warrants, convertible securities, stock appreciation or similar rights, hedging or pledging transactions, voting rights, dividend rights, borrowed or loaned shares or similar right with an exercise or conversion privilege or a settlement payment or mechanism at a price related to any class or series of shares of the Corporation or otherwise), that has been entered into as of the date of the</w:t>
      </w:r>
    </w:p>
    <w:p>
      <w:pPr>
        <w:spacing w:after="0" w:line="200" w:lineRule="exact"/>
        <w:rPr>
          <w:sz w:val="20"/>
          <w:szCs w:val="20"/>
          <w:color w:val="auto"/>
        </w:rPr>
      </w:pPr>
    </w:p>
    <w:p>
      <w:pPr>
        <w:spacing w:after="0" w:line="387" w:lineRule="exact"/>
        <w:rPr>
          <w:sz w:val="20"/>
          <w:szCs w:val="20"/>
          <w:color w:val="auto"/>
        </w:rPr>
      </w:pPr>
    </w:p>
    <w:p>
      <w:pPr>
        <w:jc w:val="center"/>
        <w:ind w:right="-381"/>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62"/>
          </w:cols>
          <w:pgMar w:left="418" w:top="1363" w:right="519" w:bottom="1440" w:gutter="0" w:footer="0" w:header="0"/>
        </w:sectPr>
      </w:pPr>
    </w:p>
    <w:bookmarkStart w:id="111" w:name="page112"/>
    <w:bookmarkEnd w:id="111"/>
    <w:p>
      <w:pPr>
        <w:ind w:left="300" w:right="300"/>
        <w:spacing w:after="0" w:line="256" w:lineRule="auto"/>
        <w:rPr>
          <w:sz w:val="20"/>
          <w:szCs w:val="20"/>
          <w:color w:val="auto"/>
        </w:rPr>
      </w:pPr>
      <w:r>
        <w:rPr>
          <w:rFonts w:ascii="Times New Roman" w:cs="Times New Roman" w:eastAsia="Times New Roman" w:hAnsi="Times New Roman"/>
          <w:sz w:val="18"/>
          <w:szCs w:val="18"/>
          <w:color w:val="auto"/>
        </w:rPr>
        <w:t>Shareholder Notice by, or on behalf of, such shareholder or any Shareholder Associated Person, the effect or intent of which is to transfer to or from any such shareholder or any Shareholder Associated Person, in whole or in part, any of the economic consequences of ownership of any security of the Corporation (including, without limitation, creating or mitigating loss to, managing risk from or benefiting from share price changes of), maintain, increase or decrease the voting power of the shareholder or any Shareholder Associated Person with respect to securities of the Corporation, or to otherwise benefit economically from, any increase or decrease in the value of any security of the Corporation.</w:t>
      </w:r>
    </w:p>
    <w:p>
      <w:pPr>
        <w:spacing w:after="0" w:line="228" w:lineRule="exact"/>
        <w:rPr>
          <w:sz w:val="20"/>
          <w:szCs w:val="20"/>
          <w:color w:val="auto"/>
        </w:rPr>
      </w:pPr>
    </w:p>
    <w:p>
      <w:pPr>
        <w:ind w:left="-340" w:firstLine="1293"/>
        <w:spacing w:after="0" w:line="252" w:lineRule="auto"/>
        <w:tabs>
          <w:tab w:leader="none" w:pos="150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2.09 shall not apply to a proposal proposed to be made by a shareholder if the shareholder has notified the Corporation of the shareholder’s intention to present the proposal at a meeting of shareholders only pursuant to and in compliance with Rule 14a-8 under the Exchange Act and such proposal has been included in a proxy statement that has been prepared by the Corporation to solicit proxies for such meeting. Notwithstanding anything in these Bylaws to the contrary, a proposal (other than a proposal included in the Corporation’s proxy statement pursuant to and in compliance with Rule 14a-8 under the Exchange Act) that (i) has the effect of implementing corporate action or (ii) requests that the Corporation or the Board of Directors pursue or consider corporate action or any related step for such corporate action, which in either case if implemented, would make any change in the preferences, limitations or rights of one or more outstanding classes or series of the Corporation’s capital stock adverse to such class or series, including without limitation by seeking to limit the rights of the holders of the Corporation’s Class B Common Stock to transfer, vote or otherwise exercise rights with respect to capital stock of the Corporation, which would require the consent of holders of one or more outstanding classes or series of the Corporation’s capital stock in order to effect such corporate action, may be made only (A) by or at the direction of the Board of Directors or (B) by a holder of record of the class or series of capital stock that would be adversely affected, or, if more than one class or series of capital stock would be adversely affected, jointly by at least one holder of record of each class or series of capital stock that would be adversely affected, in each case, who satisfies the procedures and requirements of Section 2.09. Nothing in this Section 2.09 shall be deemed to affect any rights of the holders of any series of Preferred Stock to elect Directors pursuant to any applicable provisions of the Articles of Incorporation (including any Preferred Stock designation).</w:t>
      </w:r>
    </w:p>
    <w:p>
      <w:pPr>
        <w:spacing w:after="0" w:line="236" w:lineRule="exact"/>
        <w:rPr>
          <w:rFonts w:ascii="Times New Roman" w:cs="Times New Roman" w:eastAsia="Times New Roman" w:hAnsi="Times New Roman"/>
          <w:sz w:val="18"/>
          <w:szCs w:val="18"/>
          <w:color w:val="auto"/>
        </w:rPr>
      </w:pPr>
    </w:p>
    <w:p>
      <w:pPr>
        <w:ind w:left="-340" w:right="100" w:firstLine="1293"/>
        <w:spacing w:after="0" w:line="282" w:lineRule="auto"/>
        <w:tabs>
          <w:tab w:leader="none" w:pos="151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directly or indirectly soliciting proxies from other shareholders must use a proxy card color other than white, which shall be reserved for the exclusive use for solicitation by the Board of Directors.</w:t>
      </w:r>
    </w:p>
    <w:p>
      <w:pPr>
        <w:spacing w:after="0" w:line="187"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8"/>
          <w:szCs w:val="18"/>
          <w:i w:val="1"/>
          <w:iCs w:val="1"/>
          <w:color w:val="auto"/>
        </w:rPr>
        <w:t>Conduct Of Meetings Of Shareholders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jc w:val="both"/>
        <w:ind w:left="-340" w:right="20" w:firstLine="1293"/>
        <w:spacing w:after="0" w:line="261" w:lineRule="auto"/>
        <w:tabs>
          <w:tab w:leader="none" w:pos="15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Presiding Officer. There shall be a presiding officer at every meeting of the shareholders. Subject to Article SIXTH of the Articles of Incorporation, the presiding officer shall be an officer or director appointed by the Board of Directors or in the manner authorized by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presiding officer is not designated by the Board of Directors or in the manner authorized by the Board of Directors, the Chairman of the Board shall be the presiding officer.</w:t>
      </w:r>
    </w:p>
    <w:p>
      <w:pPr>
        <w:spacing w:after="0" w:line="206" w:lineRule="exact"/>
        <w:rPr>
          <w:rFonts w:ascii="Times New Roman" w:cs="Times New Roman" w:eastAsia="Times New Roman" w:hAnsi="Times New Roman"/>
          <w:sz w:val="18"/>
          <w:szCs w:val="18"/>
          <w:color w:val="auto"/>
        </w:rPr>
      </w:pPr>
    </w:p>
    <w:p>
      <w:pPr>
        <w:ind w:left="-340" w:right="40" w:firstLine="1293"/>
        <w:spacing w:after="0" w:line="255" w:lineRule="auto"/>
        <w:tabs>
          <w:tab w:leader="none" w:pos="150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of Presiding Officer. Except as prescribed by the Board of Directors, the presiding officer shall determine the order of business and shall have the authority to establish and enforce rules for the conduct of the meeting of the shareholders and the safety of those in attendance as, in the judgment of the presiding officer, are necessary, appropriate or convenient for the conduct of the meeting. The presiding officer, in addition to making any other determinations that may be appropriate to the conduct of the meeting, shall declare that a nomination or other business was not properly brought before the meeting if the facts warrant (including if a determination is made that a nomination or other business was not made or proposed, as the case may be, in accordance with Section 2.09 or Section 3.11 of these Bylaws), and if such presiding officer should so declare, such nomination shall be disregarded or such other business shall not be transacted.</w:t>
      </w:r>
    </w:p>
    <w:p>
      <w:pPr>
        <w:spacing w:after="0" w:line="229" w:lineRule="exact"/>
        <w:rPr>
          <w:rFonts w:ascii="Times New Roman" w:cs="Times New Roman" w:eastAsia="Times New Roman" w:hAnsi="Times New Roman"/>
          <w:sz w:val="18"/>
          <w:szCs w:val="18"/>
          <w:color w:val="auto"/>
        </w:rPr>
      </w:pPr>
    </w:p>
    <w:p>
      <w:pPr>
        <w:ind w:left="-340" w:right="500" w:firstLine="1293"/>
        <w:spacing w:after="0" w:line="266" w:lineRule="auto"/>
        <w:tabs>
          <w:tab w:leader="none" w:pos="15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Procedural Standard.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680"/>
          </w:cols>
          <w:pgMar w:left="760" w:top="1363" w:right="459" w:bottom="1440" w:gutter="0" w:footer="0" w:header="0"/>
        </w:sectPr>
      </w:pPr>
    </w:p>
    <w:bookmarkStart w:id="112" w:name="page113"/>
    <w:bookmarkEnd w:id="112"/>
    <w:p>
      <w:pPr>
        <w:jc w:val="both"/>
        <w:ind w:right="300" w:firstLine="1293"/>
        <w:spacing w:after="0" w:line="266" w:lineRule="auto"/>
        <w:tabs>
          <w:tab w:leader="none" w:pos="18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373"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3.01</w:t>
        <w:tab/>
        <w:t>Board of Directors.</w:t>
      </w:r>
    </w:p>
    <w:p>
      <w:pPr>
        <w:spacing w:after="0" w:line="252" w:lineRule="exact"/>
        <w:rPr>
          <w:sz w:val="20"/>
          <w:szCs w:val="20"/>
          <w:color w:val="auto"/>
        </w:rPr>
      </w:pPr>
    </w:p>
    <w:p>
      <w:pPr>
        <w:ind w:right="340" w:firstLine="1293"/>
        <w:spacing w:after="0" w:line="266" w:lineRule="auto"/>
        <w:tabs>
          <w:tab w:leader="none" w:pos="18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pacing w:after="0" w:line="216" w:lineRule="exact"/>
        <w:rPr>
          <w:rFonts w:ascii="Times New Roman" w:cs="Times New Roman" w:eastAsia="Times New Roman" w:hAnsi="Times New Roman"/>
          <w:sz w:val="18"/>
          <w:szCs w:val="18"/>
          <w:color w:val="auto"/>
        </w:rPr>
      </w:pPr>
    </w:p>
    <w:p>
      <w:pPr>
        <w:ind w:left="1940" w:hanging="646"/>
        <w:spacing w:after="0"/>
        <w:tabs>
          <w:tab w:leader="none" w:pos="19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The number of Directors shall be as determined by the Board of Directors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247" w:lineRule="exact"/>
        <w:rPr>
          <w:sz w:val="20"/>
          <w:szCs w:val="20"/>
          <w:color w:val="auto"/>
        </w:rPr>
      </w:pPr>
    </w:p>
    <w:p>
      <w:pPr>
        <w:ind w:right="20" w:firstLine="1293"/>
        <w:spacing w:after="0" w:line="258" w:lineRule="auto"/>
        <w:tabs>
          <w:tab w:leader="none" w:pos="18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210" w:lineRule="exact"/>
        <w:rPr>
          <w:rFonts w:ascii="Times New Roman" w:cs="Times New Roman" w:eastAsia="Times New Roman" w:hAnsi="Times New Roman"/>
          <w:sz w:val="18"/>
          <w:szCs w:val="18"/>
          <w:color w:val="auto"/>
        </w:rPr>
      </w:pPr>
    </w:p>
    <w:p>
      <w:pPr>
        <w:ind w:right="100" w:firstLine="1293"/>
        <w:spacing w:after="0" w:line="282" w:lineRule="auto"/>
        <w:tabs>
          <w:tab w:leader="none" w:pos="184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The entire Board of Directors or any individual Director may be removed from office only for cause by the vote of the shareholders entitled to elect directors.</w:t>
      </w:r>
    </w:p>
    <w:p>
      <w:pPr>
        <w:spacing w:after="0" w:line="202" w:lineRule="exact"/>
        <w:rPr>
          <w:rFonts w:ascii="Times New Roman" w:cs="Times New Roman" w:eastAsia="Times New Roman" w:hAnsi="Times New Roman"/>
          <w:sz w:val="18"/>
          <w:szCs w:val="18"/>
          <w:color w:val="auto"/>
        </w:rPr>
      </w:pPr>
    </w:p>
    <w:p>
      <w:pPr>
        <w:ind w:left="1940" w:hanging="646"/>
        <w:spacing w:after="0"/>
        <w:tabs>
          <w:tab w:leader="none" w:pos="19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 A Director must be a natural person at least 18 years of age.</w:t>
      </w:r>
    </w:p>
    <w:p>
      <w:pPr>
        <w:spacing w:after="0" w:line="264" w:lineRule="exact"/>
        <w:rPr>
          <w:sz w:val="20"/>
          <w:szCs w:val="20"/>
          <w:color w:val="auto"/>
        </w:rPr>
      </w:pPr>
    </w:p>
    <w:p>
      <w:pPr>
        <w:ind w:right="46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Place of Meetings</w:t>
      </w:r>
      <w:r>
        <w:rPr>
          <w:rFonts w:ascii="Times New Roman" w:cs="Times New Roman" w:eastAsia="Times New Roman" w:hAnsi="Times New Roman"/>
          <w:sz w:val="18"/>
          <w:szCs w:val="18"/>
          <w:color w:val="auto"/>
        </w:rPr>
        <w:t>. Meetings of the Board of Directors may be held at such place within or without the Commonwealth of Pennsylvania as the Board of Directors may appoint from time to time or as may be designated in the notice of the meeting.</w:t>
      </w:r>
    </w:p>
    <w:p>
      <w:pPr>
        <w:spacing w:after="0" w:line="185" w:lineRule="exact"/>
        <w:rPr>
          <w:sz w:val="20"/>
          <w:szCs w:val="20"/>
          <w:color w:val="auto"/>
        </w:rPr>
      </w:pPr>
    </w:p>
    <w:p>
      <w:pPr>
        <w:ind w:right="38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color w:val="auto"/>
        </w:rPr>
        <w:t>. A regular meeting of the Board of Directors shall be held at least annually at such place and time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220" w:lineRule="exact"/>
        <w:rPr>
          <w:sz w:val="20"/>
          <w:szCs w:val="20"/>
          <w:color w:val="auto"/>
        </w:rPr>
      </w:pPr>
    </w:p>
    <w:p>
      <w:pPr>
        <w:ind w:right="280" w:firstLine="647"/>
        <w:spacing w:after="0" w:line="26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214"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Participation in Meetings by Electronic Means</w:t>
      </w:r>
      <w:r>
        <w:rPr>
          <w:rFonts w:ascii="Times New Roman" w:cs="Times New Roman" w:eastAsia="Times New Roman" w:hAnsi="Times New Roman"/>
          <w:sz w:val="18"/>
          <w:szCs w:val="18"/>
          <w:color w:val="auto"/>
        </w:rPr>
        <w:t>.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means, including, without limitation, the Internet, by means of which all persons participating in the meeting can hear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940"/>
          </w:cols>
          <w:pgMar w:left="420" w:top="1363" w:right="539" w:bottom="1440" w:gutter="0" w:footer="0" w:header="0"/>
        </w:sectPr>
      </w:pPr>
    </w:p>
    <w:bookmarkStart w:id="113" w:name="page114"/>
    <w:bookmarkEnd w:id="113"/>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i w:val="1"/>
          <w:iCs w:val="1"/>
          <w:color w:val="auto"/>
        </w:rPr>
        <w:t>Notices of Meetings of Board of Directors</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ind w:right="180" w:firstLine="1293"/>
        <w:spacing w:after="0" w:line="261" w:lineRule="auto"/>
        <w:tabs>
          <w:tab w:leader="none" w:pos="18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No notice shall be required to be given of any regular meeting, unless the same is held at other than the place, date or time for holding such meeting as fixed in accordance with Section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 of these Bylaws, in which event 48 hours’ notice shall be given of the place and time of such meeting complying with Article 6 of these Bylaws.</w:t>
      </w:r>
    </w:p>
    <w:p>
      <w:pPr>
        <w:spacing w:after="0" w:line="287" w:lineRule="exact"/>
        <w:rPr>
          <w:rFonts w:ascii="Times New Roman" w:cs="Times New Roman" w:eastAsia="Times New Roman" w:hAnsi="Times New Roman"/>
          <w:sz w:val="18"/>
          <w:szCs w:val="18"/>
          <w:color w:val="auto"/>
        </w:rPr>
      </w:pPr>
    </w:p>
    <w:p>
      <w:pPr>
        <w:ind w:right="220" w:firstLine="1293"/>
        <w:spacing w:after="0" w:line="282" w:lineRule="auto"/>
        <w:tabs>
          <w:tab w:leader="none" w:pos="184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87" w:lineRule="exact"/>
        <w:rPr>
          <w:sz w:val="20"/>
          <w:szCs w:val="20"/>
          <w:color w:val="auto"/>
        </w:rPr>
      </w:pPr>
    </w:p>
    <w:p>
      <w:pPr>
        <w:ind w:right="8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Quorum; Action by the Board of Directors</w:t>
      </w:r>
      <w:r>
        <w:rPr>
          <w:rFonts w:ascii="Times New Roman" w:cs="Times New Roman" w:eastAsia="Times New Roman" w:hAnsi="Times New Roman"/>
          <w:sz w:val="18"/>
          <w:szCs w:val="18"/>
          <w:color w:val="auto"/>
        </w:rPr>
        <w:t>.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220" w:lineRule="exact"/>
        <w:rPr>
          <w:sz w:val="20"/>
          <w:szCs w:val="20"/>
          <w:color w:val="auto"/>
        </w:rPr>
      </w:pPr>
    </w:p>
    <w:p>
      <w:pPr>
        <w:ind w:firstLine="647"/>
        <w:spacing w:after="0" w:line="267"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Informal Action by the Board of Directors</w:t>
      </w:r>
      <w:r>
        <w:rPr>
          <w:rFonts w:ascii="Times New Roman" w:cs="Times New Roman" w:eastAsia="Times New Roman" w:hAnsi="Times New Roman"/>
          <w:sz w:val="18"/>
          <w:szCs w:val="18"/>
          <w:color w:val="auto"/>
        </w:rPr>
        <w:t>.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214"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3.09</w:t>
      </w:r>
      <w:r>
        <w:rPr>
          <w:sz w:val="20"/>
          <w:szCs w:val="20"/>
          <w:color w:val="auto"/>
        </w:rPr>
        <w:tab/>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right="20" w:firstLine="1293"/>
        <w:spacing w:after="0" w:line="261" w:lineRule="auto"/>
        <w:tabs>
          <w:tab w:leader="none" w:pos="18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206" w:lineRule="exact"/>
        <w:rPr>
          <w:rFonts w:ascii="Times New Roman" w:cs="Times New Roman" w:eastAsia="Times New Roman" w:hAnsi="Times New Roman"/>
          <w:sz w:val="18"/>
          <w:szCs w:val="18"/>
          <w:color w:val="auto"/>
        </w:rPr>
      </w:pPr>
    </w:p>
    <w:p>
      <w:pPr>
        <w:ind w:left="2480" w:hanging="538"/>
        <w:spacing w:after="0"/>
        <w:tabs>
          <w:tab w:leader="none" w:pos="24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shareholders of any action requiring approval of shareholders under the Pennsylvania BCL.</w:t>
      </w:r>
    </w:p>
    <w:p>
      <w:pPr>
        <w:spacing w:after="0" w:line="265" w:lineRule="exact"/>
        <w:rPr>
          <w:rFonts w:ascii="Times New Roman" w:cs="Times New Roman" w:eastAsia="Times New Roman" w:hAnsi="Times New Roman"/>
          <w:sz w:val="18"/>
          <w:szCs w:val="18"/>
          <w:color w:val="auto"/>
        </w:rPr>
      </w:pPr>
    </w:p>
    <w:p>
      <w:pPr>
        <w:ind w:left="2580" w:hanging="638"/>
        <w:spacing w:after="0"/>
        <w:tabs>
          <w:tab w:leader="none" w:pos="25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or filling of vacancies in the Board of Directors.</w:t>
      </w:r>
    </w:p>
    <w:p>
      <w:pPr>
        <w:spacing w:after="0" w:line="252" w:lineRule="exact"/>
        <w:rPr>
          <w:rFonts w:ascii="Times New Roman" w:cs="Times New Roman" w:eastAsia="Times New Roman" w:hAnsi="Times New Roman"/>
          <w:sz w:val="18"/>
          <w:szCs w:val="18"/>
          <w:color w:val="auto"/>
        </w:rPr>
      </w:pPr>
    </w:p>
    <w:p>
      <w:pPr>
        <w:ind w:left="2580" w:hanging="638"/>
        <w:spacing w:after="0"/>
        <w:tabs>
          <w:tab w:leader="none" w:pos="25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amendment or repeal of the Bylaws.</w:t>
      </w:r>
    </w:p>
    <w:p>
      <w:pPr>
        <w:spacing w:after="0" w:line="265" w:lineRule="exact"/>
        <w:rPr>
          <w:rFonts w:ascii="Times New Roman" w:cs="Times New Roman" w:eastAsia="Times New Roman" w:hAnsi="Times New Roman"/>
          <w:sz w:val="18"/>
          <w:szCs w:val="18"/>
          <w:color w:val="auto"/>
        </w:rPr>
      </w:pPr>
    </w:p>
    <w:p>
      <w:pPr>
        <w:ind w:left="640" w:right="200" w:firstLine="1302"/>
        <w:spacing w:after="0" w:line="282" w:lineRule="auto"/>
        <w:tabs>
          <w:tab w:leader="none" w:pos="249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repeal of any resolution of the Board of Directors that by its terms is amendable or repealable only by the Board of Directors.</w:t>
      </w:r>
    </w:p>
    <w:p>
      <w:pPr>
        <w:spacing w:after="0" w:line="202" w:lineRule="exact"/>
        <w:rPr>
          <w:rFonts w:ascii="Times New Roman" w:cs="Times New Roman" w:eastAsia="Times New Roman" w:hAnsi="Times New Roman"/>
          <w:sz w:val="18"/>
          <w:szCs w:val="18"/>
          <w:color w:val="auto"/>
        </w:rPr>
      </w:pPr>
    </w:p>
    <w:p>
      <w:pPr>
        <w:ind w:left="640" w:right="200" w:firstLine="1302"/>
        <w:spacing w:after="0" w:line="282" w:lineRule="auto"/>
        <w:tabs>
          <w:tab w:leader="none" w:pos="248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on matters committed by the Articles of Incorporation, the Bylaws or resolution of the Board of Directors to another committee of the Board of Directors.</w:t>
      </w:r>
    </w:p>
    <w:p>
      <w:pPr>
        <w:spacing w:after="0" w:line="188" w:lineRule="exact"/>
        <w:rPr>
          <w:rFonts w:ascii="Times New Roman" w:cs="Times New Roman" w:eastAsia="Times New Roman" w:hAnsi="Times New Roman"/>
          <w:sz w:val="18"/>
          <w:szCs w:val="18"/>
          <w:color w:val="auto"/>
        </w:rPr>
      </w:pPr>
    </w:p>
    <w:p>
      <w:pPr>
        <w:ind w:right="20" w:firstLine="1293"/>
        <w:spacing w:after="0" w:line="258" w:lineRule="auto"/>
        <w:tabs>
          <w:tab w:leader="none" w:pos="184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223" w:lineRule="exact"/>
        <w:rPr>
          <w:rFonts w:ascii="Times New Roman" w:cs="Times New Roman" w:eastAsia="Times New Roman" w:hAnsi="Times New Roman"/>
          <w:sz w:val="18"/>
          <w:szCs w:val="18"/>
          <w:color w:val="auto"/>
        </w:rPr>
      </w:pPr>
    </w:p>
    <w:p>
      <w:pPr>
        <w:ind w:left="1940" w:hanging="646"/>
        <w:spacing w:after="0"/>
        <w:tabs>
          <w:tab w:leader="none" w:pos="19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Each committee of the Board of Directors shall serve at the pleasure of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820"/>
          </w:cols>
          <w:pgMar w:left="420" w:top="1361" w:right="659" w:bottom="1440" w:gutter="0" w:footer="0" w:header="0"/>
        </w:sectPr>
      </w:pPr>
    </w:p>
    <w:bookmarkStart w:id="114" w:name="page115"/>
    <w:bookmarkEnd w:id="114"/>
    <w:p>
      <w:pPr>
        <w:ind w:left="-340" w:firstLine="1293"/>
        <w:spacing w:after="0" w:line="259" w:lineRule="auto"/>
        <w:tabs>
          <w:tab w:leader="none" w:pos="15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Committee Action. The term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222"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7"/>
          <w:szCs w:val="17"/>
          <w:i w:val="1"/>
          <w:iCs w:val="1"/>
          <w:color w:val="auto"/>
        </w:rPr>
        <w:t>Submission of Information by Director Nominees</w:t>
      </w:r>
      <w:r>
        <w:rPr>
          <w:rFonts w:ascii="Times New Roman" w:cs="Times New Roman" w:eastAsia="Times New Roman" w:hAnsi="Times New Roman"/>
          <w:sz w:val="17"/>
          <w:szCs w:val="17"/>
          <w:color w:val="auto"/>
        </w:rPr>
        <w:t>.</w:t>
      </w:r>
    </w:p>
    <w:p>
      <w:pPr>
        <w:spacing w:after="0" w:line="308" w:lineRule="exact"/>
        <w:rPr>
          <w:sz w:val="20"/>
          <w:szCs w:val="20"/>
          <w:color w:val="auto"/>
        </w:rPr>
      </w:pPr>
    </w:p>
    <w:p>
      <w:pPr>
        <w:ind w:left="-340" w:right="680" w:firstLine="1293"/>
        <w:spacing w:after="0" w:line="282" w:lineRule="auto"/>
        <w:tabs>
          <w:tab w:leader="none" w:pos="15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for election or re-election as a Director of the Corporation, a person must deliver to the Secretary of the Corporation at the principal executive offices of the Corporation the following information:</w:t>
      </w:r>
    </w:p>
    <w:p>
      <w:pPr>
        <w:spacing w:after="0" w:line="188" w:lineRule="exact"/>
        <w:rPr>
          <w:rFonts w:ascii="Times New Roman" w:cs="Times New Roman" w:eastAsia="Times New Roman" w:hAnsi="Times New Roman"/>
          <w:sz w:val="18"/>
          <w:szCs w:val="18"/>
          <w:color w:val="auto"/>
        </w:rPr>
      </w:pPr>
    </w:p>
    <w:p>
      <w:pPr>
        <w:ind w:left="300" w:right="60" w:firstLine="1302"/>
        <w:spacing w:after="0" w:line="253" w:lineRule="auto"/>
        <w:tabs>
          <w:tab w:leader="none" w:pos="214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agreement, which shall be signed by such person and pursuant to which such person shall represent and agree that such person: (A) consents to serving as a Director if elected and to being named as a nominee in a proxy statement, form of proxy and ballot relating to the meeting at which Directors are to be elected, and currently intends to serve as a Director for the full term for which such person is standing for election; (B)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written request therefor); (C) understands his or her duties as a director under Pennsylvania law and agrees to act in accordance with those duties while serving as a Director; (D) is not and will not become a party to any agreement, arrangement or understanding with, and has not given any commitment or assurance to, any person or entity (other than the Corporation), with respect to any direct or indirect compensation, reimbursement or indemnification in connection with service or action as a nominee and as a Director of the Corporation if so elected that has not been disclosed to the Corporation; and (E) is not and will not become a party to any agreement, arrangement or understanding with, and has not given any commitment or assurance to, any person or entity, with respect to how such person, if elected, will vote or act on any issue that has not been disclosed to the Corporation or that could limit or interfere with such person’s ability to comply, if elected, with his or her fiduciary duties under applicable law; and</w:t>
      </w:r>
    </w:p>
    <w:p>
      <w:pPr>
        <w:spacing w:after="0" w:line="227" w:lineRule="exact"/>
        <w:rPr>
          <w:rFonts w:ascii="Times New Roman" w:cs="Times New Roman" w:eastAsia="Times New Roman" w:hAnsi="Times New Roman"/>
          <w:sz w:val="18"/>
          <w:szCs w:val="18"/>
          <w:color w:val="auto"/>
        </w:rPr>
      </w:pPr>
    </w:p>
    <w:p>
      <w:pPr>
        <w:ind w:left="300" w:right="220" w:firstLine="1302"/>
        <w:spacing w:after="0" w:line="256" w:lineRule="auto"/>
        <w:tabs>
          <w:tab w:leader="none" w:pos="215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fully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Articles of Incorporation or these Bylaws, any applicable law, rule, regulation, order or decree to which the Corporation is subject, including rules or regulations of any stock exchange on which the Corporation’s shares of common stock are listed, and the Corporation’s corporate governance policies and guidelines) (all of the foregoing, “</w:t>
      </w:r>
      <w:r>
        <w:rPr>
          <w:rFonts w:ascii="Times New Roman" w:cs="Times New Roman" w:eastAsia="Times New Roman" w:hAnsi="Times New Roman"/>
          <w:sz w:val="18"/>
          <w:szCs w:val="18"/>
          <w:b w:val="1"/>
          <w:bCs w:val="1"/>
          <w:color w:val="auto"/>
        </w:rPr>
        <w:t>Questionnaires</w:t>
      </w:r>
      <w:r>
        <w:rPr>
          <w:rFonts w:ascii="Times New Roman" w:cs="Times New Roman" w:eastAsia="Times New Roman" w:hAnsi="Times New Roman"/>
          <w:sz w:val="18"/>
          <w:szCs w:val="18"/>
          <w:color w:val="auto"/>
        </w:rPr>
        <w:t>”). The Questionnaires will be promptly provided following a written request therefor.</w:t>
      </w:r>
    </w:p>
    <w:p>
      <w:pPr>
        <w:spacing w:after="0" w:line="227" w:lineRule="exact"/>
        <w:rPr>
          <w:rFonts w:ascii="Times New Roman" w:cs="Times New Roman" w:eastAsia="Times New Roman" w:hAnsi="Times New Roman"/>
          <w:sz w:val="18"/>
          <w:szCs w:val="18"/>
          <w:color w:val="auto"/>
        </w:rPr>
      </w:pPr>
    </w:p>
    <w:p>
      <w:pPr>
        <w:ind w:left="-340" w:right="180" w:firstLine="1293"/>
        <w:spacing w:after="0" w:line="256" w:lineRule="auto"/>
        <w:tabs>
          <w:tab w:leader="none" w:pos="150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nominee for election or re-election as a Director of the Corporation shall also provide to the Corporation such other information as it may reasonably request, which may be in the form of an interview with a nominee at the request of the Board of Directors. The Corporation may request such additional information as necessary to permit the Corporation to determine the eligibility of such person to serve as a Director, including information relevant to a determination of whether such person qualifies as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w:t>
      </w:r>
    </w:p>
    <w:p>
      <w:pPr>
        <w:spacing w:after="0" w:line="214" w:lineRule="exact"/>
        <w:rPr>
          <w:rFonts w:ascii="Times New Roman" w:cs="Times New Roman" w:eastAsia="Times New Roman" w:hAnsi="Times New Roman"/>
          <w:sz w:val="18"/>
          <w:szCs w:val="18"/>
          <w:color w:val="auto"/>
        </w:rPr>
      </w:pPr>
    </w:p>
    <w:p>
      <w:pPr>
        <w:ind w:left="-340" w:right="220" w:firstLine="1293"/>
        <w:spacing w:after="0" w:line="258" w:lineRule="auto"/>
        <w:tabs>
          <w:tab w:leader="none" w:pos="15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has submitted notice of an intent to nominate a candidate for election or re-election as a director pursuant to Section 2.09 or Section 3.11, all written and signed representations and agreements and all fully completed and signed Questionnaires described in Section 3.10(a) shall be provided to the Corporation at the same time as a Shareholder Notice submitted pursuant to Section 2.09 or a Nomination Notice (as defined in Section 3.11(d)(i)), as applicable. The additional information described in Section 3.10(b) shall be provided to the Corporation promptly upon request by the Corporation, but in any event within five business days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660"/>
          </w:cols>
          <w:pgMar w:left="760" w:top="1359" w:right="479" w:bottom="1440" w:gutter="0" w:footer="0" w:header="0"/>
        </w:sectPr>
      </w:pPr>
    </w:p>
    <w:bookmarkStart w:id="115" w:name="page116"/>
    <w:bookmarkEnd w:id="115"/>
    <w:p>
      <w:pPr>
        <w:ind w:right="140"/>
        <w:spacing w:after="0" w:line="282" w:lineRule="auto"/>
        <w:rPr>
          <w:sz w:val="20"/>
          <w:szCs w:val="20"/>
          <w:color w:val="auto"/>
        </w:rPr>
      </w:pPr>
      <w:r>
        <w:rPr>
          <w:rFonts w:ascii="Times New Roman" w:cs="Times New Roman" w:eastAsia="Times New Roman" w:hAnsi="Times New Roman"/>
          <w:sz w:val="18"/>
          <w:szCs w:val="18"/>
          <w:color w:val="auto"/>
        </w:rPr>
        <w:t>after such request. All information provided pursuant to this Section 3.10 shall be deemed part of the Shareholder Notice submitted pursuant to Section 2.09 or a Nomination Notice submitted pursuant to Section 3.11, as applicable.</w:t>
      </w:r>
    </w:p>
    <w:p>
      <w:pPr>
        <w:spacing w:after="0" w:line="202" w:lineRule="exact"/>
        <w:rPr>
          <w:sz w:val="20"/>
          <w:szCs w:val="20"/>
          <w:color w:val="auto"/>
        </w:rPr>
      </w:pPr>
    </w:p>
    <w:p>
      <w:pPr>
        <w:ind w:right="240" w:firstLine="1293"/>
        <w:spacing w:after="0" w:line="257" w:lineRule="auto"/>
        <w:tabs>
          <w:tab w:leader="none" w:pos="184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any information submitted pursuant to this Section 3.10 is inaccurate or incomplete in any material respect (as determined by the Board of Directors or any authorized committee thereof), such information shall be deemed not to have been provided in accordance with this Section</w:t>
      </w:r>
    </w:p>
    <w:p>
      <w:pPr>
        <w:spacing w:after="0" w:line="1" w:lineRule="exact"/>
        <w:rPr>
          <w:rFonts w:ascii="Times New Roman" w:cs="Times New Roman" w:eastAsia="Times New Roman" w:hAnsi="Times New Roman"/>
          <w:sz w:val="18"/>
          <w:szCs w:val="18"/>
          <w:color w:val="auto"/>
        </w:rPr>
      </w:pPr>
    </w:p>
    <w:p>
      <w:pPr>
        <w:ind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and these Bylaws. Upon written request of the Secretary of the Corporation on behalf of the Board of Directors (or a duly authorized committee thereof), the shareholder giving the Shareholder Notice shall provide, within five business days after delivery of such request (or such longer period as may be specified in such request), (i) written verification, reasonably satisfactory to the Board of Directors, any committee thereof, or any authorized officer of the Corporation, to demonstrate the accuracy and/or completeness of any information submitted and (ii) a written affirmation of any information submitted as of an earlier date. If the shareholder giving the Shareholder Notice fails to provide such written verification or affirmation within such period, the information as to which written verification or affirmation was requested shall be deemed not to have been provided in accordance with this Section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and these Bylaws.</w:t>
      </w:r>
    </w:p>
    <w:p>
      <w:pPr>
        <w:spacing w:after="0" w:line="232"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7"/>
          <w:szCs w:val="17"/>
          <w:i w:val="1"/>
          <w:iCs w:val="1"/>
          <w:color w:val="auto"/>
        </w:rPr>
        <w:t>Proxy Access</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ind w:left="1940" w:hanging="646"/>
        <w:spacing w:after="0"/>
        <w:tabs>
          <w:tab w:leader="none" w:pos="19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Shareholder Nominees in Corporation’s Proxy Statement.</w:t>
      </w:r>
    </w:p>
    <w:p>
      <w:pPr>
        <w:spacing w:after="0" w:line="252" w:lineRule="exact"/>
        <w:rPr>
          <w:rFonts w:ascii="Times New Roman" w:cs="Times New Roman" w:eastAsia="Times New Roman" w:hAnsi="Times New Roman"/>
          <w:sz w:val="18"/>
          <w:szCs w:val="18"/>
          <w:color w:val="auto"/>
        </w:rPr>
      </w:pPr>
    </w:p>
    <w:p>
      <w:pPr>
        <w:ind w:left="640" w:right="60" w:firstLine="1302"/>
        <w:spacing w:after="0" w:line="252" w:lineRule="auto"/>
        <w:tabs>
          <w:tab w:leader="none" w:pos="248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Section 3.11, if expressly requested in the relevant Nomination Notice (as defined below), the Corporation shall include in its proxy statement for any annual meeting of shareholders (but not at any special meeting of shareholders): (A) the names of any person or persons therein nominated for the election of Directors (each, a “</w:t>
      </w:r>
      <w:r>
        <w:rPr>
          <w:rFonts w:ascii="Times New Roman" w:cs="Times New Roman" w:eastAsia="Times New Roman" w:hAnsi="Times New Roman"/>
          <w:sz w:val="18"/>
          <w:szCs w:val="18"/>
          <w:b w:val="1"/>
          <w:bCs w:val="1"/>
          <w:color w:val="auto"/>
        </w:rPr>
        <w:t>Shareholder Nominee</w:t>
      </w:r>
      <w:r>
        <w:rPr>
          <w:rFonts w:ascii="Times New Roman" w:cs="Times New Roman" w:eastAsia="Times New Roman" w:hAnsi="Times New Roman"/>
          <w:sz w:val="18"/>
          <w:szCs w:val="18"/>
          <w:color w:val="auto"/>
        </w:rPr>
        <w:t>”), who shall also be included on the Corporation’s form of proxy and ballot, by any Eligible Shareholder (as defined below) or group of up to 20 Eligible Shareholders that, as determined by the Board of Directors, has (individually and collectively, in the case of a group) satisfied all applicable conditions and complied with all applicable procedures and requirements set forth in this Section 3.11 (such Eligible Shareholder or group of Eligible Shareholders being a “</w:t>
      </w:r>
      <w:r>
        <w:rPr>
          <w:rFonts w:ascii="Times New Roman" w:cs="Times New Roman" w:eastAsia="Times New Roman" w:hAnsi="Times New Roman"/>
          <w:sz w:val="18"/>
          <w:szCs w:val="18"/>
          <w:b w:val="1"/>
          <w:bCs w:val="1"/>
          <w:color w:val="auto"/>
        </w:rPr>
        <w:t>Nominating Shareholder</w:t>
      </w:r>
      <w:r>
        <w:rPr>
          <w:rFonts w:ascii="Times New Roman" w:cs="Times New Roman" w:eastAsia="Times New Roman" w:hAnsi="Times New Roman"/>
          <w:sz w:val="18"/>
          <w:szCs w:val="18"/>
          <w:color w:val="auto"/>
        </w:rPr>
        <w:t xml:space="preserve">”); (B) disclosure about each Shareholder Nominee and the Nominating Shareholder required under the rules of the SEC or other applicable law to be included in the proxy statement; (C) any statement included by the Nominating Shareholder in the Nomination Notice for inclusion in the proxy statement in support of each Shareholder Nominee’s election to the Board of Directors (subject, without limitation, to Section 3.11(e)(ii),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statement does not exceed 500 words and fully complies with Section 14 of the Exchange Act, including Rule 14a-9 thereunder (the “</w:t>
      </w:r>
      <w:r>
        <w:rPr>
          <w:rFonts w:ascii="Times New Roman" w:cs="Times New Roman" w:eastAsia="Times New Roman" w:hAnsi="Times New Roman"/>
          <w:sz w:val="18"/>
          <w:szCs w:val="18"/>
          <w:b w:val="1"/>
          <w:bCs w:val="1"/>
          <w:color w:val="auto"/>
        </w:rPr>
        <w:t>Supporting Statement</w:t>
      </w:r>
      <w:r>
        <w:rPr>
          <w:rFonts w:ascii="Times New Roman" w:cs="Times New Roman" w:eastAsia="Times New Roman" w:hAnsi="Times New Roman"/>
          <w:sz w:val="18"/>
          <w:szCs w:val="18"/>
          <w:color w:val="auto"/>
        </w:rPr>
        <w:t>”)); and (D) any other information that the Corporation or the Board of Directors determines, in their discretion, to include in the proxy statement relating to the Nominating Shareholder and the nomination of each Shareholder Nominee, including, without limitation, any statement in opposition to the nomination, any of the information provided pursuant to this Section 3.11 and any solicitation materials or related information with respect to a Shareholder Nominee.</w:t>
      </w:r>
    </w:p>
    <w:p>
      <w:pPr>
        <w:spacing w:after="0" w:line="236" w:lineRule="exact"/>
        <w:rPr>
          <w:rFonts w:ascii="Times New Roman" w:cs="Times New Roman" w:eastAsia="Times New Roman" w:hAnsi="Times New Roman"/>
          <w:sz w:val="18"/>
          <w:szCs w:val="18"/>
          <w:color w:val="auto"/>
        </w:rPr>
      </w:pPr>
    </w:p>
    <w:p>
      <w:pPr>
        <w:ind w:left="640" w:firstLine="1302"/>
        <w:spacing w:after="0" w:line="258" w:lineRule="auto"/>
        <w:tabs>
          <w:tab w:leader="none" w:pos="249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3.11, any determination to be made by the Board of Directors may be made by the Board of Directors, a committee of the Board of Directors or any officer of the Corporation designated by the Board of Directors or a committee of the Board of Directors, or the Chair or presiding officer of the meeting, and any such determination shall be final and binding on any Eligible Shareholder, any Nominating Shareholder, any Shareholder Nominee and any other person so long as made in good faith (without any further requirements).</w:t>
      </w:r>
    </w:p>
    <w:p>
      <w:pPr>
        <w:spacing w:after="0" w:line="223" w:lineRule="exact"/>
        <w:rPr>
          <w:rFonts w:ascii="Times New Roman" w:cs="Times New Roman" w:eastAsia="Times New Roman" w:hAnsi="Times New Roman"/>
          <w:sz w:val="18"/>
          <w:szCs w:val="18"/>
          <w:color w:val="auto"/>
        </w:rPr>
      </w:pPr>
    </w:p>
    <w:p>
      <w:pPr>
        <w:ind w:left="1940" w:hanging="646"/>
        <w:spacing w:after="0"/>
        <w:tabs>
          <w:tab w:leader="none" w:pos="19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Shareholder Nominees.</w:t>
      </w:r>
    </w:p>
    <w:p>
      <w:pPr>
        <w:spacing w:after="0" w:line="252" w:lineRule="exact"/>
        <w:rPr>
          <w:rFonts w:ascii="Times New Roman" w:cs="Times New Roman" w:eastAsia="Times New Roman" w:hAnsi="Times New Roman"/>
          <w:sz w:val="18"/>
          <w:szCs w:val="18"/>
          <w:color w:val="auto"/>
        </w:rPr>
      </w:pPr>
    </w:p>
    <w:p>
      <w:pPr>
        <w:ind w:left="2480" w:hanging="538"/>
        <w:spacing w:after="0"/>
        <w:tabs>
          <w:tab w:leader="none" w:pos="24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include in the proxy statement for an annual meeting of shareholders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more Shareholder Nominees than that number constituting the greater of</w:t>
      </w:r>
    </w:p>
    <w:p>
      <w:pPr>
        <w:spacing w:after="0" w:line="9" w:lineRule="exact"/>
        <w:rPr>
          <w:sz w:val="20"/>
          <w:szCs w:val="20"/>
          <w:color w:val="auto"/>
        </w:rPr>
      </w:pPr>
    </w:p>
    <w:p>
      <w:pPr>
        <w:ind w:left="640" w:right="400" w:firstLine="6"/>
        <w:spacing w:after="0" w:line="260" w:lineRule="auto"/>
        <w:tabs>
          <w:tab w:leader="none" w:pos="9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(B) 20% of the total number of Directors of the Corporation then serving on the last day on which a Nomination Notice may be submitted pursuant to this Section 3.11 (rounded down to the nearest whole number) (the “</w:t>
      </w:r>
      <w:r>
        <w:rPr>
          <w:rFonts w:ascii="Times New Roman" w:cs="Times New Roman" w:eastAsia="Times New Roman" w:hAnsi="Times New Roman"/>
          <w:sz w:val="18"/>
          <w:szCs w:val="18"/>
          <w:b w:val="1"/>
          <w:bCs w:val="1"/>
          <w:color w:val="auto"/>
        </w:rPr>
        <w:t>Maximum Number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20"/>
          </w:cols>
          <w:pgMar w:left="420" w:top="1363" w:right="459" w:bottom="1440" w:gutter="0" w:footer="0" w:header="0"/>
        </w:sectPr>
      </w:pPr>
    </w:p>
    <w:bookmarkStart w:id="116" w:name="page117"/>
    <w:bookmarkEnd w:id="116"/>
    <w:p>
      <w:pPr>
        <w:ind w:right="20" w:firstLine="1302"/>
        <w:spacing w:after="0" w:line="253" w:lineRule="auto"/>
        <w:tabs>
          <w:tab w:leader="none" w:pos="185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 this Section 3.11, as determined by the Board of Directors; (C) each Shareholder Nominee who the Board of Directors itself decides to nominate for election at such annual meeting; and (D) the number of incumbent Directors who had been Shareholder Nominees at either of the preceding two annual meetings of shareholders and whose reelection at the upcoming annual meeting of shareholders is being recommended by the Board of Directors. In the event that one or more vacancies for any reason occurs on the Board of Directors after the deadline for submitting a Nomination Notice as set forth in Section 3.11(d) but before the date of the annual meeting of shareholders and the Board of Directors resolves to reduce the size of the Board of Directors in connection therewith, the Maximum Number shall be calculated based on the number of Directors in office as so reduced.</w:t>
      </w:r>
    </w:p>
    <w:p>
      <w:pPr>
        <w:spacing w:after="0" w:line="234" w:lineRule="exact"/>
        <w:rPr>
          <w:rFonts w:ascii="Times New Roman" w:cs="Times New Roman" w:eastAsia="Times New Roman" w:hAnsi="Times New Roman"/>
          <w:sz w:val="18"/>
          <w:szCs w:val="18"/>
          <w:color w:val="auto"/>
        </w:rPr>
      </w:pPr>
    </w:p>
    <w:p>
      <w:pPr>
        <w:ind w:right="100" w:firstLine="1302"/>
        <w:spacing w:after="0" w:line="252" w:lineRule="auto"/>
        <w:tabs>
          <w:tab w:leader="none" w:pos="184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Shareholder Nominees pursuant to this Section 3.11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 Nomination Notice as set forth in Section 3.11(d), a Nominating Shareholder or a Shareholder Nominee ceases to satisfy the eligibility requirements in this Section 3.11,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shareholders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shareholders (notwithstanding that proxies in respect of such vote may have been received by the Corporation).</w:t>
      </w:r>
    </w:p>
    <w:p>
      <w:pPr>
        <w:spacing w:after="0" w:line="237" w:lineRule="exact"/>
        <w:rPr>
          <w:rFonts w:ascii="Times New Roman" w:cs="Times New Roman" w:eastAsia="Times New Roman" w:hAnsi="Times New Roman"/>
          <w:sz w:val="18"/>
          <w:szCs w:val="18"/>
          <w:color w:val="auto"/>
        </w:rPr>
      </w:pPr>
    </w:p>
    <w:p>
      <w:pPr>
        <w:ind w:left="1300" w:hanging="646"/>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of Nominating Shareholder.</w:t>
      </w:r>
    </w:p>
    <w:p>
      <w:pPr>
        <w:spacing w:after="0" w:line="248" w:lineRule="exact"/>
        <w:rPr>
          <w:rFonts w:ascii="Times New Roman" w:cs="Times New Roman" w:eastAsia="Times New Roman" w:hAnsi="Times New Roman"/>
          <w:sz w:val="18"/>
          <w:szCs w:val="18"/>
          <w:color w:val="auto"/>
        </w:rPr>
      </w:pPr>
    </w:p>
    <w:p>
      <w:pPr>
        <w:ind w:right="100" w:firstLine="1302"/>
        <w:spacing w:after="0" w:line="263" w:lineRule="auto"/>
        <w:tabs>
          <w:tab w:leader="none" w:pos="184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Eligible Shareholder</w:t>
      </w:r>
      <w:r>
        <w:rPr>
          <w:rFonts w:ascii="Times New Roman" w:cs="Times New Roman" w:eastAsia="Times New Roman" w:hAnsi="Times New Roman"/>
          <w:sz w:val="18"/>
          <w:szCs w:val="18"/>
          <w:color w:val="auto"/>
        </w:rPr>
        <w:t>” is a person who has either (A) been a record holder of the shares of common stock of the Corporation used to satisfy the eligibility requirements in this Section 3.11(c) continuously for the three-year period specified in Section</w:t>
      </w:r>
    </w:p>
    <w:p>
      <w:pPr>
        <w:ind w:right="4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3.11(c)(ii) or (B) provides to the Secretary, within the time period referred to in Section 3.11(d), evidence of continuous ownership of such shares for such three-year period from one or more securities intermediaries in a form that the Board of Directors determines acceptable.</w:t>
      </w:r>
    </w:p>
    <w:p>
      <w:pPr>
        <w:spacing w:after="0" w:line="197" w:lineRule="exact"/>
        <w:rPr>
          <w:rFonts w:ascii="Times New Roman" w:cs="Times New Roman" w:eastAsia="Times New Roman" w:hAnsi="Times New Roman"/>
          <w:sz w:val="18"/>
          <w:szCs w:val="18"/>
          <w:color w:val="auto"/>
        </w:rPr>
      </w:pPr>
    </w:p>
    <w:p>
      <w:pPr>
        <w:ind w:firstLine="1302"/>
        <w:spacing w:after="0" w:line="253" w:lineRule="auto"/>
        <w:tabs>
          <w:tab w:leader="none" w:pos="185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Shareholder or group of up to 20 Eligible Shareholders may submit a nomination in accordance with this Section 3.11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shareholders. The following shall be treated as one Eligible Shareholder if such Eligible Shareholder shall provide together with the Nomination Notice documentation satisfactory to the Board of Directors that the Eligible Shareholder consists only of funds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w:t>
      </w:r>
    </w:p>
    <w:p>
      <w:pPr>
        <w:spacing w:after="0" w:line="200" w:lineRule="exact"/>
        <w:rPr>
          <w:sz w:val="20"/>
          <w:szCs w:val="20"/>
          <w:color w:val="auto"/>
        </w:rPr>
      </w:pPr>
    </w:p>
    <w:p>
      <w:pPr>
        <w:spacing w:after="0" w:line="3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380"/>
          </w:cols>
          <w:pgMar w:left="1060" w:top="1363" w:right="459" w:bottom="1440" w:gutter="0" w:footer="0" w:header="0"/>
        </w:sectPr>
      </w:pPr>
    </w:p>
    <w:bookmarkStart w:id="117" w:name="page118"/>
    <w:bookmarkEnd w:id="117"/>
    <w:p>
      <w:pPr>
        <w:spacing w:after="0" w:line="275" w:lineRule="auto"/>
        <w:rPr>
          <w:sz w:val="20"/>
          <w:szCs w:val="20"/>
          <w:color w:val="auto"/>
        </w:rPr>
      </w:pPr>
      <w:r>
        <w:rPr>
          <w:rFonts w:ascii="Times New Roman" w:cs="Times New Roman" w:eastAsia="Times New Roman" w:hAnsi="Times New Roman"/>
          <w:sz w:val="17"/>
          <w:szCs w:val="17"/>
          <w:color w:val="auto"/>
        </w:rPr>
        <w:t xml:space="preserve">group;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Minimum Number shall apply to the aggregate ownership of the group of Eligible Shareholders constituting the Nominating Shareholder. Should any Eligible Shareholder cease to satisfy the eligibility requirements in this Section 3.11, as determined by the Board of Directors, or withdraw from a group of Eligible Shareholders constituting a Nominating Shareholder at any time prior to the annual meeting of shareholders, the Nominating Shareholder shall be deemed to own only the shares held by the remaining Eligible Shareholders. As used in this Section 3.11, any reference to a “group” or “group of Eligible Shareholders” refers to any Nominating Shareholder that consists of more than one Eligible Shareholder and to all the Eligible Shareholders that make up such Nominating Shareholder.</w:t>
      </w:r>
    </w:p>
    <w:p>
      <w:pPr>
        <w:spacing w:after="0" w:line="247" w:lineRule="exact"/>
        <w:rPr>
          <w:sz w:val="20"/>
          <w:szCs w:val="20"/>
          <w:color w:val="auto"/>
        </w:rPr>
      </w:pPr>
    </w:p>
    <w:p>
      <w:pPr>
        <w:jc w:val="both"/>
        <w:ind w:right="20" w:firstLine="1302"/>
        <w:spacing w:after="0" w:line="268" w:lineRule="auto"/>
        <w:tabs>
          <w:tab w:leader="none" w:pos="1849"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Minimum Number</w:t>
      </w:r>
      <w:r>
        <w:rPr>
          <w:rFonts w:ascii="Times New Roman" w:cs="Times New Roman" w:eastAsia="Times New Roman" w:hAnsi="Times New Roman"/>
          <w:sz w:val="18"/>
          <w:szCs w:val="18"/>
          <w:color w:val="auto"/>
        </w:rPr>
        <w:t>” of shares of the Corporation’s common stock means 3% of the aggregate number of shares outstanding of each class of the Corporation’s common stock, as disclosed in each filing by the Corporation under the Exchange Act during the three-year period prior to the submission of the Nomination Notice.</w:t>
      </w:r>
    </w:p>
    <w:p>
      <w:pPr>
        <w:spacing w:after="0" w:line="215" w:lineRule="exact"/>
        <w:rPr>
          <w:rFonts w:ascii="Times New Roman" w:cs="Times New Roman" w:eastAsia="Times New Roman" w:hAnsi="Times New Roman"/>
          <w:sz w:val="18"/>
          <w:szCs w:val="18"/>
          <w:color w:val="auto"/>
        </w:rPr>
      </w:pPr>
    </w:p>
    <w:p>
      <w:pPr>
        <w:ind w:right="120" w:firstLine="1302"/>
        <w:spacing w:after="0" w:line="276" w:lineRule="auto"/>
        <w:tabs>
          <w:tab w:leader="none" w:pos="1853" w:val="left"/>
        </w:tabs>
        <w:numPr>
          <w:ilvl w:val="2"/>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3.11, an Eligible Shareholder “owns” only those outstanding shares of the Corporation’s common stock as to which such Eligible Shareholder possesses both: (A) the full voting and investment rights pertaining to such shares and</w:t>
      </w:r>
    </w:p>
    <w:p>
      <w:pPr>
        <w:ind w:right="100" w:firstLine="6"/>
        <w:spacing w:after="0" w:line="250" w:lineRule="auto"/>
        <w:tabs>
          <w:tab w:leader="none" w:pos="2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full economic interest in (including the opportunity for profit from and the risk of loss on) such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number of shares calculated in accordance with clauses (A) and (B) shall not include any shares: (1) purchased or sold by such Eligible Shareholder or any of its affiliates in any transaction that has not been settled or closed, (2) that are subject to short positions or were otherwise sold short by such Eligible Shareholder or any of its affiliates, (3) borrowed by such Eligible Shareholder or any of its affiliates for any purpose or purchased by such Eligible Shareholder or any of its affiliates pursuant to an agreement to resell or subject to any other obligation to resell to another person, or (4)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reducing in any manner, to any extent or at any time in the future, such Eligible Shareholder’s or any of its affiliates’ full right to vote or direct the voting of any such shares, and/or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Eligible Shareholder has the power to recall such loaned shares on not more than five business days’ notice. The terms “owned,” “owning” and other variations of the word “own” shall have correlative meanings. Whether outstanding shares of the Corporation are “owned” for these purposes shall be determined by the Board of Directors. For purposes of this Section 3.11(c)(iv), the term “affiliate” or “affiliates” shall have the meaning ascribed thereto under the General Rules and Regulations under the Exchange Act.</w:t>
      </w:r>
    </w:p>
    <w:p>
      <w:pPr>
        <w:spacing w:after="0" w:line="232" w:lineRule="exact"/>
        <w:rPr>
          <w:rFonts w:ascii="Times New Roman" w:cs="Times New Roman" w:eastAsia="Times New Roman" w:hAnsi="Times New Roman"/>
          <w:sz w:val="18"/>
          <w:szCs w:val="18"/>
          <w:color w:val="auto"/>
        </w:rPr>
      </w:pPr>
    </w:p>
    <w:p>
      <w:pPr>
        <w:ind w:right="140" w:firstLine="1302"/>
        <w:spacing w:after="0" w:line="261" w:lineRule="auto"/>
        <w:tabs>
          <w:tab w:leader="none" w:pos="184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Eligible Shareholder shall be permitted to be in more than one group constituting a Nominating Shareholder, and if any Eligible Shareholder appears as a member of more than one group, such Eligible Shareholder shall be deemed to be a member of only the group that owns the largest aggregate number of shares of each class of the Corporation’s common stock, as reflected in the Nomination Notice.</w:t>
      </w:r>
    </w:p>
    <w:p>
      <w:pPr>
        <w:spacing w:after="0" w:line="220" w:lineRule="exact"/>
        <w:rPr>
          <w:rFonts w:ascii="Times New Roman" w:cs="Times New Roman" w:eastAsia="Times New Roman" w:hAnsi="Times New Roman"/>
          <w:sz w:val="18"/>
          <w:szCs w:val="18"/>
          <w:color w:val="auto"/>
        </w:rPr>
      </w:pPr>
    </w:p>
    <w:p>
      <w:pPr>
        <w:ind w:left="1300" w:hanging="646"/>
        <w:spacing w:after="0"/>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Notice.</w:t>
      </w:r>
    </w:p>
    <w:p>
      <w:pPr>
        <w:spacing w:after="0" w:line="265" w:lineRule="exact"/>
        <w:rPr>
          <w:rFonts w:ascii="Times New Roman" w:cs="Times New Roman" w:eastAsia="Times New Roman" w:hAnsi="Times New Roman"/>
          <w:sz w:val="18"/>
          <w:szCs w:val="18"/>
          <w:color w:val="auto"/>
        </w:rPr>
      </w:pPr>
    </w:p>
    <w:p>
      <w:pPr>
        <w:ind w:right="540" w:firstLine="1302"/>
        <w:spacing w:after="0" w:line="282" w:lineRule="auto"/>
        <w:tabs>
          <w:tab w:leader="none" w:pos="184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nominate a Shareholder Nominee pursuant to this Section 3.11 the Nominating Shareholder (including each Eligible Shareholder in the case of a Nominating Shareholder</w:t>
      </w:r>
    </w:p>
    <w:p>
      <w:pPr>
        <w:spacing w:after="0" w:line="200" w:lineRule="exact"/>
        <w:rPr>
          <w:sz w:val="20"/>
          <w:szCs w:val="20"/>
          <w:color w:val="auto"/>
        </w:rPr>
      </w:pPr>
    </w:p>
    <w:p>
      <w:pPr>
        <w:spacing w:after="0" w:line="34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380"/>
          </w:cols>
          <w:pgMar w:left="1060" w:top="1361"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consisting of a group of Eligible Shareholders) must deliver to the Secretary of the Corporation at the principal executive offices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all of the following information and documents in a form that the Board of Directors determines acceptable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Nomination Notice</w:t>
      </w:r>
      <w:r>
        <w:rPr>
          <w:rFonts w:ascii="Times New Roman" w:cs="Times New Roman" w:eastAsia="Times New Roman" w:hAnsi="Times New Roman"/>
          <w:sz w:val="18"/>
          <w:szCs w:val="18"/>
          <w:color w:val="auto"/>
        </w:rPr>
        <w:t>”), by the Close of Business not less than 120 days, and not more than 150 days, prior to the anniversary of the date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Corporation first mailed or otherwise distributed its proxy statement for the prior year’s annual meeting of shareholders;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if (and only if) the annual meeting of shareholders is not scheduled to be held within a period that commences 30 days before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concludes 30 days after the first anniversary</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date of the preceding year’s annual meeting of shareholders, including if no annual meeting was held in the preceding year (an annual meeting date outside such period being referred to herein as an “</w:t>
      </w:r>
      <w:r>
        <w:rPr>
          <w:rFonts w:ascii="Times New Roman" w:cs="Times New Roman" w:eastAsia="Times New Roman" w:hAnsi="Times New Roman"/>
          <w:sz w:val="18"/>
          <w:szCs w:val="18"/>
          <w:b w:val="1"/>
          <w:bCs w:val="1"/>
          <w:color w:val="auto"/>
        </w:rPr>
        <w:t>Other Meeting Date</w:t>
      </w:r>
      <w:r>
        <w:rPr>
          <w:rFonts w:ascii="Times New Roman" w:cs="Times New Roman" w:eastAsia="Times New Roman" w:hAnsi="Times New Roman"/>
          <w:sz w:val="18"/>
          <w:szCs w:val="18"/>
          <w:color w:val="auto"/>
        </w:rPr>
        <w:t>”), the Nomination Notice shall be given in the manner provided herein by the Close of Business on the later of the date that is 180 days prior to such Other Meeting Date or the 10th day following the date a Public Announcement of such Other Meeting Date is first made by the Corporation (and in no event shall the adjournment or postponement of an annual meeting, or the Public Announcement thereof, commence a new time period (or extend any time period) for the giving of the Nomination Notice):</w:t>
      </w:r>
    </w:p>
    <w:p>
      <w:pPr>
        <w:spacing w:after="0" w:line="230" w:lineRule="exact"/>
        <w:rPr>
          <w:sz w:val="20"/>
          <w:szCs w:val="20"/>
          <w:color w:val="auto"/>
        </w:rPr>
      </w:pPr>
    </w:p>
    <w:p>
      <w:pPr>
        <w:ind w:left="660" w:right="240" w:firstLine="1290"/>
        <w:spacing w:after="0" w:line="256" w:lineRule="auto"/>
        <w:tabs>
          <w:tab w:leader="none" w:pos="250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shares (and from each intermediary through which the shares are or have been held during the requisite three-year holding period) verifying that, as of a date within seven days prior to the date of the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214" w:lineRule="exact"/>
        <w:rPr>
          <w:rFonts w:ascii="Times New Roman" w:cs="Times New Roman" w:eastAsia="Times New Roman" w:hAnsi="Times New Roman"/>
          <w:sz w:val="18"/>
          <w:szCs w:val="18"/>
          <w:color w:val="auto"/>
        </w:rPr>
      </w:pPr>
    </w:p>
    <w:p>
      <w:pPr>
        <w:ind w:left="660" w:right="60" w:firstLine="1290"/>
        <w:spacing w:after="0" w:line="266" w:lineRule="auto"/>
        <w:tabs>
          <w:tab w:leader="none" w:pos="25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216" w:lineRule="exact"/>
        <w:rPr>
          <w:rFonts w:ascii="Times New Roman" w:cs="Times New Roman" w:eastAsia="Times New Roman" w:hAnsi="Times New Roman"/>
          <w:sz w:val="18"/>
          <w:szCs w:val="18"/>
          <w:color w:val="auto"/>
        </w:rPr>
      </w:pPr>
    </w:p>
    <w:p>
      <w:pPr>
        <w:ind w:left="660" w:right="300" w:firstLine="1290"/>
        <w:spacing w:after="0" w:line="282" w:lineRule="auto"/>
        <w:tabs>
          <w:tab w:leader="none" w:pos="25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14N (or any successor form) relating to each Shareholder Nominee, completed and filed with the SEC by the Nominating Shareholder, as applicable, in accordance with SEC rules;</w:t>
      </w:r>
    </w:p>
    <w:p>
      <w:pPr>
        <w:spacing w:after="0" w:line="202" w:lineRule="exact"/>
        <w:rPr>
          <w:rFonts w:ascii="Times New Roman" w:cs="Times New Roman" w:eastAsia="Times New Roman" w:hAnsi="Times New Roman"/>
          <w:sz w:val="18"/>
          <w:szCs w:val="18"/>
          <w:color w:val="auto"/>
        </w:rPr>
      </w:pPr>
    </w:p>
    <w:p>
      <w:pPr>
        <w:ind w:left="660" w:right="140" w:firstLine="1290"/>
        <w:spacing w:after="0" w:line="258" w:lineRule="auto"/>
        <w:tabs>
          <w:tab w:leader="none" w:pos="250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that would be required to be set forth in a Shareholder Notice pursuant to Section 2.09 (other than information required by clauses (C)(7), (C)(8) and (D) of Section 2.09(a)(iii)), including the information required with respect to any nominee for election as a Director, any shareholder giving notice of an intent to nominate a candidate for election, and any shareholder, beneficial owner or other person on whose behalf the nomination is made under this Section 3.11, and including the written representations, agreements and Questionnaires described in Section 3.10(a);</w:t>
      </w:r>
    </w:p>
    <w:p>
      <w:pPr>
        <w:spacing w:after="0" w:line="210" w:lineRule="exact"/>
        <w:rPr>
          <w:rFonts w:ascii="Times New Roman" w:cs="Times New Roman" w:eastAsia="Times New Roman" w:hAnsi="Times New Roman"/>
          <w:sz w:val="18"/>
          <w:szCs w:val="18"/>
          <w:color w:val="auto"/>
        </w:rPr>
      </w:pPr>
    </w:p>
    <w:p>
      <w:pPr>
        <w:ind w:left="660" w:firstLine="1290"/>
        <w:spacing w:after="0" w:line="267" w:lineRule="auto"/>
        <w:tabs>
          <w:tab w:leader="none" w:pos="251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notice, in a form deemed satisfactory by the Board of Directors, of the nomination of each Shareholder Nominee that includes the following additional information, agreements, representations and warranties by the Nominating Shareholder: (1) 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(2) a representation and warranty that the Nominating Shareholder has not nominated and will not nominate for election to the Board of Directors at the annual meeting any person other than such Nominating Shareholder’s Shareholder Nominee(s); (3) a representation and warranty that the Nominating Shareholder has not engaged in and will not engage in, and has not been and will not be a participant (as defined in Item 4 of Exchange Act Schedule 14A) in, a solicitation within the meaning of Rule 14a-1(l) under the Exchange Act (without reference to the exception in Section 14a-1(l)</w:t>
      </w:r>
    </w:p>
    <w:p>
      <w:pPr>
        <w:spacing w:after="0" w:line="5" w:lineRule="exact"/>
        <w:rPr>
          <w:rFonts w:ascii="Times New Roman" w:cs="Times New Roman" w:eastAsia="Times New Roman" w:hAnsi="Times New Roman"/>
          <w:sz w:val="17"/>
          <w:szCs w:val="17"/>
          <w:color w:val="auto"/>
        </w:rPr>
      </w:pPr>
    </w:p>
    <w:p>
      <w:pPr>
        <w:jc w:val="both"/>
        <w:ind w:left="660"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(2)(iv)) with respect to the annual meeting, other than with respect to such Nominating Shareholder’s Shareholder Nominee(s) or any nominee of the Board of Directors; (4) a representation and warranty that the Nominating Shareholder will not use any form of proxy and</w:t>
      </w:r>
    </w:p>
    <w:p>
      <w:pPr>
        <w:spacing w:after="0" w:line="200" w:lineRule="exact"/>
        <w:rPr>
          <w:sz w:val="20"/>
          <w:szCs w:val="20"/>
          <w:color w:val="auto"/>
        </w:rPr>
      </w:pPr>
    </w:p>
    <w:p>
      <w:pPr>
        <w:spacing w:after="0" w:line="38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340"/>
          </w:cols>
          <w:pgMar w:left="1060" w:top="1363" w:right="499" w:bottom="1440" w:gutter="0" w:footer="0" w:header="0"/>
        </w:sectPr>
      </w:pPr>
    </w:p>
    <w:bookmarkStart w:id="119" w:name="page120"/>
    <w:bookmarkEnd w:id="119"/>
    <w:p>
      <w:pPr>
        <w:ind w:left="280" w:right="40"/>
        <w:spacing w:after="0" w:line="253" w:lineRule="auto"/>
        <w:rPr>
          <w:sz w:val="20"/>
          <w:szCs w:val="20"/>
          <w:color w:val="auto"/>
        </w:rPr>
      </w:pPr>
      <w:r>
        <w:rPr>
          <w:rFonts w:ascii="Times New Roman" w:cs="Times New Roman" w:eastAsia="Times New Roman" w:hAnsi="Times New Roman"/>
          <w:sz w:val="18"/>
          <w:szCs w:val="18"/>
          <w:color w:val="auto"/>
        </w:rPr>
        <w:t>ballot other than the Corporation’s form of proxy and ballot in soliciting shareholders in connection with the election of a Shareholder Nominee at the annual meeting; (5) a representation and warranty that each Shareholder Nominee’s candidacy or, if elected, membership on the Board of Directors would not violate the Articles of Incorporation, the Bylaws, any applicable law, rule, regulation, order or decree to which the Corporation is subject, including rules or regulations of any stock exchange on which the Corporation’s shares of common stock are listed; (6) a representation and warranty that each Shareholder Nominee: (a) does not have any direct or indirect relationship with the Corporation that would cause the Shareholder Nominee to be</w:t>
      </w:r>
    </w:p>
    <w:p>
      <w:pPr>
        <w:spacing w:after="0" w:line="5" w:lineRule="exact"/>
        <w:rPr>
          <w:sz w:val="20"/>
          <w:szCs w:val="20"/>
          <w:color w:val="auto"/>
        </w:rPr>
      </w:pPr>
    </w:p>
    <w:p>
      <w:pPr>
        <w:ind w:left="280" w:right="40"/>
        <w:spacing w:after="0" w:line="250" w:lineRule="auto"/>
        <w:rPr>
          <w:sz w:val="20"/>
          <w:szCs w:val="20"/>
          <w:color w:val="auto"/>
        </w:rPr>
      </w:pPr>
      <w:r>
        <w:rPr>
          <w:rFonts w:ascii="Times New Roman" w:cs="Times New Roman" w:eastAsia="Times New Roman" w:hAnsi="Times New Roman"/>
          <w:sz w:val="18"/>
          <w:szCs w:val="18"/>
          <w:color w:val="auto"/>
        </w:rPr>
        <w:t>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(b) meets the audit committee and compensation committee independence</w:t>
      </w:r>
    </w:p>
    <w:p>
      <w:pPr>
        <w:spacing w:after="0" w:line="1" w:lineRule="exact"/>
        <w:rPr>
          <w:sz w:val="20"/>
          <w:szCs w:val="20"/>
          <w:color w:val="auto"/>
        </w:rPr>
      </w:pPr>
    </w:p>
    <w:p>
      <w:pPr>
        <w:ind w:left="280" w:right="40"/>
        <w:spacing w:after="0" w:line="250" w:lineRule="auto"/>
        <w:rPr>
          <w:sz w:val="20"/>
          <w:szCs w:val="20"/>
          <w:color w:val="auto"/>
        </w:rPr>
      </w:pPr>
      <w:r>
        <w:rPr>
          <w:rFonts w:ascii="Times New Roman" w:cs="Times New Roman" w:eastAsia="Times New Roman" w:hAnsi="Times New Roman"/>
          <w:sz w:val="18"/>
          <w:szCs w:val="18"/>
          <w:color w:val="auto"/>
        </w:rPr>
        <w:t>requirements under the rules of any stock exchange on which the Corporation’s shares of common stock are listed; (c) is a “non-employee director” for the purposes of Rule 16b-3 under the Exchange Act (or any successor rule); (d)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 (e) meets the Director qualifications set forth in the Corporation’s Corporate Governance Guidelines and any other standards established by the Corporation (notwithstanding this clause (6), for the avoidance of doubt, the Board is responsible for making the final determination of the Shareholder Nominee’s independence); (7) a representation and warranty that the Nominating Shareholder satisfies the eligibility requirements set forth in Section 3.11(c) and intends to continue to satisfy such eligibility requirements through the date of the annual meeting;</w:t>
      </w:r>
    </w:p>
    <w:p>
      <w:pPr>
        <w:spacing w:after="0" w:line="4" w:lineRule="exact"/>
        <w:rPr>
          <w:sz w:val="20"/>
          <w:szCs w:val="20"/>
          <w:color w:val="auto"/>
        </w:rPr>
      </w:pPr>
    </w:p>
    <w:p>
      <w:pPr>
        <w:ind w:left="280" w:right="80" w:hanging="6"/>
        <w:spacing w:after="0" w:line="253" w:lineRule="auto"/>
        <w:tabs>
          <w:tab w:leader="none" w:pos="5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position of a Shareholder Nominee as an employee, officer or director of any company, and of any other material relationship with or material financial interest in any company, within the three years preceding the submission of the Nomination Notice; (9) if desired, a Supporting Statement; and (10) 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227" w:lineRule="exact"/>
        <w:rPr>
          <w:rFonts w:ascii="Times New Roman" w:cs="Times New Roman" w:eastAsia="Times New Roman" w:hAnsi="Times New Roman"/>
          <w:sz w:val="18"/>
          <w:szCs w:val="18"/>
          <w:color w:val="auto"/>
        </w:rPr>
      </w:pPr>
    </w:p>
    <w:p>
      <w:pPr>
        <w:ind w:left="280" w:firstLine="1290"/>
        <w:spacing w:after="0" w:line="252" w:lineRule="auto"/>
        <w:tabs>
          <w:tab w:leader="none" w:pos="213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by the Board of Directors, pursuant to which the Nominating Shareholder (including in the case of a group, each Eligible Shareholder in that group) agrees: (1) to comply with all applicable laws, rules and regulations in connection with the nomination, solicitation and election of the Shareholder Nominee; (2) to file any written solicitation or other communication with the Corporation’s shareholders relating to one or more of the Corporation’s Directors or Director nominees or any Shareholder Nominee with the SEC, regardless of whether any such filing is required under any rule or regulation or whether any exemption from filing is available for such materials under any rule or regulation; (3) to assume all liability stemming from any action, suit or proceeding concerning any actual or alleged legal or regulatory violation arising out of any communication by the Nominating Shareholder or any of its Shareholder Nominees with the Corporation, the shareholders of the Corporation or any other person in connection with the nomination or election of Directors, including, without limitation, the Nomination Notice; (4) 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 obligations, agreements or representations under, this Section 3.11; (5) in the event that any information included in the Nomination Notice or any other communication by the Nominating Shareholder (including with respect to any Eligible Shareholder included in a group) with the Corporation, the shareholders of the Corporation or any other person in connection with the</w:t>
      </w:r>
    </w:p>
    <w:p>
      <w:pPr>
        <w:spacing w:after="0" w:line="200" w:lineRule="exact"/>
        <w:rPr>
          <w:sz w:val="20"/>
          <w:szCs w:val="20"/>
          <w:color w:val="auto"/>
        </w:rPr>
      </w:pPr>
    </w:p>
    <w:p>
      <w:pPr>
        <w:spacing w:after="0" w:line="3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9960"/>
          </w:cols>
          <w:pgMar w:left="1440" w:top="1363" w:right="499" w:bottom="1440" w:gutter="0" w:footer="0" w:header="0"/>
        </w:sectPr>
      </w:pPr>
    </w:p>
    <w:bookmarkStart w:id="120" w:name="page121"/>
    <w:bookmarkEnd w:id="120"/>
    <w:p>
      <w:pPr>
        <w:ind w:left="660" w:right="40"/>
        <w:spacing w:after="0" w:line="256" w:lineRule="auto"/>
        <w:rPr>
          <w:sz w:val="20"/>
          <w:szCs w:val="20"/>
          <w:color w:val="auto"/>
        </w:rPr>
      </w:pPr>
      <w:r>
        <w:rPr>
          <w:rFonts w:ascii="Times New Roman" w:cs="Times New Roman" w:eastAsia="Times New Roman" w:hAnsi="Times New Roman"/>
          <w:sz w:val="18"/>
          <w:szCs w:val="18"/>
          <w:color w:val="auto"/>
        </w:rPr>
        <w:t>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Shareholder (including any Eligible Shareholder in a group) has failed to continue to satisfy the eligibility requirements described in Section 3.11(c), to promptly notify the Corporation; and</w:t>
      </w:r>
    </w:p>
    <w:p>
      <w:pPr>
        <w:spacing w:after="0" w:line="228" w:lineRule="exact"/>
        <w:rPr>
          <w:sz w:val="20"/>
          <w:szCs w:val="20"/>
          <w:color w:val="auto"/>
        </w:rPr>
      </w:pPr>
    </w:p>
    <w:p>
      <w:pPr>
        <w:ind w:left="660" w:right="200" w:firstLine="1290"/>
        <w:spacing w:after="0" w:line="256" w:lineRule="auto"/>
        <w:tabs>
          <w:tab w:leader="none" w:pos="2503"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Nominee’s written representation and agreement: (1) to promptly, but in any event within 10 days after such request, provide to the Corporation the information described in Section 3.10(b); and (2)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w:t>
      </w:r>
    </w:p>
    <w:p>
      <w:pPr>
        <w:spacing w:after="0" w:line="227" w:lineRule="exact"/>
        <w:rPr>
          <w:rFonts w:ascii="Times New Roman" w:cs="Times New Roman" w:eastAsia="Times New Roman" w:hAnsi="Times New Roman"/>
          <w:sz w:val="18"/>
          <w:szCs w:val="18"/>
          <w:color w:val="auto"/>
        </w:rPr>
      </w:pPr>
    </w:p>
    <w:p>
      <w:pPr>
        <w:ind w:right="20" w:firstLine="1302"/>
        <w:spacing w:after="0" w:line="258" w:lineRule="auto"/>
        <w:tabs>
          <w:tab w:leader="none" w:pos="185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and documents required by this Section 3.11(d) to be provided by the Nominating Shareholder shall be provided with respect to and executed by each Eligible Shareholder in the case of a Nominating Shareholder comprised of a group of Eligible Shareholders. The Nomination Notice shall be deemed submitted on the date on which all of the information and documents referred to in this Section 3.11(d) (other than any information and documents contemplated to be provided after the date the Nomination Notice is provided) have been delivered to and received by the Secretary.</w:t>
      </w:r>
    </w:p>
    <w:p>
      <w:pPr>
        <w:spacing w:after="0" w:line="210" w:lineRule="exact"/>
        <w:rPr>
          <w:rFonts w:ascii="Times New Roman" w:cs="Times New Roman" w:eastAsia="Times New Roman" w:hAnsi="Times New Roman"/>
          <w:sz w:val="18"/>
          <w:szCs w:val="18"/>
          <w:color w:val="auto"/>
        </w:rPr>
      </w:pPr>
    </w:p>
    <w:p>
      <w:pPr>
        <w:ind w:left="1300" w:hanging="646"/>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Exceptions.</w:t>
      </w:r>
    </w:p>
    <w:p>
      <w:pPr>
        <w:spacing w:after="0" w:line="265" w:lineRule="exact"/>
        <w:rPr>
          <w:rFonts w:ascii="Times New Roman" w:cs="Times New Roman" w:eastAsia="Times New Roman" w:hAnsi="Times New Roman"/>
          <w:sz w:val="18"/>
          <w:szCs w:val="18"/>
          <w:color w:val="auto"/>
        </w:rPr>
      </w:pPr>
    </w:p>
    <w:p>
      <w:pPr>
        <w:ind w:firstLine="1302"/>
        <w:spacing w:after="0" w:line="251" w:lineRule="auto"/>
        <w:tabs>
          <w:tab w:leader="none" w:pos="184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3.11,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 (A) the Corporation receives a notice pursuant to the advance notice requirements set forth in Section 2.09 that a shareholder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 pursuant to this Section 3.11, the Nominating Shareholder withdraws its nomination or the presiding officer of the annual meeting declares that such nomination was not made in accordance with the procedures prescribed by this Section 3.11 and shall therefore be disregarded; (C) the Board of Directors in good faith determines that such Shareholder Nominee fails to satisfy all the standards set forth in Section 3.11(d)(i)(E)(6)(a)-(e),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Articles of Incorporation, the Bylaws or any applicable law, rule, regulation, order or decree to which the Corporation is subject, including any rules or regulations of any stock exchange on which the Corporation’s shares of common stock are listed; (D) such Shareholder Nominee was nominated for election to the Board of Directors pursuant to this Section 3.11 at one of the Corporation’s two preceding annual meetings of shareholders and either withdrew from or became ineligible or unavailable for election at such annual meeting or received less than 25% of the votes that all shareholders are entitled to cast in favor of the election of such Shareholder Nominee; or (E) the Corporation is notified, or the Board of Directors determines, that the Nominating Shareholder or such Shareholder Nominee has failed to continue to satisfy the eligibility requirements described in Section 3.11(c), any of the representations and warranties made in the</w:t>
      </w:r>
    </w:p>
    <w:p>
      <w:pPr>
        <w:spacing w:after="0" w:line="200" w:lineRule="exact"/>
        <w:rPr>
          <w:sz w:val="20"/>
          <w:szCs w:val="20"/>
          <w:color w:val="auto"/>
        </w:rPr>
      </w:pPr>
    </w:p>
    <w:p>
      <w:pPr>
        <w:spacing w:after="0" w:line="3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380"/>
          </w:cols>
          <w:pgMar w:left="1060" w:top="1363" w:right="459" w:bottom="1440" w:gutter="0" w:footer="0" w:header="0"/>
        </w:sectPr>
      </w:pPr>
    </w:p>
    <w:bookmarkStart w:id="121" w:name="page122"/>
    <w:bookmarkEnd w:id="121"/>
    <w:p>
      <w:pPr>
        <w:ind w:left="640" w:right="20"/>
        <w:spacing w:after="0" w:line="261" w:lineRule="auto"/>
        <w:rPr>
          <w:sz w:val="20"/>
          <w:szCs w:val="20"/>
          <w:color w:val="auto"/>
        </w:rPr>
      </w:pPr>
      <w:r>
        <w:rPr>
          <w:rFonts w:ascii="Times New Roman" w:cs="Times New Roman" w:eastAsia="Times New Roman" w:hAnsi="Times New Roman"/>
          <w:sz w:val="18"/>
          <w:szCs w:val="18"/>
          <w:color w:val="auto"/>
        </w:rPr>
        <w:t>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3.11.</w:t>
      </w:r>
    </w:p>
    <w:p>
      <w:pPr>
        <w:spacing w:after="0" w:line="220" w:lineRule="exact"/>
        <w:rPr>
          <w:sz w:val="20"/>
          <w:szCs w:val="20"/>
          <w:color w:val="auto"/>
        </w:rPr>
      </w:pPr>
    </w:p>
    <w:p>
      <w:pPr>
        <w:ind w:left="640" w:right="40" w:firstLine="1302"/>
        <w:spacing w:after="0" w:line="254" w:lineRule="auto"/>
        <w:tabs>
          <w:tab w:leader="none" w:pos="249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3.11,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SEC proxy rules or any other applicable law, rule or regulation; or (D) the inclusion of such information in the proxy statement would impose a material risk of liability upon the Corporation.</w:t>
      </w:r>
    </w:p>
    <w:p>
      <w:pPr>
        <w:spacing w:after="0" w:line="228" w:lineRule="exact"/>
        <w:rPr>
          <w:rFonts w:ascii="Times New Roman" w:cs="Times New Roman" w:eastAsia="Times New Roman" w:hAnsi="Times New Roman"/>
          <w:sz w:val="18"/>
          <w:szCs w:val="18"/>
          <w:color w:val="auto"/>
        </w:rPr>
      </w:pPr>
    </w:p>
    <w:p>
      <w:pPr>
        <w:ind w:left="2500" w:hanging="558"/>
        <w:spacing w:after="0"/>
        <w:tabs>
          <w:tab w:leader="none" w:pos="25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solicit against, and include in the proxy statement its own statement relating to, any</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Nominee.</w:t>
      </w: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OFFICERS</w:t>
      </w:r>
    </w:p>
    <w:p>
      <w:pPr>
        <w:spacing w:after="0" w:line="114" w:lineRule="exact"/>
        <w:rPr>
          <w:sz w:val="20"/>
          <w:szCs w:val="20"/>
          <w:color w:val="auto"/>
        </w:rPr>
      </w:pPr>
    </w:p>
    <w:p>
      <w:pPr>
        <w:ind w:firstLine="647"/>
        <w:spacing w:after="0" w:line="25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Election and Office</w:t>
      </w:r>
      <w:r>
        <w:rPr>
          <w:rFonts w:ascii="Times New Roman" w:cs="Times New Roman" w:eastAsia="Times New Roman" w:hAnsi="Times New Roman"/>
          <w:sz w:val="18"/>
          <w:szCs w:val="18"/>
          <w:color w:val="auto"/>
        </w:rPr>
        <w:t>.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rank and duties of and elect additional officers or assistant officers. Any number of offices may be held by the same person. The Chairman of the Board must be a Director of the Corporation. The Board of Directors may delegate to any officer the power to appoint subordinate officers and to retain or appoint employees or other agents, and to prescribe the rank, authority and duties of such subordinate officers, employees or other agents.</w:t>
      </w:r>
    </w:p>
    <w:p>
      <w:pPr>
        <w:spacing w:after="0" w:line="223" w:lineRule="exact"/>
        <w:rPr>
          <w:sz w:val="20"/>
          <w:szCs w:val="20"/>
          <w:color w:val="auto"/>
        </w:rPr>
      </w:pPr>
    </w:p>
    <w:p>
      <w:pPr>
        <w:ind w:right="12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or in the case of an officer appointed by another officer of the Corporation, by such officer. The terms of the Chairman of the Board and the Chief Executive Officer are fixed pursuant to Article SIXTH of the Articles of Incorporation.</w:t>
      </w:r>
    </w:p>
    <w:p>
      <w:pPr>
        <w:spacing w:after="0" w:line="207" w:lineRule="exact"/>
        <w:rPr>
          <w:sz w:val="20"/>
          <w:szCs w:val="20"/>
          <w:color w:val="auto"/>
        </w:rPr>
      </w:pPr>
    </w:p>
    <w:p>
      <w:pPr>
        <w:ind w:right="22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Powers and Duties of the Chairman of the Board</w:t>
      </w:r>
      <w:r>
        <w:rPr>
          <w:rFonts w:ascii="Times New Roman" w:cs="Times New Roman" w:eastAsia="Times New Roman" w:hAnsi="Times New Roman"/>
          <w:sz w:val="18"/>
          <w:szCs w:val="18"/>
          <w:color w:val="auto"/>
        </w:rPr>
        <w:t>. The Chairman of the Board shall have such powers and shall perform such duties as are provided in Article SIXTH of the Articles of Incorporation.</w:t>
      </w:r>
    </w:p>
    <w:p>
      <w:pPr>
        <w:spacing w:after="0" w:line="199" w:lineRule="exact"/>
        <w:rPr>
          <w:sz w:val="20"/>
          <w:szCs w:val="20"/>
          <w:color w:val="auto"/>
        </w:rPr>
      </w:pPr>
    </w:p>
    <w:p>
      <w:pPr>
        <w:ind w:right="12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Powers and Duties of the Chief Executive Officer</w:t>
      </w:r>
      <w:r>
        <w:rPr>
          <w:rFonts w:ascii="Times New Roman" w:cs="Times New Roman" w:eastAsia="Times New Roman" w:hAnsi="Times New Roman"/>
          <w:sz w:val="18"/>
          <w:szCs w:val="18"/>
          <w:color w:val="auto"/>
        </w:rPr>
        <w:t>. The Chief Executive Officer shall have such powers and shall perform such duties as are provided in Article SIXTH of the Articles of Incorporation.</w:t>
      </w:r>
    </w:p>
    <w:p>
      <w:pPr>
        <w:spacing w:after="0" w:line="199" w:lineRule="exact"/>
        <w:rPr>
          <w:sz w:val="20"/>
          <w:szCs w:val="20"/>
          <w:color w:val="auto"/>
        </w:rPr>
      </w:pPr>
    </w:p>
    <w:p>
      <w:pPr>
        <w:ind w:right="38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Powers and Duties of the President</w:t>
      </w:r>
      <w:r>
        <w:rPr>
          <w:rFonts w:ascii="Times New Roman" w:cs="Times New Roman" w:eastAsia="Times New Roman" w:hAnsi="Times New Roman"/>
          <w:sz w:val="18"/>
          <w:szCs w:val="18"/>
          <w:color w:val="auto"/>
        </w:rPr>
        <w:t>. The President shall have such powers and shall perform such duties as may, subject to Article SIXTH of the Articles of Incorporation, from time to time be assigned to the President by the Board of Directors.</w:t>
      </w:r>
    </w:p>
    <w:p>
      <w:pPr>
        <w:spacing w:after="0" w:line="185" w:lineRule="exact"/>
        <w:rPr>
          <w:sz w:val="20"/>
          <w:szCs w:val="20"/>
          <w:color w:val="auto"/>
        </w:rPr>
      </w:pPr>
    </w:p>
    <w:p>
      <w:pPr>
        <w:ind w:right="100" w:firstLine="647"/>
        <w:spacing w:after="0" w:line="267"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Powers and Duties of the Secretary</w:t>
      </w:r>
      <w:r>
        <w:rPr>
          <w:rFonts w:ascii="Times New Roman" w:cs="Times New Roman" w:eastAsia="Times New Roman" w:hAnsi="Times New Roman"/>
          <w:sz w:val="18"/>
          <w:szCs w:val="18"/>
          <w:color w:val="auto"/>
        </w:rPr>
        <w:t>. Unless otherwise determined by the Board of Directors, the Secretary shall be responsible for the keeping of the minutes of all meetings of the shareholders, the Board of Directors, and all committees of the Board, and for the giving and serving of all notices for the</w:t>
      </w:r>
    </w:p>
    <w:p>
      <w:pPr>
        <w:spacing w:after="0" w:line="200" w:lineRule="exact"/>
        <w:rPr>
          <w:sz w:val="20"/>
          <w:szCs w:val="20"/>
          <w:color w:val="auto"/>
        </w:rPr>
      </w:pPr>
    </w:p>
    <w:p>
      <w:pPr>
        <w:spacing w:after="0" w:line="37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940"/>
          </w:cols>
          <w:pgMar w:left="420" w:top="1363" w:right="539" w:bottom="1440" w:gutter="0" w:footer="0" w:header="0"/>
        </w:sectPr>
      </w:pPr>
    </w:p>
    <w:bookmarkStart w:id="122" w:name="page123"/>
    <w:bookmarkEnd w:id="122"/>
    <w:p>
      <w:pPr>
        <w:ind w:right="320"/>
        <w:spacing w:after="0" w:line="282" w:lineRule="auto"/>
        <w:rPr>
          <w:sz w:val="20"/>
          <w:szCs w:val="20"/>
          <w:color w:val="auto"/>
        </w:rPr>
      </w:pPr>
      <w:r>
        <w:rPr>
          <w:rFonts w:ascii="Times New Roman" w:cs="Times New Roman" w:eastAsia="Times New Roman" w:hAnsi="Times New Roman"/>
          <w:sz w:val="18"/>
          <w:szCs w:val="18"/>
          <w:color w:val="auto"/>
        </w:rPr>
        <w:t>Corporation. The Secretary shall perform all other duties ordinarily incident to the office of Secretary and shall have such other powers and perform such other duties as may be assigned to the Secretary by the Board of Directors.</w:t>
      </w:r>
    </w:p>
    <w:p>
      <w:pPr>
        <w:spacing w:after="0" w:line="200" w:lineRule="exact"/>
        <w:rPr>
          <w:sz w:val="20"/>
          <w:szCs w:val="20"/>
          <w:color w:val="auto"/>
        </w:rPr>
      </w:pPr>
    </w:p>
    <w:p>
      <w:pPr>
        <w:ind w:right="100"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Powers and Duties of the Treasurer</w:t>
      </w:r>
      <w:r>
        <w:rPr>
          <w:rFonts w:ascii="Times New Roman" w:cs="Times New Roman" w:eastAsia="Times New Roman" w:hAnsi="Times New Roman"/>
          <w:sz w:val="18"/>
          <w:szCs w:val="18"/>
          <w:color w:val="auto"/>
        </w:rPr>
        <w:t>.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229" w:lineRule="exact"/>
        <w:rPr>
          <w:sz w:val="20"/>
          <w:szCs w:val="20"/>
          <w:color w:val="auto"/>
        </w:rPr>
      </w:pPr>
    </w:p>
    <w:p>
      <w:pPr>
        <w:ind w:right="64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Subject to Article SIXTH of the Articles of Incorporation, the Board of Directors shall have the power to fill any vacancies in any office occurring for any reason.</w:t>
      </w:r>
    </w:p>
    <w:p>
      <w:pPr>
        <w:spacing w:after="0" w:line="185" w:lineRule="exact"/>
        <w:rPr>
          <w:sz w:val="20"/>
          <w:szCs w:val="20"/>
          <w:color w:val="auto"/>
        </w:rPr>
      </w:pPr>
    </w:p>
    <w:p>
      <w:pPr>
        <w:ind w:right="60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Delegation of Office</w:t>
      </w:r>
      <w:r>
        <w:rPr>
          <w:rFonts w:ascii="Times New Roman" w:cs="Times New Roman" w:eastAsia="Times New Roman" w:hAnsi="Times New Roman"/>
          <w:sz w:val="18"/>
          <w:szCs w:val="18"/>
          <w:color w:val="auto"/>
        </w:rPr>
        <w:t>. Subject to Article SIXTH of the Articles of Incorporation, the Board of Directors may delegate the powers or duties of any officer of the Corporation to any other person from time to time.</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CAPITAL STOCK</w:t>
      </w:r>
    </w:p>
    <w:p>
      <w:pPr>
        <w:spacing w:after="0" w:line="116"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5.01</w:t>
        <w:tab/>
        <w:t>Share Certificates.</w:t>
      </w:r>
    </w:p>
    <w:p>
      <w:pPr>
        <w:spacing w:after="0" w:line="266" w:lineRule="exact"/>
        <w:rPr>
          <w:sz w:val="20"/>
          <w:szCs w:val="20"/>
          <w:color w:val="auto"/>
        </w:rPr>
      </w:pPr>
    </w:p>
    <w:p>
      <w:pPr>
        <w:ind w:firstLine="1293"/>
        <w:spacing w:after="0" w:line="256" w:lineRule="auto"/>
        <w:tabs>
          <w:tab w:leader="none" w:pos="18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227" w:lineRule="exact"/>
        <w:rPr>
          <w:rFonts w:ascii="Times New Roman" w:cs="Times New Roman" w:eastAsia="Times New Roman" w:hAnsi="Times New Roman"/>
          <w:sz w:val="18"/>
          <w:szCs w:val="18"/>
          <w:color w:val="auto"/>
        </w:rPr>
      </w:pPr>
    </w:p>
    <w:p>
      <w:pPr>
        <w:ind w:right="40" w:firstLine="1293"/>
        <w:spacing w:after="0" w:line="256" w:lineRule="auto"/>
        <w:tabs>
          <w:tab w:leader="none" w:pos="184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214" w:lineRule="exact"/>
        <w:rPr>
          <w:rFonts w:ascii="Times New Roman" w:cs="Times New Roman" w:eastAsia="Times New Roman" w:hAnsi="Times New Roman"/>
          <w:sz w:val="18"/>
          <w:szCs w:val="18"/>
          <w:color w:val="auto"/>
        </w:rPr>
      </w:pPr>
    </w:p>
    <w:p>
      <w:pPr>
        <w:ind w:right="180" w:firstLine="1293"/>
        <w:spacing w:after="0" w:line="261" w:lineRule="auto"/>
        <w:tabs>
          <w:tab w:leader="none" w:pos="18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Fractional Shares. Except as otherwise determined by the Board of Directors, shares or certificates therefor may be issued as fractional shares for shares held by any dividend reinvestment plan or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 created or approved by the Corporation’s Board of Directors, but not by any other person.</w:t>
      </w:r>
    </w:p>
    <w:p>
      <w:pPr>
        <w:spacing w:after="0" w:line="245" w:lineRule="exact"/>
        <w:rPr>
          <w:sz w:val="20"/>
          <w:szCs w:val="20"/>
          <w:color w:val="auto"/>
        </w:rPr>
      </w:pPr>
    </w:p>
    <w:p>
      <w:pPr>
        <w:ind w:right="100" w:firstLine="647"/>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980"/>
          </w:cols>
          <w:pgMar w:left="420" w:top="1363" w:right="499" w:bottom="1440" w:gutter="0" w:footer="0" w:header="0"/>
        </w:sectPr>
      </w:pPr>
    </w:p>
    <w:bookmarkStart w:id="123" w:name="page124"/>
    <w:bookmarkEnd w:id="123"/>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i w:val="1"/>
          <w:iCs w:val="1"/>
          <w:color w:val="auto"/>
        </w:rPr>
        <w:t>Determination of Shareholders of Record</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ind w:right="20" w:firstLine="1293"/>
        <w:spacing w:after="0" w:line="256" w:lineRule="auto"/>
        <w:tabs>
          <w:tab w:leader="none" w:pos="18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Record Date for Purposes of Meetings.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268" w:lineRule="exact"/>
        <w:rPr>
          <w:rFonts w:ascii="Times New Roman" w:cs="Times New Roman" w:eastAsia="Times New Roman" w:hAnsi="Times New Roman"/>
          <w:sz w:val="18"/>
          <w:szCs w:val="18"/>
          <w:color w:val="auto"/>
        </w:rPr>
      </w:pPr>
    </w:p>
    <w:p>
      <w:pPr>
        <w:jc w:val="both"/>
        <w:ind w:firstLine="1293"/>
        <w:spacing w:after="0" w:line="261" w:lineRule="auto"/>
        <w:tabs>
          <w:tab w:leader="none" w:pos="184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Record Date for Purpose of Distributions. The Board of Directors of the Corporation may fix a time prior to the date of payment of a 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pacing w:after="0" w:line="206" w:lineRule="exact"/>
        <w:rPr>
          <w:rFonts w:ascii="Times New Roman" w:cs="Times New Roman" w:eastAsia="Times New Roman" w:hAnsi="Times New Roman"/>
          <w:sz w:val="18"/>
          <w:szCs w:val="18"/>
          <w:color w:val="auto"/>
        </w:rPr>
      </w:pPr>
    </w:p>
    <w:p>
      <w:pPr>
        <w:ind w:right="180" w:firstLine="1293"/>
        <w:spacing w:after="0" w:line="266" w:lineRule="auto"/>
        <w:tabs>
          <w:tab w:leader="none" w:pos="18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Record Date for Other Purposes. The Board of Directors of the Corporation may fix a time prior to an event or action as a record date for the determination of shareholders with respect to an event or action other than a meeting of shareholders or payment of a distribution, which time shall be not more than 90 days prior to the date of the event or action.</w:t>
      </w:r>
    </w:p>
    <w:p>
      <w:pPr>
        <w:spacing w:after="0" w:line="216" w:lineRule="exact"/>
        <w:rPr>
          <w:rFonts w:ascii="Times New Roman" w:cs="Times New Roman" w:eastAsia="Times New Roman" w:hAnsi="Times New Roman"/>
          <w:sz w:val="18"/>
          <w:szCs w:val="18"/>
          <w:color w:val="auto"/>
        </w:rPr>
      </w:pPr>
    </w:p>
    <w:p>
      <w:pPr>
        <w:ind w:left="1940" w:hanging="646"/>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when No Record Date Fixed. If a record date is not fixed:</w:t>
      </w:r>
    </w:p>
    <w:p>
      <w:pPr>
        <w:spacing w:after="0" w:line="265" w:lineRule="exact"/>
        <w:rPr>
          <w:rFonts w:ascii="Times New Roman" w:cs="Times New Roman" w:eastAsia="Times New Roman" w:hAnsi="Times New Roman"/>
          <w:sz w:val="18"/>
          <w:szCs w:val="18"/>
          <w:color w:val="auto"/>
        </w:rPr>
      </w:pPr>
    </w:p>
    <w:p>
      <w:pPr>
        <w:jc w:val="both"/>
        <w:ind w:left="640" w:right="40" w:firstLine="1302"/>
        <w:spacing w:after="0" w:line="266" w:lineRule="auto"/>
        <w:tabs>
          <w:tab w:leader="none" w:pos="248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202" w:lineRule="exact"/>
        <w:rPr>
          <w:rFonts w:ascii="Times New Roman" w:cs="Times New Roman" w:eastAsia="Times New Roman" w:hAnsi="Times New Roman"/>
          <w:sz w:val="18"/>
          <w:szCs w:val="18"/>
          <w:color w:val="auto"/>
        </w:rPr>
      </w:pPr>
    </w:p>
    <w:p>
      <w:pPr>
        <w:ind w:left="640" w:right="320" w:firstLine="1302"/>
        <w:spacing w:after="0" w:line="282" w:lineRule="auto"/>
        <w:tabs>
          <w:tab w:leader="none" w:pos="249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shareholders for any other purpose shall be at the close of business on the day on which the Board of Directors adopts the resolution relating thereto.</w:t>
      </w:r>
    </w:p>
    <w:p>
      <w:pPr>
        <w:spacing w:after="0" w:line="202" w:lineRule="exact"/>
        <w:rPr>
          <w:rFonts w:ascii="Times New Roman" w:cs="Times New Roman" w:eastAsia="Times New Roman" w:hAnsi="Times New Roman"/>
          <w:sz w:val="18"/>
          <w:szCs w:val="18"/>
          <w:color w:val="auto"/>
        </w:rPr>
      </w:pPr>
    </w:p>
    <w:p>
      <w:pPr>
        <w:ind w:right="280" w:firstLine="1293"/>
        <w:spacing w:after="0" w:line="266" w:lineRule="auto"/>
        <w:tabs>
          <w:tab w:leader="none" w:pos="18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216" w:lineRule="exact"/>
        <w:rPr>
          <w:rFonts w:ascii="Times New Roman" w:cs="Times New Roman" w:eastAsia="Times New Roman" w:hAnsi="Times New Roman"/>
          <w:sz w:val="18"/>
          <w:szCs w:val="18"/>
          <w:color w:val="auto"/>
        </w:rPr>
      </w:pPr>
    </w:p>
    <w:p>
      <w:pPr>
        <w:ind w:left="2580" w:hanging="638"/>
        <w:spacing w:after="0"/>
        <w:tabs>
          <w:tab w:leader="none" w:pos="25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shareholder who may certify;</w:t>
      </w:r>
    </w:p>
    <w:p>
      <w:pPr>
        <w:spacing w:after="0" w:line="252" w:lineRule="exact"/>
        <w:rPr>
          <w:rFonts w:ascii="Times New Roman" w:cs="Times New Roman" w:eastAsia="Times New Roman" w:hAnsi="Times New Roman"/>
          <w:sz w:val="18"/>
          <w:szCs w:val="18"/>
          <w:color w:val="auto"/>
        </w:rPr>
      </w:pPr>
    </w:p>
    <w:p>
      <w:pPr>
        <w:ind w:left="2580" w:hanging="638"/>
        <w:spacing w:after="0"/>
        <w:tabs>
          <w:tab w:leader="none" w:pos="25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or purposes for which the certification may be made;</w:t>
      </w:r>
    </w:p>
    <w:p>
      <w:pPr>
        <w:spacing w:after="0" w:line="265" w:lineRule="exact"/>
        <w:rPr>
          <w:rFonts w:ascii="Times New Roman" w:cs="Times New Roman" w:eastAsia="Times New Roman" w:hAnsi="Times New Roman"/>
          <w:sz w:val="18"/>
          <w:szCs w:val="18"/>
          <w:color w:val="auto"/>
        </w:rPr>
      </w:pPr>
    </w:p>
    <w:p>
      <w:pPr>
        <w:ind w:left="2580" w:hanging="638"/>
        <w:spacing w:after="0"/>
        <w:tabs>
          <w:tab w:leader="none" w:pos="25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certification and information to be contained therein;</w:t>
      </w:r>
    </w:p>
    <w:p>
      <w:pPr>
        <w:spacing w:after="0" w:line="265" w:lineRule="exact"/>
        <w:rPr>
          <w:rFonts w:ascii="Times New Roman" w:cs="Times New Roman" w:eastAsia="Times New Roman" w:hAnsi="Times New Roman"/>
          <w:sz w:val="18"/>
          <w:szCs w:val="18"/>
          <w:color w:val="auto"/>
        </w:rPr>
      </w:pPr>
    </w:p>
    <w:p>
      <w:pPr>
        <w:ind w:left="640" w:right="220" w:firstLine="1302"/>
        <w:spacing w:after="0" w:line="282" w:lineRule="auto"/>
        <w:tabs>
          <w:tab w:leader="none" w:pos="249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certification is with respect to a record date, the time after the record date within which the certification must be received by the Corporation; and</w:t>
      </w:r>
    </w:p>
    <w:p>
      <w:pPr>
        <w:spacing w:after="0" w:line="188" w:lineRule="exact"/>
        <w:rPr>
          <w:rFonts w:ascii="Times New Roman" w:cs="Times New Roman" w:eastAsia="Times New Roman" w:hAnsi="Times New Roman"/>
          <w:sz w:val="18"/>
          <w:szCs w:val="18"/>
          <w:color w:val="auto"/>
        </w:rPr>
      </w:pPr>
    </w:p>
    <w:p>
      <w:pPr>
        <w:ind w:left="2580" w:hanging="638"/>
        <w:spacing w:after="0"/>
        <w:tabs>
          <w:tab w:leader="none" w:pos="25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procedure as are deemed necessary or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desirable.</w:t>
      </w:r>
    </w:p>
    <w:p>
      <w:pPr>
        <w:spacing w:after="0" w:line="247"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78" w:lineRule="exact"/>
        <w:rPr>
          <w:sz w:val="20"/>
          <w:szCs w:val="20"/>
          <w:color w:val="auto"/>
        </w:rPr>
      </w:pPr>
    </w:p>
    <w:p>
      <w:pPr>
        <w:ind w:right="76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Lost Share Certificates</w:t>
      </w:r>
      <w:r>
        <w:rPr>
          <w:rFonts w:ascii="Times New Roman" w:cs="Times New Roman" w:eastAsia="Times New Roman" w:hAnsi="Times New Roman"/>
          <w:sz w:val="18"/>
          <w:szCs w:val="18"/>
          <w:color w:val="auto"/>
        </w:rPr>
        <w:t>. Unless waived in whole or in part by the Board of Directors or any of the Chairman, any Vice Chairman, the President, any Senior Vice President, Secretary or Treasurer, unless</w:t>
      </w:r>
    </w:p>
    <w:p>
      <w:pPr>
        <w:spacing w:after="0" w:line="200" w:lineRule="exact"/>
        <w:rPr>
          <w:sz w:val="20"/>
          <w:szCs w:val="20"/>
          <w:color w:val="auto"/>
        </w:rPr>
      </w:pPr>
    </w:p>
    <w:p>
      <w:pPr>
        <w:spacing w:after="0" w:line="34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980"/>
          </w:cols>
          <w:pgMar w:left="420" w:top="1361" w:right="499" w:bottom="1440" w:gutter="0" w:footer="0" w:header="0"/>
        </w:sectPr>
      </w:pPr>
    </w:p>
    <w:bookmarkStart w:id="124" w:name="page125"/>
    <w:bookmarkEnd w:id="124"/>
    <w:p>
      <w:pPr>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request therefor and issuance thereof have been made before the Corporation has notice that such shares have been acquired by a bona fide purchaser.</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NOTICES; COMPUTING TIME PERIODS</w:t>
      </w:r>
    </w:p>
    <w:p>
      <w:pPr>
        <w:spacing w:after="0" w:line="371" w:lineRule="exact"/>
        <w:rPr>
          <w:sz w:val="20"/>
          <w:szCs w:val="20"/>
          <w:color w:val="auto"/>
        </w:rPr>
      </w:pPr>
    </w:p>
    <w:p>
      <w:pPr>
        <w:ind w:right="14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Contents of Notice</w:t>
      </w:r>
      <w:r>
        <w:rPr>
          <w:rFonts w:ascii="Times New Roman" w:cs="Times New Roman" w:eastAsia="Times New Roman" w:hAnsi="Times New Roman"/>
          <w:sz w:val="18"/>
          <w:szCs w:val="18"/>
          <w:color w:val="auto"/>
        </w:rPr>
        <w:t>.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207" w:lineRule="exact"/>
        <w:rPr>
          <w:sz w:val="20"/>
          <w:szCs w:val="20"/>
          <w:color w:val="auto"/>
        </w:rPr>
      </w:pPr>
    </w:p>
    <w:p>
      <w:pPr>
        <w:ind w:right="20"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Method of Notice</w:t>
      </w:r>
      <w:r>
        <w:rPr>
          <w:rFonts w:ascii="Times New Roman" w:cs="Times New Roman" w:eastAsia="Times New Roman" w:hAnsi="Times New Roman"/>
          <w:sz w:val="18"/>
          <w:szCs w:val="18"/>
          <w:color w:val="auto"/>
        </w:rPr>
        <w:t>. Any notice required to be given to any person under the provisions of the Articles of Incorporation or these Bylaws shall be given to the person either personally or by sending a copy thereof (a) by first class or express mail, postage prepaid, or courier service, charges prepaid, to such person’s postal address appearing on the books of the Corporation, or, in the case of a Director, supplied by such Director to the Corporation for the purpose of notice or (b) by facsimile transmission, e-mail or other electronic communication to such person’s facsimile number or address for e-mail or other electronic communication supplied by such person to the Corporation for purposes of notice. Notice delivered pursuant to clause (a) of the preceding sentence shall be deemed to have been given to the person entitled thereto when deposited in the United States mail or with a courier service for delivery to that person, and notice pursuant to clause (b)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229"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i w:val="1"/>
          <w:iCs w:val="1"/>
          <w:color w:val="auto"/>
        </w:rPr>
        <w:t>Computing Time Periods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jc w:val="both"/>
        <w:ind w:right="200" w:firstLine="1293"/>
        <w:spacing w:after="0" w:line="261" w:lineRule="auto"/>
        <w:tabs>
          <w:tab w:leader="none" w:pos="18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be Counted. Except as otherwise provided by law, the Articles of Incorporation or these Bylaws, in computing the number of days for purposes of these Bylaws, all days shall be counted, including Saturdays, Sundays and any Holiday. In computing the number of days for the purpose of giving notice of any meeting, the date upon which the notice is given shall be counted but the day set for the meeting shall not be counted.</w:t>
      </w:r>
    </w:p>
    <w:p>
      <w:pPr>
        <w:spacing w:after="0" w:line="220" w:lineRule="exact"/>
        <w:rPr>
          <w:rFonts w:ascii="Times New Roman" w:cs="Times New Roman" w:eastAsia="Times New Roman" w:hAnsi="Times New Roman"/>
          <w:sz w:val="18"/>
          <w:szCs w:val="18"/>
          <w:color w:val="auto"/>
        </w:rPr>
      </w:pPr>
    </w:p>
    <w:p>
      <w:pPr>
        <w:jc w:val="both"/>
        <w:ind w:right="20" w:firstLine="1293"/>
        <w:spacing w:after="0" w:line="266" w:lineRule="auto"/>
        <w:tabs>
          <w:tab w:leader="none" w:pos="184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Day Notice. In any case where only one day’s notice is being given, notice must be given at least 24 hours in advance of the date and time specified for the meeting in question by delivery in person or by telephone, facsimile, email or other means of electronic communication.</w:t>
      </w:r>
    </w:p>
    <w:p>
      <w:pPr>
        <w:spacing w:after="0" w:line="214" w:lineRule="exact"/>
        <w:rPr>
          <w:sz w:val="20"/>
          <w:szCs w:val="20"/>
          <w:color w:val="auto"/>
        </w:rPr>
      </w:pPr>
    </w:p>
    <w:p>
      <w:pPr>
        <w:ind w:right="20"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Notice</w:t>
      </w:r>
      <w:r>
        <w:rPr>
          <w:rFonts w:ascii="Times New Roman" w:cs="Times New Roman" w:eastAsia="Times New Roman" w:hAnsi="Times New Roman"/>
          <w:sz w:val="18"/>
          <w:szCs w:val="18"/>
          <w:color w:val="auto"/>
        </w:rPr>
        <w:t>.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980"/>
          </w:cols>
          <w:pgMar w:left="420" w:top="1363" w:right="499" w:bottom="1440" w:gutter="0" w:footer="0" w:header="0"/>
        </w:sectPr>
      </w:pPr>
    </w:p>
    <w:bookmarkStart w:id="125" w:name="page126"/>
    <w:bookmarkEnd w:id="125"/>
    <w:p>
      <w:pPr>
        <w:ind w:right="200" w:firstLine="647"/>
        <w:spacing w:after="0" w:line="267"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Modification of Proposal Contained in Notice</w:t>
      </w:r>
      <w:r>
        <w:rPr>
          <w:rFonts w:ascii="Times New Roman" w:cs="Times New Roman" w:eastAsia="Times New Roman" w:hAnsi="Times New Roman"/>
          <w:sz w:val="18"/>
          <w:szCs w:val="18"/>
          <w:color w:val="auto"/>
        </w:rPr>
        <w:t>.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214" w:lineRule="exact"/>
        <w:rPr>
          <w:sz w:val="20"/>
          <w:szCs w:val="20"/>
          <w:color w:val="auto"/>
        </w:rPr>
      </w:pPr>
    </w:p>
    <w:p>
      <w:pPr>
        <w:ind w:right="16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Bulk Mail</w:t>
      </w:r>
      <w:r>
        <w:rPr>
          <w:rFonts w:ascii="Times New Roman" w:cs="Times New Roman" w:eastAsia="Times New Roman" w:hAnsi="Times New Roman"/>
          <w:sz w:val="18"/>
          <w:szCs w:val="18"/>
          <w:color w:val="auto"/>
        </w:rPr>
        <w:t>.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261" w:lineRule="exact"/>
        <w:rPr>
          <w:sz w:val="20"/>
          <w:szCs w:val="20"/>
          <w:color w:val="auto"/>
        </w:rPr>
      </w:pPr>
    </w:p>
    <w:p>
      <w:pPr>
        <w:ind w:right="140"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Shareholders Without Forwarding Addresses</w:t>
      </w:r>
      <w:r>
        <w:rPr>
          <w:rFonts w:ascii="Times New Roman" w:cs="Times New Roman" w:eastAsia="Times New Roman" w:hAnsi="Times New Roman"/>
          <w:sz w:val="18"/>
          <w:szCs w:val="18"/>
          <w:color w:val="auto"/>
        </w:rPr>
        <w:t>.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INDEMNIFICATION OF DIRECTORS, OFFICERS AND OTHER PERSONS</w:t>
      </w:r>
    </w:p>
    <w:p>
      <w:pPr>
        <w:spacing w:after="0" w:line="116"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color w:val="auto"/>
        </w:rPr>
        <w:t>Indemnification and Insurance.</w:t>
      </w:r>
    </w:p>
    <w:p>
      <w:pPr>
        <w:spacing w:after="0" w:line="252" w:lineRule="exact"/>
        <w:rPr>
          <w:sz w:val="20"/>
          <w:szCs w:val="20"/>
          <w:color w:val="auto"/>
        </w:rPr>
      </w:pPr>
    </w:p>
    <w:p>
      <w:pPr>
        <w:ind w:left="1940" w:hanging="646"/>
        <w:spacing w:after="0"/>
        <w:tabs>
          <w:tab w:leader="none" w:pos="19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Directors and Officers.</w:t>
      </w:r>
    </w:p>
    <w:p>
      <w:pPr>
        <w:spacing w:after="0" w:line="265" w:lineRule="exact"/>
        <w:rPr>
          <w:rFonts w:ascii="Times New Roman" w:cs="Times New Roman" w:eastAsia="Times New Roman" w:hAnsi="Times New Roman"/>
          <w:sz w:val="18"/>
          <w:szCs w:val="18"/>
          <w:color w:val="auto"/>
        </w:rPr>
      </w:pPr>
    </w:p>
    <w:p>
      <w:pPr>
        <w:ind w:left="640" w:right="20" w:firstLine="1302"/>
        <w:spacing w:after="0" w:line="254" w:lineRule="auto"/>
        <w:tabs>
          <w:tab w:leader="none" w:pos="248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willful misconduct or recklessness; or (B) in connection with a Proceeding (or part thereof) initiated by an Indemnitee (except in connection with a Proceeding to enforce a right to indemnification or advancement of expenses under this Article 7), unless the Proceeding (or part thereof) was authorized by the Board of Directors.</w:t>
      </w:r>
    </w:p>
    <w:p>
      <w:pPr>
        <w:spacing w:after="0" w:line="232" w:lineRule="exact"/>
        <w:rPr>
          <w:rFonts w:ascii="Times New Roman" w:cs="Times New Roman" w:eastAsia="Times New Roman" w:hAnsi="Times New Roman"/>
          <w:sz w:val="18"/>
          <w:szCs w:val="18"/>
          <w:color w:val="auto"/>
        </w:rPr>
      </w:pPr>
    </w:p>
    <w:p>
      <w:pPr>
        <w:ind w:left="640" w:right="20" w:firstLine="1302"/>
        <w:spacing w:after="0" w:line="255" w:lineRule="auto"/>
        <w:tabs>
          <w:tab w:leader="none" w:pos="249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211" w:lineRule="exact"/>
        <w:rPr>
          <w:rFonts w:ascii="Times New Roman" w:cs="Times New Roman" w:eastAsia="Times New Roman" w:hAnsi="Times New Roman"/>
          <w:sz w:val="18"/>
          <w:szCs w:val="18"/>
          <w:color w:val="auto"/>
        </w:rPr>
      </w:pPr>
    </w:p>
    <w:p>
      <w:pPr>
        <w:ind w:left="640" w:firstLine="1302"/>
        <w:spacing w:after="0" w:line="257" w:lineRule="auto"/>
        <w:tabs>
          <w:tab w:leader="none" w:pos="248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(A)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w:t>
      </w: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980"/>
          </w:cols>
          <w:pgMar w:left="420" w:top="1361" w:right="499" w:bottom="1440" w:gutter="0" w:footer="0" w:header="0"/>
        </w:sectPr>
      </w:pPr>
    </w:p>
    <w:bookmarkStart w:id="126" w:name="page127"/>
    <w:bookmarkEnd w:id="126"/>
    <w:p>
      <w:pPr>
        <w:ind w:left="640" w:right="80" w:firstLine="6"/>
        <w:spacing w:after="0" w:line="259" w:lineRule="auto"/>
        <w:tabs>
          <w:tab w:leader="none" w:pos="92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mean any threatened, pending or completed action, suit, claim, counterclaim, cross claim, arbitration, alternate dispute resolution mechanism, investigation, inquiry, administrative hearing or any other actual, threatened or completed proceeding, whether civil, criminal, administrative or investigative, including any appeal therefrom, and whether instituted by or on behalf of the Corporation or any other party; and (C) service as a Director or officer of the Corporation or in any other capacity of the type referred to in clause (A) of this paragraph shall be deemed service in a “</w:t>
      </w:r>
      <w:r>
        <w:rPr>
          <w:rFonts w:ascii="Times New Roman" w:cs="Times New Roman" w:eastAsia="Times New Roman" w:hAnsi="Times New Roman"/>
          <w:sz w:val="18"/>
          <w:szCs w:val="18"/>
          <w:b w:val="1"/>
          <w:bCs w:val="1"/>
          <w:color w:val="auto"/>
        </w:rPr>
        <w:t>Covered Capacity</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40" w:right="340" w:firstLine="1302"/>
        <w:spacing w:after="0" w:line="282" w:lineRule="auto"/>
        <w:tabs>
          <w:tab w:leader="none" w:pos="2493"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shall inure to the benefit of and be enforceable by an Indemnitee’s heirs, executors, administrators and legal representatives.</w:t>
      </w:r>
    </w:p>
    <w:p>
      <w:pPr>
        <w:spacing w:after="0" w:line="242" w:lineRule="exact"/>
        <w:rPr>
          <w:rFonts w:ascii="Times New Roman" w:cs="Times New Roman" w:eastAsia="Times New Roman" w:hAnsi="Times New Roman"/>
          <w:sz w:val="18"/>
          <w:szCs w:val="18"/>
          <w:color w:val="auto"/>
        </w:rPr>
      </w:pPr>
    </w:p>
    <w:p>
      <w:pPr>
        <w:ind w:firstLine="1293"/>
        <w:spacing w:after="0" w:line="254" w:lineRule="auto"/>
        <w:tabs>
          <w:tab w:leader="none" w:pos="184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 (ii),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7.01(b).</w:t>
      </w:r>
    </w:p>
    <w:p>
      <w:pPr>
        <w:spacing w:after="0" w:line="218" w:lineRule="exact"/>
        <w:rPr>
          <w:rFonts w:ascii="Times New Roman" w:cs="Times New Roman" w:eastAsia="Times New Roman" w:hAnsi="Times New Roman"/>
          <w:sz w:val="18"/>
          <w:szCs w:val="18"/>
          <w:color w:val="auto"/>
        </w:rPr>
      </w:pPr>
    </w:p>
    <w:p>
      <w:pPr>
        <w:ind w:right="180" w:firstLine="1293"/>
        <w:spacing w:after="0" w:line="266" w:lineRule="auto"/>
        <w:tabs>
          <w:tab w:leader="none" w:pos="184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216" w:lineRule="exact"/>
        <w:rPr>
          <w:rFonts w:ascii="Times New Roman" w:cs="Times New Roman" w:eastAsia="Times New Roman" w:hAnsi="Times New Roman"/>
          <w:sz w:val="18"/>
          <w:szCs w:val="18"/>
          <w:color w:val="auto"/>
        </w:rPr>
      </w:pPr>
    </w:p>
    <w:p>
      <w:pPr>
        <w:ind w:right="80" w:firstLine="1293"/>
        <w:spacing w:after="0" w:line="261" w:lineRule="auto"/>
        <w:tabs>
          <w:tab w:leader="none" w:pos="184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220" w:lineRule="exact"/>
        <w:rPr>
          <w:rFonts w:ascii="Times New Roman" w:cs="Times New Roman" w:eastAsia="Times New Roman" w:hAnsi="Times New Roman"/>
          <w:sz w:val="18"/>
          <w:szCs w:val="18"/>
          <w:color w:val="auto"/>
        </w:rPr>
      </w:pPr>
    </w:p>
    <w:p>
      <w:pPr>
        <w:ind w:right="440" w:firstLine="1293"/>
        <w:spacing w:after="0" w:line="266" w:lineRule="auto"/>
        <w:tabs>
          <w:tab w:leader="none" w:pos="184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214" w:lineRule="exact"/>
        <w:rPr>
          <w:sz w:val="20"/>
          <w:szCs w:val="20"/>
          <w:color w:val="auto"/>
        </w:rPr>
      </w:pPr>
    </w:p>
    <w:p>
      <w:pPr>
        <w:ind w:right="20"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xml:space="preserve">. The provisions of this Article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 amendment generally, any repeal or amendment of this Article 7 which is adverse to any Indemnitee shall apply to such Indemnitee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 (a) the unanimous vote of the Directors of the Corporation then-serving, or (b) the affirmative vote of shareholders entitled to cast at least 80% of the votes that all shareholders are entitled to cast in the election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shall have retroactive effect inconsistent with the preceding sentence.</w:t>
      </w:r>
    </w:p>
    <w:p>
      <w:pPr>
        <w:spacing w:after="0" w:line="215" w:lineRule="exact"/>
        <w:rPr>
          <w:sz w:val="20"/>
          <w:szCs w:val="20"/>
          <w:color w:val="auto"/>
        </w:rPr>
      </w:pPr>
    </w:p>
    <w:p>
      <w:pPr>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Changes in Pennsylvania Law</w:t>
      </w:r>
      <w:r>
        <w:rPr>
          <w:rFonts w:ascii="Times New Roman" w:cs="Times New Roman" w:eastAsia="Times New Roman" w:hAnsi="Times New Roman"/>
          <w:sz w:val="18"/>
          <w:szCs w:val="18"/>
          <w:color w:val="auto"/>
        </w:rPr>
        <w:t xml:space="preserve">. References in this Article to Pennsylvania law or to any provision thereof shall be to such law, as it existed on the date this Article was adopted or as such law thereafter may be changed;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w:t>
      </w:r>
    </w:p>
    <w:p>
      <w:pPr>
        <w:spacing w:after="0" w:line="200" w:lineRule="exact"/>
        <w:rPr>
          <w:sz w:val="20"/>
          <w:szCs w:val="20"/>
          <w:color w:val="auto"/>
        </w:rPr>
      </w:pPr>
    </w:p>
    <w:p>
      <w:pPr>
        <w:spacing w:after="0" w:line="3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980"/>
          </w:cols>
          <w:pgMar w:left="420" w:top="1359" w:right="499" w:bottom="1440" w:gutter="0" w:footer="0" w:header="0"/>
        </w:sectPr>
      </w:pPr>
    </w:p>
    <w:bookmarkStart w:id="127" w:name="page128"/>
    <w:bookmarkEnd w:id="127"/>
    <w:p>
      <w:pPr>
        <w:ind w:right="60"/>
        <w:spacing w:after="0" w:line="266" w:lineRule="auto"/>
        <w:rPr>
          <w:sz w:val="20"/>
          <w:szCs w:val="20"/>
          <w:color w:val="auto"/>
        </w:rPr>
      </w:pPr>
      <w:r>
        <w:rPr>
          <w:rFonts w:ascii="Times New Roman" w:cs="Times New Roman" w:eastAsia="Times New Roman" w:hAnsi="Times New Roman"/>
          <w:sz w:val="18"/>
          <w:szCs w:val="18"/>
          <w:color w:val="auto"/>
        </w:rPr>
        <w:t>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FISCAL YEAR</w:t>
      </w:r>
    </w:p>
    <w:p>
      <w:pPr>
        <w:spacing w:after="0" w:line="114" w:lineRule="exact"/>
        <w:rPr>
          <w:sz w:val="20"/>
          <w:szCs w:val="20"/>
          <w:color w:val="auto"/>
        </w:rPr>
      </w:pPr>
    </w:p>
    <w:p>
      <w:pPr>
        <w:ind w:right="98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Determination of Fiscal Year</w:t>
      </w:r>
      <w:r>
        <w:rPr>
          <w:rFonts w:ascii="Times New Roman" w:cs="Times New Roman" w:eastAsia="Times New Roman" w:hAnsi="Times New Roman"/>
          <w:sz w:val="18"/>
          <w:szCs w:val="18"/>
          <w:color w:val="auto"/>
        </w:rPr>
        <w:t>. The Board of Directors shall have the power by resolution to fix the fiscal year of the Corporation. If the Board of Directors shall fail to do so, the Chief Executive Officer shall fix the fiscal year.</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ARTICLES OF INCORPORATION</w:t>
      </w:r>
    </w:p>
    <w:p>
      <w:pPr>
        <w:spacing w:after="0" w:line="114" w:lineRule="exact"/>
        <w:rPr>
          <w:sz w:val="20"/>
          <w:szCs w:val="20"/>
          <w:color w:val="auto"/>
        </w:rPr>
      </w:pPr>
    </w:p>
    <w:p>
      <w:pPr>
        <w:ind w:right="860" w:firstLine="647"/>
        <w:spacing w:after="0" w:line="267"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Inconsistent Provisions</w:t>
      </w:r>
      <w:r>
        <w:rPr>
          <w:rFonts w:ascii="Times New Roman" w:cs="Times New Roman" w:eastAsia="Times New Roman" w:hAnsi="Times New Roman"/>
          <w:sz w:val="18"/>
          <w:szCs w:val="18"/>
          <w:color w:val="auto"/>
        </w:rPr>
        <w:t>.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114" w:lineRule="exact"/>
        <w:rPr>
          <w:sz w:val="20"/>
          <w:szCs w:val="20"/>
          <w:color w:val="auto"/>
        </w:rPr>
      </w:pPr>
    </w:p>
    <w:p>
      <w:pPr>
        <w:ind w:right="48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Except as otherwise provided in these Bylaws or in the Articles of Incorporation, including Article SIXTH, Article SEVENTH and Article TENTH of the Articles of Incorporation:</w:t>
      </w:r>
    </w:p>
    <w:p>
      <w:pPr>
        <w:spacing w:after="0" w:line="201" w:lineRule="exact"/>
        <w:rPr>
          <w:sz w:val="20"/>
          <w:szCs w:val="20"/>
          <w:color w:val="auto"/>
        </w:rPr>
      </w:pPr>
    </w:p>
    <w:p>
      <w:pPr>
        <w:ind w:right="360" w:firstLine="1293"/>
        <w:spacing w:after="0" w:line="258" w:lineRule="auto"/>
        <w:tabs>
          <w:tab w:leader="none" w:pos="18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223" w:lineRule="exact"/>
        <w:rPr>
          <w:rFonts w:ascii="Times New Roman" w:cs="Times New Roman" w:eastAsia="Times New Roman" w:hAnsi="Times New Roman"/>
          <w:sz w:val="18"/>
          <w:szCs w:val="18"/>
          <w:color w:val="auto"/>
        </w:rPr>
      </w:pPr>
    </w:p>
    <w:p>
      <w:pPr>
        <w:ind w:right="160" w:firstLine="1293"/>
        <w:spacing w:after="0" w:line="261" w:lineRule="auto"/>
        <w:tabs>
          <w:tab w:leader="none" w:pos="18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of Directors shall not have the power to amend these Bylaws on any subject that is expressly committed to the shareholders by the express terms hereof, by the Pennsylvania BCL or otherwise.</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INTERPRETATION OF BYLAWS; SEPARABILITY</w:t>
      </w:r>
    </w:p>
    <w:p>
      <w:pPr>
        <w:spacing w:after="0" w:line="114" w:lineRule="exact"/>
        <w:rPr>
          <w:sz w:val="20"/>
          <w:szCs w:val="20"/>
          <w:color w:val="auto"/>
        </w:rPr>
      </w:pPr>
    </w:p>
    <w:p>
      <w:pPr>
        <w:ind w:right="120"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All words, terms and provisions of these Bylaws shall be interpreted and defined by and in accordance with the Pennsylvania BCL.</w:t>
      </w:r>
    </w:p>
    <w:p>
      <w:pPr>
        <w:spacing w:after="0" w:line="199" w:lineRule="exact"/>
        <w:rPr>
          <w:sz w:val="20"/>
          <w:szCs w:val="20"/>
          <w:color w:val="auto"/>
        </w:rPr>
      </w:pPr>
    </w:p>
    <w:p>
      <w:pPr>
        <w:jc w:val="both"/>
        <w:ind w:firstLine="647"/>
        <w:spacing w:after="0" w:line="267"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Separability</w:t>
      </w:r>
      <w:r>
        <w:rPr>
          <w:rFonts w:ascii="Times New Roman" w:cs="Times New Roman" w:eastAsia="Times New Roman" w:hAnsi="Times New Roman"/>
          <w:sz w:val="18"/>
          <w:szCs w:val="18"/>
          <w:color w:val="auto"/>
        </w:rPr>
        <w:t>.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ectPr>
          <w:pgSz w:w="11900" w:h="16838" w:orient="portrait"/>
          <w:cols w:equalWidth="0" w:num="1">
            <w:col w:w="11020"/>
          </w:cols>
          <w:pgMar w:left="420" w:top="136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020"/>
          </w:cols>
          <w:pgMar w:left="420" w:top="1363" w:right="459" w:bottom="1440" w:gutter="0" w:footer="0" w:header="0"/>
          <w:type w:val="continuous"/>
        </w:sectPr>
      </w:pPr>
    </w:p>
    <w:bookmarkStart w:id="128" w:name="page129"/>
    <w:bookmarkEnd w:id="128"/>
    <w:p>
      <w:pPr>
        <w:spacing w:after="0" w:line="28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ARTICLE 12</w:t>
      </w:r>
    </w:p>
    <w:p>
      <w:pPr>
        <w:spacing w:after="0" w:line="22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DETERMINATIONS BY THE BOARD</w:t>
      </w:r>
    </w:p>
    <w:p>
      <w:pPr>
        <w:spacing w:after="0" w:line="128" w:lineRule="exact"/>
        <w:rPr>
          <w:sz w:val="20"/>
          <w:szCs w:val="20"/>
          <w:color w:val="auto"/>
        </w:rPr>
      </w:pPr>
    </w:p>
    <w:p>
      <w:pPr>
        <w:ind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Effect of Board Determinations</w:t>
      </w:r>
      <w:r>
        <w:rPr>
          <w:rFonts w:ascii="Times New Roman" w:cs="Times New Roman" w:eastAsia="Times New Roman" w:hAnsi="Times New Roman"/>
          <w:sz w:val="18"/>
          <w:szCs w:val="18"/>
          <w:color w:val="auto"/>
        </w:rPr>
        <w:t>. Any determination involving interpretation or application of these Bylaws made in good faith by the Board of Directors shall be final, binding and conclusive on all parties in interest.</w:t>
      </w: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520"/>
          </w:cols>
          <w:pgMar w:left="420" w:top="1440" w:right="95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4.15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COMCAST CORPORATION’S SECURITIES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 SECURITIES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3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As of December 31, 2024, Comcast Corporation (“Comcast,” the “Company,” “we,” “us” or “our”) had thirteen classes of securities registered under Section 12 of the Securities Exchange Act of 1934, as amended (the “Exchange Act”): (1) our common stock, (2) our 2.0% Exchangeable Subordinated Debentures due 2029, (3) our 5.50% Notes due 2029, (4) our 0.000% Notes due 2026, (5) our 0.250% Notes due 2027, (6) our 1.500% Notes due 2029, (7) our 0.250% Notes due 2029, (8) our 0.750% Notes due 2032, (9) our 3.250% Notes due 2032, (10) our 1.875% Notes due 2036, (11) our 3.550% Notes due 2036, (12) our 1.250% Notes due 2040 and (13) our 5.250% Notes due 2040.</w:t>
      </w:r>
    </w:p>
    <w:p>
      <w:pPr>
        <w:spacing w:after="0" w:line="202" w:lineRule="exact"/>
        <w:rPr>
          <w:sz w:val="20"/>
          <w:szCs w:val="20"/>
          <w:color w:val="auto"/>
        </w:rPr>
      </w:pPr>
    </w:p>
    <w:p>
      <w:pPr>
        <w:ind w:left="480" w:hanging="472"/>
        <w:spacing w:after="0"/>
        <w:tabs>
          <w:tab w:leader="none" w:pos="48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COMMON STOCK</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 the following summary, references to the “Company,” “we,” “us” and “our” refer only to Comcast and not any of its subsidiaries. The statements made under this caption include summaries of certain provisions contained in our articles of incorporation and by-laws. This summary does not purport to be complete and is qualified in its entirety by reference to such articles of incorporation and by-laws.</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(the “Board”) may issue preferred stock, in one or more series, without par value, with full, limited, multiple, fractional, or no voting rights, and with such designations, preferences, qualifications, privileges, limitations, restrictions, options, conversion rights and other special rights as our Board shall determine.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w:t>
      </w:r>
    </w:p>
    <w:p>
      <w:pPr>
        <w:sectPr>
          <w:pgSz w:w="11900" w:h="16838" w:orient="portrait"/>
          <w:cols w:equalWidth="0" w:num="1">
            <w:col w:w="11240"/>
          </w:cols>
          <w:pgMar w:left="320" w:top="1418" w:right="339" w:bottom="1440" w:gutter="0" w:footer="0" w:header="0"/>
        </w:sectPr>
      </w:pPr>
    </w:p>
    <w:bookmarkStart w:id="130" w:name="page131"/>
    <w:bookmarkEnd w:id="13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or issued only in shares of that class; provided, however, that stock dividends on, or stock splits of, our Class B common stock may also be paid or issued in shares of our Class A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26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Approval Rights</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Conversion of Class B Common Stock</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Class B common stock is convertible share for share into Class A common stock, subject to certain restrictions.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Preference on Liquidation</w:t>
      </w:r>
    </w:p>
    <w:p>
      <w:pPr>
        <w:spacing w:after="0" w:line="2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ectPr>
          <w:pgSz w:w="11900" w:h="16838" w:orient="portrait"/>
          <w:cols w:equalWidth="0" w:num="1">
            <w:col w:w="11240"/>
          </w:cols>
          <w:pgMar w:left="320" w:top="1422"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b w:val="1"/>
          <w:bCs w:val="1"/>
          <w:color w:val="auto"/>
        </w:rPr>
        <w:t>Mergers, Consolidations, Etc.</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w:t>
      </w:r>
    </w:p>
    <w:p>
      <w:pPr>
        <w:spacing w:after="0" w:line="200" w:lineRule="exact"/>
        <w:rPr>
          <w:sz w:val="20"/>
          <w:szCs w:val="20"/>
          <w:color w:val="auto"/>
        </w:rPr>
      </w:pPr>
    </w:p>
    <w:p>
      <w:pPr>
        <w:spacing w:after="0" w:line="245" w:lineRule="exact"/>
        <w:rPr>
          <w:sz w:val="20"/>
          <w:szCs w:val="20"/>
          <w:color w:val="auto"/>
        </w:rPr>
      </w:pPr>
    </w:p>
    <w:p>
      <w:pPr>
        <w:ind w:left="480" w:hanging="472"/>
        <w:spacing w:after="0"/>
        <w:tabs>
          <w:tab w:leader="none" w:pos="48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2.0% EXCHANGEABLE SUBORDINATED DEBENTURES DUE 2029</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following summary of our 2.0% Exchangeable Subordinated Debentures due 2029 (the “ZONES”) is based on the indenture dated as of June 15, 1999 between Comcast Holdings Corporation (“Comcast Holdings” or the “Issuer”) and Deutsche Bank Trust Company Americas (formerly known as Bankers Trust Company), as Trustee (the “Trustee”) (the “Base Indenture”), as amended by the first supplemental indenture dated as of September 12, 2005 among Comcast Holdings, the Trustee and Comcast (together with the Base Indenture, the “Indenture”). This summary does not purport to be complete and is qualified in its entirety by reference to such Indenture. For the purposes of this summary, references to “we” and “our” refer only to Comcast Holdings.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ZONES are unsecured, subordinated obligations of Comcast Holdings and will mature on November 15, 2029.</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Principal, premium, if any, and interest on the ZONES are payable at the office or agency we maintain for such purpose within the City and State of New York or, at our option, payment of interest may be made by check mailed to the holders of the ZONES at their respective addresses set forth in the register of holders of the ZONES, provided that all payments with respect to ZONES, the holders of which have given wire transfer instructions, on or prior to the relevant record date, to the paying agent, are made by wire transfer of immediately available funds to the accounts specified by the holders. Until we otherwise designate, our office or agency</w:t>
      </w:r>
    </w:p>
    <w:p>
      <w:pPr>
        <w:sectPr>
          <w:pgSz w:w="11900" w:h="16838" w:orient="portrait"/>
          <w:cols w:equalWidth="0" w:num="1">
            <w:col w:w="11240"/>
          </w:cols>
          <w:pgMar w:left="320" w:top="1418" w:right="339" w:bottom="1440" w:gutter="0" w:footer="0" w:header="0"/>
        </w:sectPr>
      </w:pPr>
    </w:p>
    <w:bookmarkStart w:id="132" w:name="page133"/>
    <w:bookmarkEnd w:id="132"/>
    <w:p>
      <w:pPr>
        <w:jc w:val="both"/>
        <w:spacing w:after="0" w:line="271" w:lineRule="auto"/>
        <w:rPr>
          <w:sz w:val="20"/>
          <w:szCs w:val="20"/>
          <w:color w:val="auto"/>
        </w:rPr>
      </w:pPr>
      <w:r>
        <w:rPr>
          <w:rFonts w:ascii="Times New Roman" w:cs="Times New Roman" w:eastAsia="Times New Roman" w:hAnsi="Times New Roman"/>
          <w:sz w:val="22"/>
          <w:szCs w:val="22"/>
          <w:color w:val="auto"/>
        </w:rPr>
        <w:t>in New York will be the office of the trustee maintained for that purpose. The ZONES are issued in denominations of one ZONES and integral multiples thereof.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w:t>
      </w:r>
    </w:p>
    <w:p>
      <w:pPr>
        <w:spacing w:after="0" w:line="2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make quarterly interest payments in an amount equal to $0.4082 per ZONES, or 2.0% per year of the original principal amount, plus the amount of any quarterly cash dividend paid on the reference shares attributable to each ZONES. Holders of the ZONES are not expected to receive interest attributable to any cash dividend on the reference shares for this payment period because Sprint has never paid a cash dividend on its Sprint PCS stock.</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Interest on the ZONES accrues from the issue date of the ZONES. We pay this interest quarterly in arrears on February 15, May 15, August 15 and November 15 of each year, beginning February 15, 2000, but subject to our right to defer quarterly payments of interest.</w:t>
      </w:r>
    </w:p>
    <w:p>
      <w:pPr>
        <w:spacing w:after="0" w:line="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We also distribute, as additional interest on the ZONES, any property, including cash (other than any quarterly cash dividend), distributed on or with respect to the reference shares (other than publicly traded equity securities, which will themselves become reference shares). If the additional interest on the reference shares includes publicly traded securities (other than equity securities), we will distribute those securities. We will not, however, distribute fractional units of securities. We will pay cash instead of distributing the fractional units. Otherwise, we will distribute the fair market value of any property comprising additional interest as determined in good faith by our board of directors. We will distribute any additional interest to holders of the ZONES on the 20th business day after it is distributed on the reference shares. The record date for any distribution of additional interest is the 10th business day after the date any cash or property is distributed on the reference shares.</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extraordinary dividends on the reference shares are paid, the contingent principal amount will be reduced on a quarterly basis to the extent necessary so that the yield to the date of computation (including all interest payments other than those attributable to regular periodic cash dividends) does not exceed 2.0%. In no event will the contingent principal amount be less than zero. Changes in the contingent principal amount will not affect the amount of the quarterly interest payments.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interest or additional interest is payable on a date that is not a business day (as defined at the end of this paragraph), payment will be made on the next business day (and without any interest or other payment in respect of this delay). However, if the next business day is in the next calendar year, payment of interest will be made on the preceding business day. A “business day” means each Monday, Tuesday, Wednesday, Thursday and Friday which is not a day on which banking institutions in The City of New York are authorized or obligated by law or regulation to close.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Deferral of interest payments</w:t>
      </w:r>
    </w:p>
    <w:p>
      <w:pPr>
        <w:spacing w:after="0" w:line="25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no event of default has occurred and is continuing under the ZONES, we can, on one or more occasions, defer quarterly interest payments on the ZONES for up to 20 consecutive</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71" w:lineRule="auto"/>
        <w:rPr>
          <w:sz w:val="20"/>
          <w:szCs w:val="20"/>
          <w:color w:val="auto"/>
        </w:rPr>
      </w:pPr>
      <w:r>
        <w:rPr>
          <w:rFonts w:ascii="Times New Roman" w:cs="Times New Roman" w:eastAsia="Times New Roman" w:hAnsi="Times New Roman"/>
          <w:sz w:val="22"/>
          <w:szCs w:val="22"/>
          <w:color w:val="auto"/>
        </w:rPr>
        <w:t>quarterly periods. If we terminate a deferral period and subsequently elect to defer quarterly interest payments, we will again be subject to the 20 consecutive quarterly period limitation.</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will not, however, be subject to the 20 consecutive quarterly period limitation on deferral if, as a result of a tender offer, an exchange offer, a business combination or otherwise, all reference shares cease to be outstanding, and we subsequently elect to defer quarterly payments of interest on the ZONES.</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Any deferral of interest payments cannot extend, however, beyond the maturity date of the ZONES. We can never defer distributions of additional interest.</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we defer quarterly payments of interest, the contingent principal amount of the ZONES will increase by the amount of the deferred quarterly payments of interest, plus accrued interest thereon at an annual rate of 2.0%, compounded quarterly, and the early exchange ratio will be 100% for the quarter following each deferral of a payment of quarterly interest. Once we have paid all deferred quarterly interest, plus accrued interest thereon, together with the quarterly interest payment for the current quarterly interest payment period, the contingent principal amount will reduce by the amount of that payment of deferred quarterly interest plus accrued interest thereon, the early exchange ratio will decrease to 95% and we can again defer quarterly interest payments as described above. Instead of accruing cash interest on the ZONES during a quarterly deferral period, so long as the current market value of the reference shares exceeds the original principal amount of the ZONES, we may at our option, but are not obligated to, increase the number of reference shares attributable to each ZONES by an annual rate of 2.0%. If we elect to make this increase, we will be deemed current on that quarterly payment of interest and will not increase the contingent principal amount, although the early exchange ratio will remain at 100% only for the five business days immediately following the scheduled quarterly interest payment date related to the deferral. After that five 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we elect to defer interest on the ZONES in any particular quarter, we will give the trustee notice. We will also prepare a press release and provide it to DTC for dissemination through the DTC broadcast facility. We will give this notice one business day before the earlier of:</w:t>
      </w:r>
    </w:p>
    <w:p>
      <w:pPr>
        <w:spacing w:after="0" w:line="200" w:lineRule="exact"/>
        <w:rPr>
          <w:sz w:val="20"/>
          <w:szCs w:val="20"/>
          <w:color w:val="auto"/>
        </w:rPr>
      </w:pPr>
    </w:p>
    <w:p>
      <w:pPr>
        <w:spacing w:after="0" w:line="345" w:lineRule="exact"/>
        <w:rPr>
          <w:sz w:val="20"/>
          <w:szCs w:val="20"/>
          <w:color w:val="auto"/>
        </w:rPr>
      </w:pPr>
    </w:p>
    <w:p>
      <w:pPr>
        <w:ind w:left="1320" w:hanging="322"/>
        <w:spacing w:after="0"/>
        <w:tabs>
          <w:tab w:leader="none" w:pos="1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for the next date that interest on the ZONES is payable; or</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right="360" w:hanging="322"/>
        <w:spacing w:after="0" w:line="271" w:lineRule="auto"/>
        <w:tabs>
          <w:tab w:leader="none" w:pos="131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we are required to give notice to the NYSE (or any other applicable self-regulatory organization) or to holders of the ZONES of the record date or the date any quarterly interest payment is payable.</w:t>
      </w:r>
    </w:p>
    <w:p>
      <w:pPr>
        <w:sectPr>
          <w:pgSz w:w="11900" w:h="16838" w:orient="portrait"/>
          <w:cols w:equalWidth="0" w:num="1">
            <w:col w:w="11240"/>
          </w:cols>
          <w:pgMar w:left="320" w:top="1421" w:right="339" w:bottom="1440" w:gutter="0" w:footer="0" w:header="0"/>
        </w:sectPr>
      </w:pPr>
    </w:p>
    <w:bookmarkStart w:id="134" w:name="page135"/>
    <w:bookmarkEnd w:id="134"/>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refer to the last date on which we can give notice that we intend to defer the payment of interest in respect of a quarterly payment of interest as a deferral notice date. When applicable, we will state in any deferral notice that we are not subject to the 20 consecutive period limitation on deferrals and may continue to defer the payment of quarterly interest until maturity or earlier redemption.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Principal amount</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original principal amount per ZONES is equal to its initial purchase price, or $81.6325. The minimum amount payable upon redemption or maturity of a ZONES (which we refer to as the contingent principal amount) will initially be equal to the original principal amount. If an “extraordinary dividend” is ever paid on the reference shares, the contingent principal amount will be reduced on a quarterly basis to the extent necessary so that the yield to the date of computation (including all quarterly interest payments other than those attributable to regular periodic cash dividends) does not exceed a 2.0% annual yield. In no event will the contingent principal amount be less than zero.</w:t>
      </w:r>
    </w:p>
    <w:p>
      <w:pPr>
        <w:spacing w:after="0" w:line="20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 “extraordinary dividend” means a dividend or distribution consisting of cash or any other property (other than additional reference shares), except for regular periodic cash dividends.</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At maturity, holders will be entitled to receive the higher of (a) the contingent principal amount of the ZONES or (b) the sum of the current market value of the reference shares on the maturity date plus any deferred quarterly payments of interest (including any accrued interest thereon), plus, in each case, the final period distribution.</w:t>
      </w:r>
    </w:p>
    <w:p>
      <w:pPr>
        <w:spacing w:after="0" w:line="20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i w:val="1"/>
          <w:iCs w:val="1"/>
          <w:color w:val="auto"/>
        </w:rPr>
        <w:t>final period distribution</w:t>
      </w:r>
      <w:r>
        <w:rPr>
          <w:rFonts w:ascii="Times New Roman" w:cs="Times New Roman" w:eastAsia="Times New Roman" w:hAnsi="Times New Roman"/>
          <w:sz w:val="21"/>
          <w:szCs w:val="21"/>
          <w:color w:val="auto"/>
        </w:rPr>
        <w:t>” means, in respect of (a) the maturity date, a distribution determined in accordance with clauses (2), (3) and (4) below, and (b) the redemption date, a distribution determined in accordance with clauses (1), (2), (3) and</w:t>
      </w:r>
    </w:p>
    <w:p>
      <w:pPr>
        <w:spacing w:after="0" w:line="2" w:lineRule="exact"/>
        <w:rPr>
          <w:sz w:val="20"/>
          <w:szCs w:val="20"/>
          <w:color w:val="auto"/>
        </w:rPr>
      </w:pPr>
    </w:p>
    <w:p>
      <w:pPr>
        <w:ind w:left="320" w:hanging="312"/>
        <w:spacing w:after="0"/>
        <w:tabs>
          <w:tab w:leader="none" w:pos="32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 If the redemption date is in connection with a rollover offering, the distribution determined in accordance with clause</w:t>
      </w:r>
    </w:p>
    <w:p>
      <w:pPr>
        <w:spacing w:after="0" w:line="15" w:lineRule="exact"/>
        <w:rPr>
          <w:rFonts w:ascii="Times New Roman" w:cs="Times New Roman" w:eastAsia="Times New Roman" w:hAnsi="Times New Roman"/>
          <w:sz w:val="21"/>
          <w:szCs w:val="21"/>
          <w:color w:val="auto"/>
        </w:rPr>
      </w:pPr>
    </w:p>
    <w:p>
      <w:pPr>
        <w:ind w:right="20" w:firstLine="8"/>
        <w:spacing w:after="0" w:line="248" w:lineRule="auto"/>
        <w:tabs>
          <w:tab w:leader="none" w:pos="33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all dividends and distributions on or in respect of the reference shares which a holder of reference shares on the pricing date (defined below) would be entitled to receive.</w:t>
      </w:r>
    </w:p>
    <w:p>
      <w:pPr>
        <w:sectPr>
          <w:pgSz w:w="11900" w:h="16838" w:orient="portrait"/>
          <w:cols w:equalWidth="0" w:num="1">
            <w:col w:w="11240"/>
          </w:cols>
          <w:pgMar w:left="320" w:top="1421" w:right="339" w:bottom="1440" w:gutter="0" w:footer="0" w:header="0"/>
        </w:sectPr>
      </w:pPr>
    </w:p>
    <w:bookmarkStart w:id="135" w:name="page136"/>
    <w:bookmarkEnd w:id="135"/>
    <w:p>
      <w:pPr>
        <w:spacing w:after="0" w:line="333" w:lineRule="exact"/>
        <w:rPr>
          <w:sz w:val="20"/>
          <w:szCs w:val="20"/>
          <w:color w:val="auto"/>
        </w:rPr>
      </w:pPr>
    </w:p>
    <w:p>
      <w:pPr>
        <w:ind w:left="1320" w:hanging="322"/>
        <w:spacing w:after="0"/>
        <w:tabs>
          <w:tab w:leader="none" w:pos="13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the scheduled redemption date of the ZONES is also a scheduled quarterly interest payment date or</w:t>
      </w:r>
    </w:p>
    <w:p>
      <w:pPr>
        <w:spacing w:after="0" w:line="27" w:lineRule="exact"/>
        <w:rPr>
          <w:rFonts w:ascii="Times New Roman" w:cs="Times New Roman" w:eastAsia="Times New Roman" w:hAnsi="Times New Roman"/>
          <w:sz w:val="22"/>
          <w:szCs w:val="22"/>
          <w:color w:val="auto"/>
        </w:rPr>
      </w:pPr>
    </w:p>
    <w:p>
      <w:pPr>
        <w:jc w:val="both"/>
        <w:ind w:left="1320" w:right="58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quarterly interest has been deferred for the then current quarterly dividend period, an amount equal to an annual rate of 2.0% on the original principal amount of the ZONES from the most recent scheduled interest payment date to the date of redemption, plus</w:t>
      </w:r>
    </w:p>
    <w:p>
      <w:pPr>
        <w:spacing w:after="0" w:line="200" w:lineRule="exact"/>
        <w:rPr>
          <w:rFonts w:ascii="Times New Roman" w:cs="Times New Roman" w:eastAsia="Times New Roman" w:hAnsi="Times New Roman"/>
          <w:sz w:val="22"/>
          <w:szCs w:val="22"/>
          <w:color w:val="auto"/>
        </w:rPr>
      </w:pPr>
    </w:p>
    <w:p>
      <w:pPr>
        <w:spacing w:after="0" w:line="270" w:lineRule="exact"/>
        <w:rPr>
          <w:rFonts w:ascii="Times New Roman" w:cs="Times New Roman" w:eastAsia="Times New Roman" w:hAnsi="Times New Roman"/>
          <w:sz w:val="22"/>
          <w:szCs w:val="22"/>
          <w:color w:val="auto"/>
        </w:rPr>
      </w:pPr>
    </w:p>
    <w:p>
      <w:pPr>
        <w:jc w:val="both"/>
        <w:ind w:left="1320" w:right="120" w:hanging="322"/>
        <w:spacing w:after="0" w:line="252" w:lineRule="auto"/>
        <w:tabs>
          <w:tab w:leader="none" w:pos="131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dividends and distributions on or in respect of the reference shares declared by the applicable reference company and for which the ex- date for the dividend or distribution falls during the period from the date of original issuance of the ZONES to the most recent scheduled interest payment date and which have not been distributed to holders of reference shares prior to the most recent scheduled interest payment date, plus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jc w:val="both"/>
        <w:ind w:left="1320" w:right="120" w:hanging="322"/>
        <w:spacing w:after="0" w:line="263" w:lineRule="auto"/>
        <w:tabs>
          <w:tab w:leader="none" w:pos="131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0" w:lineRule="exact"/>
        <w:rPr>
          <w:rFonts w:ascii="Times New Roman" w:cs="Times New Roman" w:eastAsia="Times New Roman" w:hAnsi="Times New Roman"/>
          <w:sz w:val="22"/>
          <w:szCs w:val="22"/>
          <w:color w:val="auto"/>
        </w:rPr>
      </w:pPr>
    </w:p>
    <w:p>
      <w:pPr>
        <w:jc w:val="both"/>
        <w:ind w:left="1320" w:right="120" w:hanging="322"/>
        <w:spacing w:after="0" w:line="257" w:lineRule="auto"/>
        <w:tabs>
          <w:tab w:leader="none" w:pos="131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 x (1 - 0.05n)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pacing w:after="0" w:line="344" w:lineRule="exact"/>
        <w:rPr>
          <w:sz w:val="20"/>
          <w:szCs w:val="20"/>
          <w:color w:val="auto"/>
        </w:rPr>
      </w:pPr>
    </w:p>
    <w:p>
      <w:pPr>
        <w:ind w:left="720" w:right="680"/>
        <w:spacing w:after="0" w:line="275" w:lineRule="auto"/>
        <w:rPr>
          <w:sz w:val="20"/>
          <w:szCs w:val="20"/>
          <w:color w:val="auto"/>
        </w:rPr>
      </w:pPr>
      <w:r>
        <w:rPr>
          <w:rFonts w:ascii="Times New Roman" w:cs="Times New Roman" w:eastAsia="Times New Roman" w:hAnsi="Times New Roman"/>
          <w:sz w:val="21"/>
          <w:szCs w:val="21"/>
          <w:color w:val="auto"/>
        </w:rPr>
        <w:t>E = all dividends and distributions on or in respect of the reference shares which a holder of reference shares on the applicable day would be entitled to receive, provided that an ex- date that occurs on a day that is not a scheduled trading day shall be deemed to have occurred on the immediately preceding scheduled trading day; and</w:t>
      </w:r>
    </w:p>
    <w:p>
      <w:pPr>
        <w:spacing w:after="0" w:line="200" w:lineRule="exact"/>
        <w:rPr>
          <w:sz w:val="20"/>
          <w:szCs w:val="20"/>
          <w:color w:val="auto"/>
        </w:rPr>
      </w:pPr>
    </w:p>
    <w:p>
      <w:pPr>
        <w:spacing w:after="0" w:line="239" w:lineRule="exact"/>
        <w:rPr>
          <w:sz w:val="20"/>
          <w:szCs w:val="20"/>
          <w:color w:val="auto"/>
        </w:rPr>
      </w:pPr>
    </w:p>
    <w:p>
      <w:pPr>
        <w:ind w:left="720" w:right="920"/>
        <w:spacing w:after="0" w:line="271" w:lineRule="auto"/>
        <w:rPr>
          <w:sz w:val="20"/>
          <w:szCs w:val="20"/>
          <w:color w:val="auto"/>
        </w:rPr>
      </w:pPr>
      <w:r>
        <w:rPr>
          <w:rFonts w:ascii="Times New Roman" w:cs="Times New Roman" w:eastAsia="Times New Roman" w:hAnsi="Times New Roman"/>
          <w:sz w:val="22"/>
          <w:szCs w:val="22"/>
          <w:color w:val="auto"/>
        </w:rPr>
        <w:t>n = the number of scheduled trading days that have elapsed in the averaging period with the first trading day of the averaging period being counted as zero.</w:t>
      </w:r>
    </w:p>
    <w:p>
      <w:pPr>
        <w:spacing w:after="0" w:line="3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 holder of the ZONES is only entitled to receive distributions determined in accordance with clauses (2), (3) or (4) to the extent actually distributed by the applicable reference company. Amounts calculated with respect to cash amounts paid by the applicable reference company on</w:t>
      </w:r>
    </w:p>
    <w:p>
      <w:pPr>
        <w:sectPr>
          <w:pgSz w:w="11900" w:h="16838" w:orient="portrait"/>
          <w:cols w:equalWidth="0" w:num="1">
            <w:col w:w="11240"/>
          </w:cols>
          <w:pgMar w:left="320" w:top="1440" w:right="339" w:bottom="1440" w:gutter="0" w:footer="0" w:header="0"/>
        </w:sectPr>
      </w:pPr>
    </w:p>
    <w:bookmarkStart w:id="136" w:name="page137"/>
    <w:bookmarkEnd w:id="136"/>
    <w:p>
      <w:pPr>
        <w:jc w:val="both"/>
        <w:spacing w:after="0" w:line="256" w:lineRule="auto"/>
        <w:rPr>
          <w:sz w:val="20"/>
          <w:szCs w:val="20"/>
          <w:color w:val="auto"/>
        </w:rPr>
      </w:pPr>
      <w:r>
        <w:rPr>
          <w:rFonts w:ascii="Times New Roman" w:cs="Times New Roman" w:eastAsia="Times New Roman" w:hAnsi="Times New Roman"/>
          <w:sz w:val="22"/>
          <w:szCs w:val="22"/>
          <w:color w:val="auto"/>
        </w:rPr>
        <w:t>reference shares as described in clauses (2), (3) or (4) before the redemption date or the maturity date, as the case may be, will be paid on the redemption date or the maturity date, as the case may be. Amounts calculated with respect to all other property distributed, or the cash value of the property, will be distributed within 20 business days after it is distributed on the reference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option</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At any time or from time to time, holders of the ZONES may exchange the ZONES for an amount of cash equal to 95% (which we refer to as the early exchange ratio) of the exchange market value of the reference shares attributable to each ZONES. The early exchange ratio will be equal to (a) 95% of the exchange market value of the reference shares attributable to each ZONES or (b) during a deferral of the quarterly interest payments on the ZONES or, if we so elect, during the pendency of any tender or exchange offer for any of the reference shares, 100% of the exchange market value of the reference shares attributable to each ZONES.</w:t>
      </w:r>
    </w:p>
    <w:p>
      <w:pPr>
        <w:spacing w:after="0" w:line="20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will pay the amount due upon exchange as soon as reasonably practicable after delivery of an exchange notice to the trustee, but in no event earlier than three trading days after the date of the notice or later than ten trading days after the date of the notice.</w:t>
      </w:r>
    </w:p>
    <w:p>
      <w:pPr>
        <w:spacing w:after="0" w:line="2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“exchange market value” means the closing price (as defined below) on the trading day (as defined below) following the date of delivery of an exchange notice to the trustee, unless more than 500,000 ZONES have been delivered for exchange on that date. If more than 500,000 ZONES have been delivered for exchange, then the exchange market value shall be the average closing price on the five trading days following that date.</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more than 500,000 ZONES are delivered for exchange on any one day, we will give the trustee notice. We will also issue a press release prior to 9:00 a.m., New York City time, on the next trading day, and provide it to DTC for dissemination through the DTC broadcast facility. Our failure to provide these notices, however, will not affect the determination of exchange market value as described above.</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So long as the ZONES are held through DTC, a holder may exercise his or her exchange right through the relevant direct participant in the DTC ATOP system. If the ZONES are held in certificated form, such holder may exercise his or her exchange right as follows:</w:t>
      </w:r>
    </w:p>
    <w:p>
      <w:pPr>
        <w:spacing w:after="0" w:line="302" w:lineRule="exact"/>
        <w:rPr>
          <w:sz w:val="20"/>
          <w:szCs w:val="20"/>
          <w:color w:val="auto"/>
        </w:rPr>
      </w:pPr>
    </w:p>
    <w:p>
      <w:pPr>
        <w:ind w:left="1320" w:right="20" w:hanging="322"/>
        <w:spacing w:after="0" w:line="271" w:lineRule="auto"/>
        <w:tabs>
          <w:tab w:leader="none" w:pos="131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manually sign an exchange notice in the form available from the trustee and deliver this notice to the trustee at the office maintained by the trustee for this purpose;</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surrender the ZONES to the trustee;</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furnish appropriate endorsement and transfer documents; and</w:t>
      </w:r>
    </w:p>
    <w:p>
      <w:pPr>
        <w:sectPr>
          <w:pgSz w:w="11900" w:h="16838" w:orient="portrait"/>
          <w:cols w:equalWidth="0" w:num="1">
            <w:col w:w="11240"/>
          </w:cols>
          <w:pgMar w:left="320" w:top="1421" w:right="339" w:bottom="1440" w:gutter="0" w:footer="0" w:header="0"/>
        </w:sectPr>
      </w:pPr>
    </w:p>
    <w:bookmarkStart w:id="137" w:name="page138"/>
    <w:bookmarkEnd w:id="137"/>
    <w:p>
      <w:pPr>
        <w:spacing w:after="0" w:line="200" w:lineRule="exact"/>
        <w:rPr>
          <w:sz w:val="20"/>
          <w:szCs w:val="20"/>
          <w:color w:val="auto"/>
        </w:rPr>
      </w:pPr>
    </w:p>
    <w:p>
      <w:pPr>
        <w:spacing w:after="0" w:line="389" w:lineRule="exact"/>
        <w:rPr>
          <w:sz w:val="20"/>
          <w:szCs w:val="20"/>
          <w:color w:val="auto"/>
        </w:rPr>
      </w:pPr>
    </w:p>
    <w:p>
      <w:pPr>
        <w:ind w:left="1320" w:hanging="322"/>
        <w:spacing w:after="0"/>
        <w:tabs>
          <w:tab w:leader="none" w:pos="13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pay all transfer or similar taxes.</w:t>
      </w:r>
    </w:p>
    <w:p>
      <w:pPr>
        <w:spacing w:after="0" w:line="3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Indenture, the date on which all of the foregoing requirements have been satisfied is the redemption date with respect to the ZONES delivered for exchange.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w:t>
      </w:r>
    </w:p>
    <w:p>
      <w:pPr>
        <w:spacing w:after="0" w:line="25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We may redeem at any time all but not some of the ZONES at a redemption price equal to the sum of the higher of the contingent principal amount of the ZONES or the sum of the current market value of the reference shares plus any deferred quarterly payments of interest, plus, in either case, the final period distribution.</w:t>
      </w:r>
    </w:p>
    <w:p>
      <w:pPr>
        <w:spacing w:after="0" w:line="18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current market value</w:t>
      </w:r>
      <w:r>
        <w:rPr>
          <w:rFonts w:ascii="Times New Roman" w:cs="Times New Roman" w:eastAsia="Times New Roman" w:hAnsi="Times New Roman"/>
          <w:sz w:val="22"/>
          <w:szCs w:val="22"/>
          <w:color w:val="auto"/>
        </w:rPr>
        <w:t>” (other than in the case of a rollover offering, which is described below) is defined as the average closing price per reference share on the 20 trading days (which we refer to as the averaging period) immediately prior to (but not including) the fifth business day preceding the redemption date; provided, however, that for purposes of determining the payment required upon redemption in connection with a rollover offering, “current market value” means the closing price per reference share on the trading day immediately preceding the date that the rollover offering is priced (which we refer to as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w:t>
      </w:r>
    </w:p>
    <w:p>
      <w:pPr>
        <w:spacing w:after="0" w:line="22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rollover offering</w:t>
      </w:r>
      <w:r>
        <w:rPr>
          <w:rFonts w:ascii="Times New Roman" w:cs="Times New Roman" w:eastAsia="Times New Roman" w:hAnsi="Times New Roman"/>
          <w:sz w:val="22"/>
          <w:szCs w:val="22"/>
          <w:color w:val="auto"/>
        </w:rPr>
        <w:t>” means a refinancing by us of the ZONES by way of either (a) a sale of the reference shares or (b) a sale of securities that are priced by reference to the reference shares, in either case, by means of a completed public offering or offerings by us (which may include one or more exchange offers) and which is expected to yield net proceeds which are sufficient to pay the redemption amount for all of the ZONES. The trustee will notify holders if we elect to redeem their ZONES in connection with a rollover offering not less than 30 nor more than 60 business days prior to the redemption date. We will also issue a press release prior to 4:00 p.m., New York City time, on the business day immediately before the day on which the closing price of the reference shares is to be measured for the purpose of determining the current market value in connection with a rollover offering. The notice will state we are firmly committed to price the rollover offering, will specify the date on which the rollover offering is to be priced (including whether the rollover offering will be priced during trading on the pricing date or after the close of trading on the pricing date) and consequently, whether the closing price for the reference shares by which the current market value will be measured will be the closing price on the trading date immediately preceding the pricing date or the closing price on the</w:t>
      </w:r>
    </w:p>
    <w:p>
      <w:pPr>
        <w:sectPr>
          <w:pgSz w:w="11900" w:h="16838" w:orient="portrait"/>
          <w:cols w:equalWidth="0" w:num="1">
            <w:col w:w="11240"/>
          </w:cols>
          <w:pgMar w:left="320" w:top="144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pricing date. We will provide that press release to DTC for dissemination through the DTC broadcast facility.</w:t>
      </w:r>
    </w:p>
    <w:p>
      <w:pPr>
        <w:spacing w:after="0" w:line="24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closing price</w:t>
      </w:r>
      <w:r>
        <w:rPr>
          <w:rFonts w:ascii="Times New Roman" w:cs="Times New Roman" w:eastAsia="Times New Roman" w:hAnsi="Times New Roman"/>
          <w:sz w:val="22"/>
          <w:szCs w:val="22"/>
          <w:color w:val="auto"/>
        </w:rPr>
        <w:t>” of any security on any date of determination means the closing sale price (or, if no closing sale price is reported, the last reported sale price) of that security (regular way) on the NYSE on that date or, if that security is not listed for trading on the NYSE on that date, as reported in the composite transactions for the principal United States securities exchange on which that security is so listed, or if that security is not so listed on a United States national or regional securities exchange, as reported by the Nasdaq National Market, or if that security is not so reported, the last quoted bid price for that security in the over-the-counter market as reported by the National Quotation Bureau or similar organization. In the event that no such quotation is available for any day, our board of directors will be entitled to determine the closing price on the basis of those quotations that it in good faith considers 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 p.m., New York City time, in the definition of “current market value” shall thereafter be deemed to refer to the then customary determination time.</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that security.</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addition, if at any time on or prior to January 30, 2000, a “</w:t>
      </w:r>
      <w:r>
        <w:rPr>
          <w:rFonts w:ascii="Times New Roman" w:cs="Times New Roman" w:eastAsia="Times New Roman" w:hAnsi="Times New Roman"/>
          <w:sz w:val="22"/>
          <w:szCs w:val="22"/>
          <w:b w:val="1"/>
          <w:bCs w:val="1"/>
          <w:i w:val="1"/>
          <w:iCs w:val="1"/>
          <w:color w:val="auto"/>
        </w:rPr>
        <w:t>tax event</w:t>
      </w:r>
      <w:r>
        <w:rPr>
          <w:rFonts w:ascii="Times New Roman" w:cs="Times New Roman" w:eastAsia="Times New Roman" w:hAnsi="Times New Roman"/>
          <w:sz w:val="22"/>
          <w:szCs w:val="22"/>
          <w:color w:val="auto"/>
        </w:rPr>
        <w:t>” shall occur and be continuing, we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tax event</w:t>
      </w:r>
      <w:r>
        <w:rPr>
          <w:rFonts w:ascii="Times New Roman" w:cs="Times New Roman" w:eastAsia="Times New Roman" w:hAnsi="Times New Roman"/>
          <w:sz w:val="22"/>
          <w:szCs w:val="22"/>
          <w:color w:val="auto"/>
        </w:rPr>
        <w: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the prospectus supplement applicable to the ZONES (a “change in tax law”), there is the creation by such change in tax law of a substantial risk that, as a result of entrance into the ZONES, we will be treated for purposes of Section 1259 of the Internal Revenue Code as having constructively sold some or all of our Sprint PCS Stock.</w:t>
      </w:r>
    </w:p>
    <w:p>
      <w:pPr>
        <w:sectPr>
          <w:pgSz w:w="11900" w:h="16838" w:orient="portrait"/>
          <w:cols w:equalWidth="0" w:num="1">
            <w:col w:w="11240"/>
          </w:cols>
          <w:pgMar w:left="320" w:top="1421" w:right="339" w:bottom="1440" w:gutter="0" w:footer="0" w:header="0"/>
        </w:sectPr>
      </w:pPr>
    </w:p>
    <w:bookmarkStart w:id="139" w:name="page140"/>
    <w:bookmarkEnd w:id="139"/>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will give holders 30 business days’ notice before the redemption of the ZONES (in the case of a redemption not pursuant to a “tax event”) and will irrevocably deposit with the trustee sufficient funds to pay the redemption amount. Distributions to be paid on or before the redemption date of the ZONES will be payable to the holders on the record dates for the related dates of distribution.</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Once notice of redemption is given and funds are irrevocably deposited, interest on the ZONES will cease to accrue on and after the date of redemption and all rights of the holders of the ZONES will cease, except for the right of the holders to receive the redemption amount (but without interest on that redemption amount), including, if applicable, the final period distribution.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redemption date is not a business day, then the redemption amount will be payable on the next business day (and without any interest or other payment in respect of that delay). However, if the next business day is in the next calendar year, the redemption amount will be payable on the preceding business day.</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we improperly withhold or refuse to pay the redemption amount for the ZONES, interest on the ZONES will continue to accrue at an annual rate of 2.0% from the original redemption date to the actual date of payment. In this case, the actual payment date will be considered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compliance with applicable law (including the United States federal securities laws), we and our affiliates may, at any time, purchase outstanding ZONES by tender, in the open market or by private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Subordination</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ZONES are unsecured and junior in right of payment to all senior indebtedness (as we define below). This means that no payment of principal, premium (if any) or interest on the ZONES may be made if:</w:t>
      </w:r>
    </w:p>
    <w:p>
      <w:pPr>
        <w:spacing w:after="0" w:line="200" w:lineRule="exact"/>
        <w:rPr>
          <w:sz w:val="20"/>
          <w:szCs w:val="20"/>
          <w:color w:val="auto"/>
        </w:rPr>
      </w:pPr>
    </w:p>
    <w:p>
      <w:pPr>
        <w:spacing w:after="0" w:line="336" w:lineRule="exact"/>
        <w:rPr>
          <w:sz w:val="20"/>
          <w:szCs w:val="20"/>
          <w:color w:val="auto"/>
        </w:rPr>
      </w:pPr>
    </w:p>
    <w:p>
      <w:pPr>
        <w:jc w:val="both"/>
        <w:ind w:left="1320" w:right="20" w:hanging="322"/>
        <w:spacing w:after="0" w:line="263" w:lineRule="auto"/>
        <w:tabs>
          <w:tab w:leader="none" w:pos="131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our senior indebtedness is not paid when due, any applicable grace period with respect to any default for non-payment of principal, premium, interest or any other payment due on any senior indebtedness has ended and that default has not been cured or waived or ceased to exist; or</w:t>
      </w:r>
    </w:p>
    <w:p>
      <w:pPr>
        <w:spacing w:after="0" w:line="200" w:lineRule="exact"/>
        <w:rPr>
          <w:rFonts w:ascii="Times New Roman" w:cs="Times New Roman" w:eastAsia="Times New Roman" w:hAnsi="Times New Roman"/>
          <w:sz w:val="22"/>
          <w:szCs w:val="22"/>
          <w:color w:val="auto"/>
        </w:rPr>
      </w:pPr>
    </w:p>
    <w:p>
      <w:pPr>
        <w:spacing w:after="0" w:line="250"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of any senior indebtedness has been accelerated because of a default.</w:t>
      </w:r>
    </w:p>
    <w:p>
      <w:pPr>
        <w:sectPr>
          <w:pgSz w:w="11900" w:h="16838" w:orient="portrait"/>
          <w:cols w:equalWidth="0" w:num="1">
            <w:col w:w="11240"/>
          </w:cols>
          <w:pgMar w:left="320" w:top="1440" w:right="339" w:bottom="1440" w:gutter="0" w:footer="0" w:header="0"/>
        </w:sectPr>
      </w:pPr>
    </w:p>
    <w:bookmarkStart w:id="140" w:name="page141"/>
    <w:bookmarkEnd w:id="140"/>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On any distribution of our assets to creditors upon any dissolution, winding-up, liquidation or reorganization, whether voluntary or involuntary or in bankruptcy, insolvency, receivership, reorganization or other similar proceedings, all principal of, premium, if any, interest and any other amounts due or to become due on, all senior indebtedness must be paid in full before the holders of the ZONES are entitled to receive or retain any payment. Because of this subordination, if we dissolve or otherwise liquidate, holders of senior indebtedness may receive more, ratably, and holders of subordinated debt, including the ZONES, may receive less, ratably, than our other creditors. Upon payment in full of the senior indebtedness, the holders of the ZONES will assume rights similar to the holders of senior indebtedness to receive any remaining payments or distributions applicable to senior indebtedness until all amounts owing on the ZONES are paid in full. The ZONES are intended to rank equally with all other existing and future subordinated debt and trade obligations of Comcast Holdings.</w:t>
      </w:r>
    </w:p>
    <w:p>
      <w:pPr>
        <w:spacing w:after="0" w:line="20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Senior indebtedness</w:t>
      </w:r>
      <w:r>
        <w:rPr>
          <w:rFonts w:ascii="Times New Roman" w:cs="Times New Roman" w:eastAsia="Times New Roman" w:hAnsi="Times New Roman"/>
          <w:sz w:val="22"/>
          <w:szCs w:val="22"/>
          <w:color w:val="auto"/>
        </w:rPr>
        <w:t>” means the principal of, premium, if any, interest on, and any other payment due pursuant to any of the following, whether outstanding today or incurred by us in the future:</w:t>
      </w:r>
    </w:p>
    <w:p>
      <w:pPr>
        <w:spacing w:after="0" w:line="200" w:lineRule="exact"/>
        <w:rPr>
          <w:sz w:val="20"/>
          <w:szCs w:val="20"/>
          <w:color w:val="auto"/>
        </w:rPr>
      </w:pPr>
    </w:p>
    <w:p>
      <w:pPr>
        <w:spacing w:after="0" w:line="331" w:lineRule="exact"/>
        <w:rPr>
          <w:sz w:val="20"/>
          <w:szCs w:val="20"/>
          <w:color w:val="auto"/>
        </w:rPr>
      </w:pPr>
    </w:p>
    <w:p>
      <w:pPr>
        <w:jc w:val="both"/>
        <w:ind w:left="1320" w:right="20" w:hanging="322"/>
        <w:spacing w:after="0" w:line="257" w:lineRule="auto"/>
        <w:tabs>
          <w:tab w:leader="none" w:pos="131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indebtedness evidenced by notes, debentures, bonds or other securities sold by us for money;</w:t>
      </w:r>
    </w:p>
    <w:p>
      <w:pPr>
        <w:spacing w:after="0" w:line="395"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lease obligations which are capitalized on our books in accordance with generally accepted accounting principles;</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jc w:val="both"/>
        <w:ind w:left="1320" w:right="20" w:hanging="322"/>
        <w:spacing w:after="0" w:line="275" w:lineRule="auto"/>
        <w:tabs>
          <w:tab w:leader="none" w:pos="1314"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200" w:lineRule="exact"/>
        <w:rPr>
          <w:rFonts w:ascii="Times New Roman" w:cs="Times New Roman" w:eastAsia="Times New Roman" w:hAnsi="Times New Roman"/>
          <w:sz w:val="21"/>
          <w:szCs w:val="21"/>
          <w:color w:val="auto"/>
        </w:rPr>
      </w:pPr>
    </w:p>
    <w:p>
      <w:pPr>
        <w:spacing w:after="0" w:line="252" w:lineRule="exact"/>
        <w:rPr>
          <w:rFonts w:ascii="Times New Roman" w:cs="Times New Roman" w:eastAsia="Times New Roman" w:hAnsi="Times New Roman"/>
          <w:sz w:val="21"/>
          <w:szCs w:val="21"/>
          <w:color w:val="auto"/>
        </w:rPr>
      </w:pPr>
    </w:p>
    <w:p>
      <w:pPr>
        <w:jc w:val="both"/>
        <w:ind w:left="1320" w:right="20" w:hanging="322"/>
        <w:spacing w:after="0" w:line="257" w:lineRule="auto"/>
        <w:tabs>
          <w:tab w:leader="none" w:pos="131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34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unless, in the case of any particular indebtedness, lease, renewal, extension or refunding, the instrument or lease creating or evidencing it or the assumption or guarantee relating to it</w:t>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53" w:lineRule="auto"/>
        <w:rPr>
          <w:sz w:val="20"/>
          <w:szCs w:val="20"/>
          <w:color w:val="auto"/>
        </w:rPr>
      </w:pPr>
      <w:r>
        <w:rPr>
          <w:rFonts w:ascii="Times New Roman" w:cs="Times New Roman" w:eastAsia="Times New Roman" w:hAnsi="Times New Roman"/>
          <w:sz w:val="22"/>
          <w:szCs w:val="22"/>
          <w:color w:val="auto"/>
        </w:rPr>
        <w:t>expressly provides that such indebtedness, lease, renewal, extension or refunding is not superior in right of payment to subordinated debt securities. Our senior debt securities, and any indebtedness outstanding under our senior subordinated debentures indenture dated as of October 17, 1991 between us and Harris Trust and Savings Bank as successor trustee to Morgan Guaranty Trust Company of New York, constitute senior indebtedness for purposes of the Indenture. Senior Indebtedness does not include any indebtedness that is by its terms junior or equal with the ZONES.</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ZONES do not limit our ability or that of our subsidiaries to incur additional indebtedness, including indebtedness that ranks senior in priority of payment to the ZONES.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Amount payable upon bankruptcy</w:t>
      </w:r>
    </w:p>
    <w:p>
      <w:pPr>
        <w:spacing w:after="0" w:line="26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Upon dissolution, winding-up, liquidation or reorganization, whether voluntary or involuntary or in bankruptcy, insolvency, receivership or other similar proceedings in respect of Comcast Holdings, holders of the ZONES should be entitled to a claim against us in an amount equal to the higher of (a) the contingent principal amount of the ZONES or (b) the sum of the current market value (without giving effect to the provisions relating to rollover offerings) of the reference shares plus any deferred quarterly payments of interest (including any accrued interest thereon), plus, in either case, the final period distribution determined as if the date of such event was the maturity date of the ZONES.</w:t>
      </w:r>
    </w:p>
    <w:p>
      <w:pPr>
        <w:spacing w:after="0" w:line="22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Because of the subordination provisions contained in the Indenture, the amount holders actually receive is likely to be substantially less than the amount of their claim.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Dilution adjustments</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document, “reference company” means Sprint and any other issuer of a reference share.</w:t>
      </w:r>
    </w:p>
    <w:p>
      <w:pPr>
        <w:spacing w:after="0" w:line="241" w:lineRule="exact"/>
        <w:rPr>
          <w:sz w:val="20"/>
          <w:szCs w:val="20"/>
          <w:color w:val="auto"/>
        </w:rPr>
      </w:pPr>
    </w:p>
    <w:p>
      <w:pPr>
        <w:ind w:left="860" w:hanging="204"/>
        <w:spacing w:after="0"/>
        <w:tabs>
          <w:tab w:leader="none" w:pos="8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reference share</w:t>
      </w:r>
      <w:r>
        <w:rPr>
          <w:rFonts w:ascii="Times New Roman" w:cs="Times New Roman" w:eastAsia="Times New Roman" w:hAnsi="Times New Roman"/>
          <w:sz w:val="22"/>
          <w:szCs w:val="22"/>
          <w:color w:val="auto"/>
        </w:rPr>
        <w:t>” means, collectively:</w:t>
      </w:r>
    </w:p>
    <w:p>
      <w:pPr>
        <w:spacing w:after="0" w:line="374"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initially, one share of Sprint PCS stock; and</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jc w:val="both"/>
        <w:ind w:left="1320" w:right="20" w:hanging="322"/>
        <w:spacing w:after="0" w:line="252" w:lineRule="auto"/>
        <w:tabs>
          <w:tab w:leader="none" w:pos="131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issuance of the ZONES, each share or fraction of a share of publicly traded equity securities received by a holder of a reference share in respect of that reference share, and, to the extent the reference share remains outstanding after any of the following events but without duplication, including the reference share, in each case directly or as the result of successive applications of this paragraph upon any of the following events:</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1960" w:hanging="314"/>
        <w:spacing w:after="0"/>
        <w:tabs>
          <w:tab w:leader="none" w:pos="196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on or in respect of a reference share in reference shares;</w:t>
      </w:r>
    </w:p>
    <w:p>
      <w:pPr>
        <w:sectPr>
          <w:pgSz w:w="11900" w:h="16838" w:orient="portrait"/>
          <w:cols w:equalWidth="0" w:num="1">
            <w:col w:w="11240"/>
          </w:cols>
          <w:pgMar w:left="320" w:top="1421" w:right="339" w:bottom="1440" w:gutter="0" w:footer="0" w:header="0"/>
        </w:sectPr>
      </w:pPr>
    </w:p>
    <w:bookmarkStart w:id="142" w:name="page143"/>
    <w:bookmarkEnd w:id="142"/>
    <w:p>
      <w:pPr>
        <w:spacing w:after="0" w:line="200" w:lineRule="exact"/>
        <w:rPr>
          <w:sz w:val="20"/>
          <w:szCs w:val="20"/>
          <w:color w:val="auto"/>
        </w:rPr>
      </w:pPr>
    </w:p>
    <w:p>
      <w:pPr>
        <w:spacing w:after="0" w:line="389" w:lineRule="exact"/>
        <w:rPr>
          <w:sz w:val="20"/>
          <w:szCs w:val="20"/>
          <w:color w:val="auto"/>
        </w:rPr>
      </w:pPr>
    </w:p>
    <w:p>
      <w:pPr>
        <w:ind w:left="962" w:hanging="314"/>
        <w:spacing w:after="0"/>
        <w:tabs>
          <w:tab w:leader="none" w:pos="96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combination of reference shares into a smaller number of shares or other units;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62" w:hanging="314"/>
        <w:spacing w:after="0"/>
        <w:tabs>
          <w:tab w:leader="none" w:pos="96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subdivision of outstanding shares or other units of reference shares;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962" w:hanging="314"/>
        <w:spacing w:after="0"/>
        <w:tabs>
          <w:tab w:leader="none" w:pos="96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or reclassification of reference shares by issuance or exchange of other securities;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jc w:val="both"/>
        <w:ind w:left="982" w:hanging="334"/>
        <w:spacing w:after="0" w:line="265" w:lineRule="auto"/>
        <w:tabs>
          <w:tab w:leader="none" w:pos="977"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consolidation or merger of a reference company, or any surviving entity or subsequent surviving entity of a reference company (which we refer to as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w:t>
      </w:r>
    </w:p>
    <w:p>
      <w:pPr>
        <w:spacing w:after="0" w:line="200" w:lineRule="exact"/>
        <w:rPr>
          <w:rFonts w:ascii="Times New Roman" w:cs="Times New Roman" w:eastAsia="Times New Roman" w:hAnsi="Times New Roman"/>
          <w:sz w:val="21"/>
          <w:szCs w:val="21"/>
          <w:color w:val="auto"/>
        </w:rPr>
      </w:pPr>
    </w:p>
    <w:p>
      <w:pPr>
        <w:spacing w:after="0" w:line="248" w:lineRule="exact"/>
        <w:rPr>
          <w:rFonts w:ascii="Times New Roman" w:cs="Times New Roman" w:eastAsia="Times New Roman" w:hAnsi="Times New Roman"/>
          <w:sz w:val="21"/>
          <w:szCs w:val="21"/>
          <w:color w:val="auto"/>
        </w:rPr>
      </w:pPr>
    </w:p>
    <w:p>
      <w:pPr>
        <w:jc w:val="both"/>
        <w:ind w:left="982" w:right="20" w:hanging="334"/>
        <w:spacing w:after="0" w:line="253" w:lineRule="auto"/>
        <w:tabs>
          <w:tab w:leader="none" w:pos="991"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338" w:right="140" w:firstLine="986"/>
        <w:spacing w:after="0" w:line="601" w:lineRule="auto"/>
        <w:tabs>
          <w:tab w:leader="none" w:pos="971"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liquidation, dissolution or winding up of the reference company or any reference company successor. For purposes of the foregoing:</w:t>
      </w:r>
    </w:p>
    <w:p>
      <w:pPr>
        <w:spacing w:after="0" w:line="2" w:lineRule="exact"/>
        <w:rPr>
          <w:rFonts w:ascii="Times New Roman" w:cs="Times New Roman" w:eastAsia="Times New Roman" w:hAnsi="Times New Roman"/>
          <w:sz w:val="22"/>
          <w:szCs w:val="22"/>
          <w:color w:val="auto"/>
        </w:rPr>
      </w:pPr>
    </w:p>
    <w:p>
      <w:pPr>
        <w:jc w:val="both"/>
        <w:ind w:left="322" w:hanging="322"/>
        <w:spacing w:after="0" w:line="251" w:lineRule="auto"/>
        <w:tabs>
          <w:tab w:leader="none" w:pos="31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or redemption by Sprint of all shares of Sprint PCS stock pursuant to Article Sixth, Section 7.1 of its Articles of Incorporation shall be deemed a consolidation or merger, with the Sprint PCS Group deemed to be the reference company, with Sprint deemed to be the reference company successor if Sprint FON stock or any other common stock of Sprint is issued in exchange for the Sprint PCS stock or with the relevant acquiror of the Sprint PCS Group assets deemed to be the reference company successor if common stock other than Sprint FON stock is issued in exchange for the Sprint PCS stock; and</w:t>
      </w:r>
    </w:p>
    <w:p>
      <w:pPr>
        <w:sectPr>
          <w:pgSz w:w="11900" w:h="16838" w:orient="portrait"/>
          <w:cols w:equalWidth="0" w:num="1">
            <w:col w:w="10222"/>
          </w:cols>
          <w:pgMar w:left="1318" w:top="1440" w:right="359" w:bottom="1440" w:gutter="0" w:footer="0" w:header="0"/>
        </w:sectPr>
      </w:pPr>
    </w:p>
    <w:bookmarkStart w:id="143" w:name="page144"/>
    <w:bookmarkEnd w:id="143"/>
    <w:p>
      <w:pPr>
        <w:spacing w:after="0" w:line="346" w:lineRule="exact"/>
        <w:rPr>
          <w:sz w:val="20"/>
          <w:szCs w:val="20"/>
          <w:color w:val="auto"/>
        </w:rPr>
      </w:pPr>
    </w:p>
    <w:p>
      <w:pPr>
        <w:jc w:val="both"/>
        <w:ind w:left="1320" w:right="40" w:hanging="322"/>
        <w:spacing w:after="0" w:line="252" w:lineRule="auto"/>
        <w:tabs>
          <w:tab w:leader="none" w:pos="131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redemption by Sprint pursuant to Article Sixth, Section 7.2 of its Articles of Incorporation of all of the outstanding shares of Sprint PCS stock in exchange for common stock of one or more wholly-owned subsidiaries that collectively hold all of the assets and liabilities attributed to its PCS Group shall be deemed an exchange of shares of Sprint PCS stock for shares of common stock of the relevant subsidiary or subsidiaries.</w:t>
      </w:r>
    </w:p>
    <w:p>
      <w:pPr>
        <w:spacing w:after="0" w:line="3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described above under “Interest,” we will pay as additional interest to holders of the ZONES any property received in distribution on a reference share, unless it is also a reference share, in which case it shall become part of a reference share. Upon any distribution of fractional shares or units of securities, other than fractional reference shares, we will pay the holders cash in lieu of distribution of such fractional shares or other units.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reference share offer</w:t>
      </w:r>
      <w:r>
        <w:rPr>
          <w:rFonts w:ascii="Times New Roman" w:cs="Times New Roman" w:eastAsia="Times New Roman" w:hAnsi="Times New Roman"/>
          <w:sz w:val="22"/>
          <w:szCs w:val="22"/>
          <w:color w:val="auto"/>
        </w:rPr>
        <w:t>” means any tender offer or exchange offer made for all or a portion of a class of reference shares of a reference company. A “reference share offer” shall include a conversion or redemption by Sprint of less than all shares of Sprint PCS stock pursuant to Article Sixth, Section 7.1 of its Articles of Incorporation.</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a reference share offer is made, we may, at our option, either:</w:t>
      </w:r>
    </w:p>
    <w:p>
      <w:pPr>
        <w:spacing w:after="0" w:line="368" w:lineRule="exact"/>
        <w:rPr>
          <w:sz w:val="20"/>
          <w:szCs w:val="20"/>
          <w:color w:val="auto"/>
        </w:rPr>
      </w:pPr>
    </w:p>
    <w:p>
      <w:pPr>
        <w:ind w:left="1320" w:hanging="322"/>
        <w:spacing w:after="0"/>
        <w:tabs>
          <w:tab w:leader="none" w:pos="13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pendency of the offer, increase the early exchange ratio to 100%; 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 reference share offer adjustment.</w:t>
      </w:r>
    </w:p>
    <w:p>
      <w:pPr>
        <w:spacing w:after="0" w:line="3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reference share offer adjustment</w:t>
      </w:r>
      <w:r>
        <w:rPr>
          <w:rFonts w:ascii="Times New Roman" w:cs="Times New Roman" w:eastAsia="Times New Roman" w:hAnsi="Times New Roman"/>
          <w:sz w:val="22"/>
          <w:szCs w:val="22"/>
          <w:color w:val="auto"/>
        </w:rPr>
        <w: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average transaction consideration deemed to be received by a holder of one reference share in a reference share offer will be equal to (a) the aggregate consideration actually paid or distributed to all holders of reference shares in the reference share offer, divided by (b) the total number of reference shares outstanding immediately prior to the expiration of the reference share offer and entitled to participate in that reference share offer.</w:t>
      </w:r>
    </w:p>
    <w:p>
      <w:pPr>
        <w:spacing w:after="0" w:line="19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reference share proportionate reduction</w:t>
      </w:r>
      <w:r>
        <w:rPr>
          <w:rFonts w:ascii="Times New Roman" w:cs="Times New Roman" w:eastAsia="Times New Roman" w:hAnsi="Times New Roman"/>
          <w:sz w:val="22"/>
          <w:szCs w:val="22"/>
          <w:color w:val="auto"/>
        </w:rPr>
        <w:t>” means a proportionate reduction in the number of reference shares which are the subject of the applicable reference share offer and attributable to one ZONES calculated in accordance with the following formula:</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 = X / N</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346" w:lineRule="exact"/>
        <w:rPr>
          <w:sz w:val="20"/>
          <w:szCs w:val="20"/>
          <w:color w:val="auto"/>
        </w:rPr>
      </w:pPr>
    </w:p>
    <w:p>
      <w:pPr>
        <w:ind w:left="720" w:right="300"/>
        <w:spacing w:after="0" w:line="271" w:lineRule="auto"/>
        <w:rPr>
          <w:sz w:val="20"/>
          <w:szCs w:val="20"/>
          <w:color w:val="auto"/>
        </w:rPr>
      </w:pPr>
      <w:r>
        <w:rPr>
          <w:rFonts w:ascii="Times New Roman" w:cs="Times New Roman" w:eastAsia="Times New Roman" w:hAnsi="Times New Roman"/>
          <w:sz w:val="22"/>
          <w:szCs w:val="22"/>
          <w:color w:val="auto"/>
        </w:rPr>
        <w:t>R = the fraction by which the number of reference shares of the class of reference shares subject to the reference share offer and attributable to one ZONES will be reduced.</w:t>
      </w:r>
    </w:p>
    <w:p>
      <w:pPr>
        <w:spacing w:after="0" w:line="200" w:lineRule="exact"/>
        <w:rPr>
          <w:sz w:val="20"/>
          <w:szCs w:val="20"/>
          <w:color w:val="auto"/>
        </w:rPr>
      </w:pPr>
    </w:p>
    <w:p>
      <w:pPr>
        <w:spacing w:after="0" w:line="241" w:lineRule="exact"/>
        <w:rPr>
          <w:sz w:val="20"/>
          <w:szCs w:val="20"/>
          <w:color w:val="auto"/>
        </w:rPr>
      </w:pPr>
    </w:p>
    <w:p>
      <w:pPr>
        <w:ind w:left="720" w:right="840"/>
        <w:spacing w:after="0" w:line="271" w:lineRule="auto"/>
        <w:rPr>
          <w:sz w:val="20"/>
          <w:szCs w:val="20"/>
          <w:color w:val="auto"/>
        </w:rPr>
      </w:pPr>
      <w:r>
        <w:rPr>
          <w:rFonts w:ascii="Times New Roman" w:cs="Times New Roman" w:eastAsia="Times New Roman" w:hAnsi="Times New Roman"/>
          <w:sz w:val="22"/>
          <w:szCs w:val="22"/>
          <w:color w:val="auto"/>
        </w:rPr>
        <w:t>X = the aggregate number of reference shares of the class of reference shares subject to the reference share offer accepted in the reference share offer.</w:t>
      </w:r>
    </w:p>
    <w:p>
      <w:pPr>
        <w:spacing w:after="0" w:line="200" w:lineRule="exact"/>
        <w:rPr>
          <w:sz w:val="20"/>
          <w:szCs w:val="20"/>
          <w:color w:val="auto"/>
        </w:rPr>
      </w:pPr>
    </w:p>
    <w:p>
      <w:pPr>
        <w:spacing w:after="0" w:line="255" w:lineRule="exact"/>
        <w:rPr>
          <w:sz w:val="20"/>
          <w:szCs w:val="20"/>
          <w:color w:val="auto"/>
        </w:rPr>
      </w:pPr>
    </w:p>
    <w:p>
      <w:pPr>
        <w:ind w:left="720" w:right="840"/>
        <w:spacing w:after="0" w:line="271" w:lineRule="auto"/>
        <w:rPr>
          <w:sz w:val="20"/>
          <w:szCs w:val="20"/>
          <w:color w:val="auto"/>
        </w:rPr>
      </w:pPr>
      <w:r>
        <w:rPr>
          <w:rFonts w:ascii="Times New Roman" w:cs="Times New Roman" w:eastAsia="Times New Roman" w:hAnsi="Times New Roman"/>
          <w:sz w:val="22"/>
          <w:szCs w:val="22"/>
          <w:color w:val="auto"/>
        </w:rPr>
        <w:t>N = the aggregate number of reference shares of the class of reference shares subject to the reference share offer outstanding immediately prior to the expiration of the reference share offer.</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we elect to make a reference share offer adjustment, we will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 reference share offer (other than average transaction consideration that is publicly traded equity securities which will themselves become reference shares as a result of a reference share offer adjustment).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we elect to make a reference share offer adjustment, and during the pendency of the reference share offer another reference share offer is commenced in relation to the reference shares the subject of the then existing reference share offer, we can change our original election by electing to increase the early exchange ratio to 100% during the pendency of the new reference share offer, or we can continue to elect to make a reference share offer adjustment. We will similarly be entitled to change our election for each further reference share offer made during the pendency of any reference share offer for the same class of reference shares. For the purposes of these adjustments, a material change to the terms of an existing reference share offer will be deemed to be a new reference share offer.</w:t>
      </w:r>
    </w:p>
    <w:p>
      <w:pPr>
        <w:spacing w:after="0" w:line="20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we elect to increase the early exchange ratio to 100% in connection with a reference share offer, no reference share offer adjustment will be made and we cannot change our election if any further reference share offer is made.</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will give the trustee notice of our election in the event of any reference share offer. We will also prepare a press release and provide it to DTC for dissemination through the DTC broadcast facility. We will give this notice no later than 10 business days before the scheduled expiration of the reference share offer.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Calculations in respect of the ZONES</w:t>
      </w:r>
    </w:p>
    <w:p>
      <w:pPr>
        <w:spacing w:after="0" w:line="25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are responsible for making all calculations called for under the ZONES. These calculations include, but are not limited to, determination of:</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46" w:lineRule="exact"/>
        <w:rPr>
          <w:sz w:val="20"/>
          <w:szCs w:val="20"/>
          <w:color w:val="auto"/>
        </w:rPr>
      </w:pPr>
    </w:p>
    <w:p>
      <w:pPr>
        <w:ind w:left="1320" w:hanging="322"/>
        <w:spacing w:after="0"/>
        <w:tabs>
          <w:tab w:leader="none" w:pos="1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contingent principal amount of the ZONES;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market value of the reference shares;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market value of the reference shares;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period distribution on the ZONES;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value of any property distributed on the reference shares;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transaction consideration in a reference share offer;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composition of a reference share; and</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accrued interest payable upon redemption or at maturity of the ZONES.</w:t>
      </w:r>
    </w:p>
    <w:p>
      <w:pPr>
        <w:spacing w:after="0" w:line="3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will make all these calculations in good faith and, absent manifest error, our calculations are final and binding on holders of the ZONES. We will provide a schedule of our calculations to the trustee and the trustee is entitled to rely upon the accuracy of our calculations without independent verification.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Comcast Holdings, when authorized by a resolution of its Board certified to the Trustee, and the Trustee, without consent of holders, may from time to time and at any time enter into an indenture or indentures supplemental hereto for one or more of the following purposes:</w:t>
      </w:r>
    </w:p>
    <w:p>
      <w:pPr>
        <w:spacing w:after="0" w:line="213" w:lineRule="exact"/>
        <w:rPr>
          <w:sz w:val="20"/>
          <w:szCs w:val="20"/>
          <w:color w:val="auto"/>
        </w:rPr>
      </w:pPr>
    </w:p>
    <w:p>
      <w:pPr>
        <w:ind w:firstLine="656"/>
        <w:spacing w:after="0" w:line="271" w:lineRule="auto"/>
        <w:tabs>
          <w:tab w:leader="none" w:pos="95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the succession of another corporation to the Issuer, or successive successions, and the assumption by the successor corporation of the covenants, agreements and obligations of the Issuer;</w:t>
      </w:r>
    </w:p>
    <w:p>
      <w:pPr>
        <w:spacing w:after="0" w:line="184" w:lineRule="exact"/>
        <w:rPr>
          <w:rFonts w:ascii="Times New Roman" w:cs="Times New Roman" w:eastAsia="Times New Roman" w:hAnsi="Times New Roman"/>
          <w:sz w:val="22"/>
          <w:szCs w:val="22"/>
          <w:color w:val="auto"/>
        </w:rPr>
      </w:pPr>
    </w:p>
    <w:p>
      <w:pPr>
        <w:jc w:val="both"/>
        <w:ind w:firstLine="656"/>
        <w:spacing w:after="0" w:line="253" w:lineRule="auto"/>
        <w:tabs>
          <w:tab w:leader="none" w:pos="97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the Indenture or under any supplemental indenture as the Board may deem necessary or desirable and which shall not adversely affect the interests of the holders of the ZONES in any material respect;</w:t>
      </w:r>
    </w:p>
    <w:p>
      <w:pPr>
        <w:sectPr>
          <w:pgSz w:w="11900" w:h="16838" w:orient="portrait"/>
          <w:cols w:equalWidth="0" w:num="1">
            <w:col w:w="11240"/>
          </w:cols>
          <w:pgMar w:left="320" w:top="1440" w:right="339" w:bottom="1440" w:gutter="0" w:footer="0" w:header="0"/>
        </w:sectPr>
      </w:pPr>
    </w:p>
    <w:bookmarkStart w:id="146" w:name="page147"/>
    <w:bookmarkEnd w:id="146"/>
    <w:p>
      <w:pPr>
        <w:ind w:left="940" w:hanging="284"/>
        <w:spacing w:after="0"/>
        <w:tabs>
          <w:tab w:leader="none" w:pos="94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establish the form or terms of securities of any series as permitted by Sections 2.01 and 2.03 to the Base Indenture;</w:t>
      </w:r>
    </w:p>
    <w:p>
      <w:pPr>
        <w:spacing w:after="0" w:line="258" w:lineRule="exact"/>
        <w:rPr>
          <w:rFonts w:ascii="Times New Roman" w:cs="Times New Roman" w:eastAsia="Times New Roman" w:hAnsi="Times New Roman"/>
          <w:sz w:val="21"/>
          <w:szCs w:val="21"/>
          <w:color w:val="auto"/>
        </w:rPr>
      </w:pPr>
    </w:p>
    <w:p>
      <w:pPr>
        <w:jc w:val="both"/>
        <w:ind w:firstLine="656"/>
        <w:spacing w:after="0" w:line="256" w:lineRule="auto"/>
        <w:tabs>
          <w:tab w:leader="none" w:pos="99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hereunder by a successor trustee with respect to the ZONES and to add to or change any of the provisions of the Base Indenture as shall be necessary to provide for or facilitate the administration of the trusts hereunder by more than one trustee, pursuant to the requirements of Section 5.10 to the Base Indenture;</w:t>
      </w:r>
    </w:p>
    <w:p>
      <w:pPr>
        <w:spacing w:after="0" w:line="20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comply with any requirements in connection with the qualification of the Indenture under the Trust Indenture Act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1939;</w:t>
      </w:r>
    </w:p>
    <w:p>
      <w:pPr>
        <w:spacing w:after="0" w:line="222" w:lineRule="exact"/>
        <w:rPr>
          <w:rFonts w:ascii="Times New Roman" w:cs="Times New Roman" w:eastAsia="Times New Roman" w:hAnsi="Times New Roman"/>
          <w:sz w:val="21"/>
          <w:szCs w:val="21"/>
          <w:color w:val="auto"/>
        </w:rPr>
      </w:pPr>
    </w:p>
    <w:p>
      <w:pPr>
        <w:ind w:left="920" w:hanging="264"/>
        <w:spacing w:after="0"/>
        <w:tabs>
          <w:tab w:leader="none" w:pos="9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uncertificated or unregistered securities and to make all appropriate changes for such purpose;</w:t>
      </w:r>
    </w:p>
    <w:p>
      <w:pPr>
        <w:spacing w:after="0" w:line="260"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does not adversely affect the rights of any holder;</w:t>
      </w:r>
    </w:p>
    <w:p>
      <w:pPr>
        <w:spacing w:after="0" w:line="246" w:lineRule="exact"/>
        <w:rPr>
          <w:rFonts w:ascii="Times New Roman" w:cs="Times New Roman" w:eastAsia="Times New Roman" w:hAnsi="Times New Roman"/>
          <w:sz w:val="22"/>
          <w:szCs w:val="22"/>
          <w:color w:val="auto"/>
        </w:rPr>
      </w:pPr>
    </w:p>
    <w:p>
      <w:pPr>
        <w:ind w:firstLine="656"/>
        <w:spacing w:after="0" w:line="271" w:lineRule="auto"/>
        <w:tabs>
          <w:tab w:leader="none" w:pos="97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by or pursuant to a board resolution or indenture supplemental hereto establishing the terms of one or more series of ZONES;</w:t>
      </w:r>
    </w:p>
    <w:p>
      <w:pPr>
        <w:spacing w:after="0" w:line="184" w:lineRule="exact"/>
        <w:rPr>
          <w:rFonts w:ascii="Times New Roman" w:cs="Times New Roman" w:eastAsia="Times New Roman" w:hAnsi="Times New Roman"/>
          <w:sz w:val="22"/>
          <w:szCs w:val="22"/>
          <w:color w:val="auto"/>
        </w:rPr>
      </w:pPr>
    </w:p>
    <w:p>
      <w:pPr>
        <w:jc w:val="both"/>
        <w:ind w:firstLine="656"/>
        <w:spacing w:after="0" w:line="249" w:lineRule="auto"/>
        <w:tabs>
          <w:tab w:leader="none" w:pos="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the covenants of the Issuer such new covenants, restrictions, conditions or provisions as its Board shall consider to be for the protection of the holders of ZONES,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ZONES to waive such an Event of Default; or</w:t>
      </w:r>
    </w:p>
    <w:p>
      <w:pPr>
        <w:spacing w:after="0" w:line="222"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so long as no ZONES are outstanding.</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With the consent of the holders of not less than a majority in aggregate principal amount of the ZONES at the time outstanding of all series affected by such supplemental indenture (voting as one class), the Issuer, when authorized by a resolution of its Board, and the Trustee may, from time to time and at any time, enter into an indenture or indentures supplemental hereto for the purpose of adding any provisions to or changing in any manner or eliminating any of the provisions of the Indenture or of any supplemental indenture or of modifying in any manner the rights of the holders of the ZONES; provided, that no such supplemental indenture shall without the consent of each holder affected thereby:</w:t>
      </w:r>
    </w:p>
    <w:p>
      <w:pPr>
        <w:spacing w:after="0" w:line="208" w:lineRule="exact"/>
        <w:rPr>
          <w:sz w:val="20"/>
          <w:szCs w:val="20"/>
          <w:color w:val="auto"/>
        </w:rPr>
      </w:pPr>
    </w:p>
    <w:p>
      <w:pPr>
        <w:ind w:left="980" w:hanging="324"/>
        <w:spacing w:after="0"/>
        <w:tabs>
          <w:tab w:leader="none" w:pos="9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stated maturity of the principal of, or any sinking fund obligation or any installment of interest on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ZONES;</w:t>
      </w:r>
    </w:p>
    <w:p>
      <w:pPr>
        <w:sectPr>
          <w:pgSz w:w="11900" w:h="16838" w:orient="portrait"/>
          <w:cols w:equalWidth="0" w:num="1">
            <w:col w:w="11240"/>
          </w:cols>
          <w:pgMar w:left="320" w:top="1421" w:right="339" w:bottom="1440" w:gutter="0" w:footer="0" w:header="0"/>
        </w:sectPr>
      </w:pPr>
    </w:p>
    <w:bookmarkStart w:id="147" w:name="page148"/>
    <w:bookmarkEnd w:id="147"/>
    <w:p>
      <w:pPr>
        <w:spacing w:after="0" w:line="225" w:lineRule="exact"/>
        <w:rPr>
          <w:sz w:val="20"/>
          <w:szCs w:val="20"/>
          <w:color w:val="auto"/>
        </w:rPr>
      </w:pPr>
    </w:p>
    <w:p>
      <w:pPr>
        <w:ind w:left="960" w:hanging="304"/>
        <w:spacing w:after="0"/>
        <w:tabs>
          <w:tab w:leader="none" w:pos="9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thereof or the rate of interest thereon, or any premium payable with respect thereto;</w:t>
      </w:r>
    </w:p>
    <w:p>
      <w:pPr>
        <w:spacing w:after="0" w:line="246" w:lineRule="exact"/>
        <w:rPr>
          <w:rFonts w:ascii="Times New Roman" w:cs="Times New Roman" w:eastAsia="Times New Roman" w:hAnsi="Times New Roman"/>
          <w:sz w:val="22"/>
          <w:szCs w:val="22"/>
          <w:color w:val="auto"/>
        </w:rPr>
      </w:pPr>
    </w:p>
    <w:p>
      <w:pPr>
        <w:ind w:left="660" w:hanging="4"/>
        <w:spacing w:after="0" w:line="271" w:lineRule="auto"/>
        <w:tabs>
          <w:tab w:leader="none" w:pos="96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place of payment where, or the currency in which, any ZONES or any premium or the interest thereon is payable;</w:t>
      </w:r>
    </w:p>
    <w:p>
      <w:pPr>
        <w:spacing w:after="0" w:line="198" w:lineRule="exact"/>
        <w:rPr>
          <w:rFonts w:ascii="Times New Roman" w:cs="Times New Roman" w:eastAsia="Times New Roman" w:hAnsi="Times New Roman"/>
          <w:sz w:val="22"/>
          <w:szCs w:val="22"/>
          <w:color w:val="auto"/>
        </w:rPr>
      </w:pPr>
    </w:p>
    <w:p>
      <w:pPr>
        <w:ind w:left="660" w:hanging="4"/>
        <w:spacing w:after="0" w:line="271" w:lineRule="auto"/>
        <w:tabs>
          <w:tab w:leader="none" w:pos="98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provisions for calculating the optional redemption price, including the definitions relating thereto; make any change to Section 4.07 or 4.10 to the Base Indenture;</w:t>
      </w:r>
    </w:p>
    <w:p>
      <w:pPr>
        <w:spacing w:after="0" w:line="184"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97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of outstanding ZONES the consent of whose holders is required for any such supplemental indenture, for any waiver of compliance with any provisions of the Indenture or any defaults and their consequences provided for in the Base Indenture;</w:t>
      </w:r>
    </w:p>
    <w:p>
      <w:pPr>
        <w:spacing w:after="0" w:line="213" w:lineRule="exact"/>
        <w:rPr>
          <w:rFonts w:ascii="Times New Roman" w:cs="Times New Roman" w:eastAsia="Times New Roman" w:hAnsi="Times New Roman"/>
          <w:sz w:val="22"/>
          <w:szCs w:val="22"/>
          <w:color w:val="auto"/>
        </w:rPr>
      </w:pPr>
    </w:p>
    <w:p>
      <w:pPr>
        <w:ind w:left="660" w:hanging="4"/>
        <w:spacing w:after="0" w:line="271" w:lineRule="auto"/>
        <w:tabs>
          <w:tab w:leader="none" w:pos="95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or impair the right to convert any ZONES at the rate and upon the terms provided in Article 13 to the Base Indenture;</w:t>
      </w:r>
    </w:p>
    <w:p>
      <w:pPr>
        <w:spacing w:after="0" w:line="18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default in the payment of principal of or interest on any ZONES;</w:t>
      </w:r>
    </w:p>
    <w:p>
      <w:pPr>
        <w:spacing w:after="0" w:line="246" w:lineRule="exact"/>
        <w:rPr>
          <w:rFonts w:ascii="Times New Roman" w:cs="Times New Roman" w:eastAsia="Times New Roman" w:hAnsi="Times New Roman"/>
          <w:sz w:val="22"/>
          <w:szCs w:val="22"/>
          <w:color w:val="auto"/>
        </w:rPr>
      </w:pPr>
    </w:p>
    <w:p>
      <w:pPr>
        <w:ind w:left="660" w:hanging="4"/>
        <w:spacing w:after="0" w:line="271" w:lineRule="auto"/>
        <w:tabs>
          <w:tab w:leader="none" w:pos="99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the rights of such holder under any mandatory redemption or repurchase provision or any right of redemption or repurchase at the option of such holder;</w:t>
      </w:r>
    </w:p>
    <w:p>
      <w:pPr>
        <w:spacing w:after="0" w:line="184"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95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any of the provisions of Section 7.02 to the Base Indenture, except to increase any such percentage or to provide that certain other provisions of the Indenture cannot be modified or waived without the consent of the holder of ZONES affected thereby; or</w:t>
      </w:r>
    </w:p>
    <w:p>
      <w:pPr>
        <w:spacing w:after="0" w:line="194" w:lineRule="exact"/>
        <w:rPr>
          <w:rFonts w:ascii="Times New Roman" w:cs="Times New Roman" w:eastAsia="Times New Roman" w:hAnsi="Times New Roman"/>
          <w:sz w:val="22"/>
          <w:szCs w:val="22"/>
          <w:color w:val="auto"/>
        </w:rPr>
      </w:pPr>
    </w:p>
    <w:p>
      <w:pPr>
        <w:ind w:left="660" w:hanging="4"/>
        <w:spacing w:after="0" w:line="271" w:lineRule="auto"/>
        <w:tabs>
          <w:tab w:leader="none" w:pos="93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or waive any provision that, pursuant to a board resolution or indenture supplemental hereto establishing the terms of the ZONES, is prohibited to be so changed or waived.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“Event of Default” means each one of the following events which shall have occurred and be continuing:</w:t>
      </w:r>
    </w:p>
    <w:p>
      <w:pPr>
        <w:spacing w:after="0" w:line="200" w:lineRule="exact"/>
        <w:rPr>
          <w:sz w:val="20"/>
          <w:szCs w:val="20"/>
          <w:color w:val="auto"/>
        </w:rPr>
      </w:pPr>
    </w:p>
    <w:p>
      <w:pPr>
        <w:spacing w:after="0" w:line="398" w:lineRule="exact"/>
        <w:rPr>
          <w:sz w:val="20"/>
          <w:szCs w:val="20"/>
          <w:color w:val="auto"/>
        </w:rPr>
      </w:pPr>
    </w:p>
    <w:p>
      <w:pPr>
        <w:ind w:left="1320" w:right="20" w:hanging="322"/>
        <w:spacing w:after="0" w:line="271" w:lineRule="auto"/>
        <w:tabs>
          <w:tab w:leader="none" w:pos="131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any installment of interest upon any ZONES as and when the same shall become due and payable, and continuance of such default for a period of 30 days;</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46" w:lineRule="exact"/>
        <w:rPr>
          <w:sz w:val="20"/>
          <w:szCs w:val="20"/>
          <w:color w:val="auto"/>
        </w:rPr>
      </w:pPr>
    </w:p>
    <w:p>
      <w:pPr>
        <w:ind w:left="1320" w:right="20" w:hanging="322"/>
        <w:spacing w:after="0" w:line="271" w:lineRule="auto"/>
        <w:tabs>
          <w:tab w:leader="none" w:pos="131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all or any part of the principal on any ZONES as and when the same shall become due and payable either at maturity, upon redemption, by declaration or otherwise;</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1320" w:right="20" w:hanging="322"/>
        <w:spacing w:after="0" w:line="250" w:lineRule="auto"/>
        <w:tabs>
          <w:tab w:leader="none" w:pos="131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performance, or breach, of any covenant or warranty of the Issuer in respect of the ZONES (other than a covenant or warranty in respect of the ZONES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ZONES affected thereby, a written notice specifying such default or breach and requiring it to be remedied and stating that such notice is a “Notice of Default” pursuant to the Indenture;</w:t>
      </w:r>
    </w:p>
    <w:p>
      <w:pPr>
        <w:spacing w:after="0" w:line="200" w:lineRule="exact"/>
        <w:rPr>
          <w:rFonts w:ascii="Times New Roman" w:cs="Times New Roman" w:eastAsia="Times New Roman" w:hAnsi="Times New Roman"/>
          <w:sz w:val="22"/>
          <w:szCs w:val="22"/>
          <w:color w:val="auto"/>
        </w:rPr>
      </w:pPr>
    </w:p>
    <w:p>
      <w:pPr>
        <w:spacing w:after="0" w:line="263" w:lineRule="exact"/>
        <w:rPr>
          <w:rFonts w:ascii="Times New Roman" w:cs="Times New Roman" w:eastAsia="Times New Roman" w:hAnsi="Times New Roman"/>
          <w:sz w:val="22"/>
          <w:szCs w:val="22"/>
          <w:color w:val="auto"/>
        </w:rPr>
      </w:pPr>
    </w:p>
    <w:p>
      <w:pPr>
        <w:ind w:left="1320" w:right="240" w:hanging="322"/>
        <w:spacing w:after="0" w:line="253" w:lineRule="auto"/>
        <w:tabs>
          <w:tab w:leader="none" w:pos="131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any substantial part of its property or ordering the winding up or liquidation of its affairs, and such decree or order shall remain unstayed and in effect for a period of 180 consecutive days;</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jc w:val="both"/>
        <w:ind w:left="1320" w:right="20" w:hanging="322"/>
        <w:spacing w:after="0" w:line="250" w:lineRule="auto"/>
        <w:tabs>
          <w:tab w:leader="none" w:pos="131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200" w:lineRule="exact"/>
        <w:rPr>
          <w:rFonts w:ascii="Times New Roman" w:cs="Times New Roman" w:eastAsia="Times New Roman" w:hAnsi="Times New Roman"/>
          <w:sz w:val="22"/>
          <w:szCs w:val="22"/>
          <w:color w:val="auto"/>
        </w:rPr>
      </w:pPr>
    </w:p>
    <w:p>
      <w:pPr>
        <w:spacing w:after="0" w:line="26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2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 of Default provided in the supplemental indenture or resolution of the Board under which such ZONES are issued or in the form of security for such series.</w:t>
      </w:r>
    </w:p>
    <w:p>
      <w:pPr>
        <w:spacing w:after="0" w:line="90" w:lineRule="exact"/>
        <w:rPr>
          <w:sz w:val="20"/>
          <w:szCs w:val="20"/>
          <w:color w:val="auto"/>
        </w:rPr>
      </w:pPr>
    </w:p>
    <w:p>
      <w:pPr>
        <w:jc w:val="both"/>
        <w:ind w:firstLine="1026"/>
        <w:spacing w:after="0" w:line="250" w:lineRule="auto"/>
        <w:rPr>
          <w:sz w:val="20"/>
          <w:szCs w:val="20"/>
          <w:color w:val="auto"/>
        </w:rPr>
      </w:pPr>
      <w:r>
        <w:rPr>
          <w:rFonts w:ascii="Times New Roman" w:cs="Times New Roman" w:eastAsia="Times New Roman" w:hAnsi="Times New Roman"/>
          <w:sz w:val="22"/>
          <w:szCs w:val="22"/>
          <w:color w:val="auto"/>
        </w:rPr>
        <w:t>If an Event of Default described in clauses (a), (b), (c), or (f) above occurs and is continuing, then, and in each and every such case, unless the principal of all ZONES shall have already become due and payable, either the Trustee or the holders of not less than 25% in aggregate principal amount of the ZONES then outstanding hereunder (each such series voting as a separate class) by notice in writing to the Issuer (and to the Trustee if given by holders), may declare the entire principal of all ZONES and the interest accrued thereon, if any, to be due and payable immediately, and upon any such declaration the same shall become immediately due and payable. If an Event of Default described in clauses (d) or (e) occurs and is continuing, then the principal amount of all ZONES then outstanding and interest accrued thereon, if any, shall be</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71" w:lineRule="auto"/>
        <w:rPr>
          <w:sz w:val="20"/>
          <w:szCs w:val="20"/>
          <w:color w:val="auto"/>
        </w:rPr>
      </w:pPr>
      <w:r>
        <w:rPr>
          <w:rFonts w:ascii="Times New Roman" w:cs="Times New Roman" w:eastAsia="Times New Roman" w:hAnsi="Times New Roman"/>
          <w:sz w:val="22"/>
          <w:szCs w:val="22"/>
          <w:color w:val="auto"/>
        </w:rPr>
        <w:t>and become immediately due and payable, without any notice or other action by any holder or the Trustee, to the full extent permitted by applicable law.</w:t>
      </w:r>
    </w:p>
    <w:p>
      <w:pPr>
        <w:spacing w:after="0" w:line="181" w:lineRule="exact"/>
        <w:rPr>
          <w:sz w:val="20"/>
          <w:szCs w:val="20"/>
          <w:color w:val="auto"/>
        </w:rPr>
      </w:pPr>
    </w:p>
    <w:p>
      <w:pPr>
        <w:ind w:left="480" w:hanging="472"/>
        <w:spacing w:after="0"/>
        <w:tabs>
          <w:tab w:leader="none" w:pos="48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5.50% NOTES DUE 2029</w:t>
      </w:r>
    </w:p>
    <w:p>
      <w:pPr>
        <w:spacing w:after="0" w:line="26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following summary of our 5.50% Notes due 2029 (the “2029 Notes”) is based on the indenture dated as of January 7, 2003 among Comcast as the issuer (the “Issuer”), certain guarantors named therein and the Bank of New York (the “Base Indenture”), as amended by the first supplemental indenture dated as of March 25, 2003, the second supplemental indenture dated as of August 31, 2009, the third supplemental indenture dated as of March 27, 2013 and the fourth supplemental indenture dated as of October 1, 2015 among Comcast, Comcast Cable Communications, LLC, NBCUniversal Media, LLC (together with Comcast Cable Communications, LLC, the “Guarantors”), and The Bank of New York Mellon (f/k/a The Bank of New York), as trustee (the “Trustee”) (collectively with the Base Indenture, the “Indenture”). This summary does not purport to be complete and is qualified in its entirety by reference to such Indenture.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 Payments</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2029 Notes bears interest at a rate of 5.50% per annum and we will pay interest on the 2029 Notes on November 23 of each year, beginning November 23, 2011. Interest on the 2029 Notes is computed on the basis of the actual number of days in the period for which interest is being calculated and the actual number of days from and including the date from which interest begins to accrue for the period (or November 23, 2010 if no interest has been paid on the 2029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Guarantees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Our obligations under the 2029 Notes and the Indenture, including the payment of principal, premium, if any, and interest, are fully and unconditionally guaranteed by each of the Guarantors</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guarantees do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Optional Redemption</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Issuer has the right at its option to redeem any of the 2029 Notes in whole or in part, at any time or from time to time prior to their maturity, on at least 30 days, but not more than 60 days, prior notice mailed to the registered address of each holder of notes, at a redemption price</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56" w:lineRule="auto"/>
        <w:rPr>
          <w:sz w:val="20"/>
          <w:szCs w:val="20"/>
          <w:color w:val="auto"/>
        </w:rPr>
      </w:pPr>
      <w:r>
        <w:rPr>
          <w:rFonts w:ascii="Times New Roman" w:cs="Times New Roman" w:eastAsia="Times New Roman" w:hAnsi="Times New Roman"/>
          <w:sz w:val="22"/>
          <w:szCs w:val="22"/>
          <w:color w:val="auto"/>
        </w:rPr>
        <w:t>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Comparable Government Bond Rate plus 28 basis points (the “Make-Whole Amount”) plus, in each case, accrued and unpaid interest thereon to the date of redemption.</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Comparable Government Bond Rate</w:t>
      </w:r>
      <w:r>
        <w:rPr>
          <w:rFonts w:ascii="Times New Roman" w:cs="Times New Roman" w:eastAsia="Times New Roman" w:hAnsi="Times New Roman"/>
          <w:sz w:val="22"/>
          <w:szCs w:val="22"/>
          <w:color w:val="auto"/>
        </w:rPr>
        <w:t>” means the price, expressed as a percentage (rounded to three decimal places, 0.0005 being rounded upwards), at which the gross redemption yield (as calculated by the trustee) on the 2029 Notes,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the Issuer.</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Comparable Government Bond</w:t>
      </w:r>
      <w:r>
        <w:rPr>
          <w:rFonts w:ascii="Times New Roman" w:cs="Times New Roman" w:eastAsia="Times New Roman" w:hAnsi="Times New Roman"/>
          <w:sz w:val="22"/>
          <w:szCs w:val="22"/>
          <w:color w:val="auto"/>
        </w:rPr>
        <w:t xml:space="preserve"> ” means, in relation to any Comparable Government Bond Rate calculation, at the discretion of an independent investment bank selected by the Issuer, a United Kingdom government bond whose maturity is closest to the maturity of the 2029 Notes,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such independent investment bank, determine to be appropriate for determining the Comparable Government Bond Rate.</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On and after the redemption date, interest will cease to accrue on the 2029 Notes or any portion of the 2029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2029 Notes to be redeemed on such date. If less than all of the 2029 Notes of any series are to be redeemed, the 2029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2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2029 Notes are also subject to redemption prior to maturity if certain events occur involving United States taxation. If any of these special tax events do occur, the 2029 Notes will be redeemed at a redemption price of 100% of their principal amount plus accrued and unpaid interest to the date fixed for redemption. See “-Redemption for Tax Reasons.”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of Additional Amounts</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are required, subject to the exceptions and limitations set forth below, to pay as additional interest on the 2029 Notes such additional amounts as are necessary in order that the net payment by us or a paying agent of the principal of and interest on the 2029 Notes to a holder</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56" w:lineRule="auto"/>
        <w:rPr>
          <w:sz w:val="20"/>
          <w:szCs w:val="20"/>
          <w:color w:val="auto"/>
        </w:rPr>
      </w:pPr>
      <w:r>
        <w:rPr>
          <w:rFonts w:ascii="Times New Roman" w:cs="Times New Roman" w:eastAsia="Times New Roman" w:hAnsi="Times New Roman"/>
          <w:sz w:val="22"/>
          <w:szCs w:val="22"/>
          <w:color w:val="auto"/>
        </w:rPr>
        <w:t>who is not a United States person (as defined below), after withholding or deduction for any present or future tax, assessment or other governmental charge imposed by the United States or a taxing authority in the United States will not be less than the amount provided in the 2029 Notes to be then due and payable; provided, however, that the foregoing obligation to pay additional amounts shall not apply:</w:t>
      </w:r>
    </w:p>
    <w:p>
      <w:pPr>
        <w:spacing w:after="0" w:line="311" w:lineRule="exact"/>
        <w:rPr>
          <w:sz w:val="20"/>
          <w:szCs w:val="20"/>
          <w:color w:val="auto"/>
        </w:rPr>
      </w:pPr>
    </w:p>
    <w:p>
      <w:pPr>
        <w:jc w:val="both"/>
        <w:ind w:left="1000" w:right="80" w:hanging="326"/>
        <w:spacing w:after="0" w:line="256" w:lineRule="auto"/>
        <w:tabs>
          <w:tab w:leader="none" w:pos="99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1320" w:right="80" w:hanging="322"/>
        <w:spacing w:after="0" w:line="271" w:lineRule="auto"/>
        <w:tabs>
          <w:tab w:leader="none" w:pos="1317"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engaged in a trade or business in the United States or having or having had a permanent establishment in the United States;</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jc w:val="both"/>
        <w:ind w:left="1320" w:right="20" w:hanging="322"/>
        <w:spacing w:after="0" w:line="257" w:lineRule="auto"/>
        <w:tabs>
          <w:tab w:leader="none" w:pos="1315"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a current or former connection with the United States (other than a connection arising solely as a result of the ownership of the 2029 Notes, the receipt of any payment or the enforcement of any rights hereunder), including being or having been a citizen or resident of the United States;</w:t>
      </w: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jc w:val="both"/>
        <w:ind w:left="1320" w:right="20" w:hanging="322"/>
        <w:spacing w:after="0" w:line="263" w:lineRule="auto"/>
        <w:tabs>
          <w:tab w:leader="none" w:pos="1317"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200" w:lineRule="exact"/>
        <w:rPr>
          <w:rFonts w:ascii="Times New Roman" w:cs="Times New Roman" w:eastAsia="Times New Roman" w:hAnsi="Times New Roman"/>
          <w:sz w:val="22"/>
          <w:szCs w:val="22"/>
          <w:color w:val="auto"/>
        </w:rPr>
      </w:pPr>
    </w:p>
    <w:p>
      <w:pPr>
        <w:spacing w:after="0" w:line="250"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5"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“10-percent shareholder” of Comcast as defined in section 871(h)(3) of the United States Internal Revenue Code of 1986, as amended (the “Code”) or any successor provision; or</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7"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 bank receiving payments on an extension of credit made pursuant to a loan agreement entered into the ordinary course of its trade or business;</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1000" w:right="20" w:hanging="326"/>
        <w:spacing w:after="0" w:line="253" w:lineRule="auto"/>
        <w:tabs>
          <w:tab w:leader="none" w:pos="99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holder that is not the sole beneficial owner of the 2029 Notes, or a portion of the 2029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ectPr>
          <w:pgSz w:w="11900" w:h="16838" w:orient="portrait"/>
          <w:cols w:equalWidth="0" w:num="1">
            <w:col w:w="11240"/>
          </w:cols>
          <w:pgMar w:left="320" w:top="1421" w:right="339" w:bottom="1440" w:gutter="0" w:footer="0" w:header="0"/>
        </w:sectPr>
      </w:pPr>
    </w:p>
    <w:bookmarkStart w:id="152" w:name="page153"/>
    <w:bookmarkEnd w:id="152"/>
    <w:p>
      <w:pPr>
        <w:spacing w:after="0" w:line="347" w:lineRule="exact"/>
        <w:rPr>
          <w:sz w:val="20"/>
          <w:szCs w:val="20"/>
          <w:color w:val="auto"/>
        </w:rPr>
      </w:pPr>
    </w:p>
    <w:p>
      <w:pPr>
        <w:jc w:val="both"/>
        <w:ind w:left="1000" w:right="20" w:hanging="326"/>
        <w:spacing w:after="0" w:line="248" w:lineRule="auto"/>
        <w:tabs>
          <w:tab w:leader="none" w:pos="99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2029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200" w:lineRule="exact"/>
        <w:rPr>
          <w:rFonts w:ascii="Times New Roman" w:cs="Times New Roman" w:eastAsia="Times New Roman" w:hAnsi="Times New Roman"/>
          <w:sz w:val="22"/>
          <w:szCs w:val="22"/>
          <w:color w:val="auto"/>
        </w:rPr>
      </w:pPr>
    </w:p>
    <w:p>
      <w:pPr>
        <w:spacing w:after="0" w:line="283" w:lineRule="exact"/>
        <w:rPr>
          <w:rFonts w:ascii="Times New Roman" w:cs="Times New Roman" w:eastAsia="Times New Roman" w:hAnsi="Times New Roman"/>
          <w:sz w:val="22"/>
          <w:szCs w:val="22"/>
          <w:color w:val="auto"/>
        </w:rPr>
      </w:pPr>
    </w:p>
    <w:p>
      <w:pPr>
        <w:ind w:left="1000" w:right="20" w:hanging="326"/>
        <w:spacing w:after="0" w:line="271" w:lineRule="auto"/>
        <w:tabs>
          <w:tab w:leader="none" w:pos="99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otherwise than by withholding by us or a paying agent from the payment;</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jc w:val="both"/>
        <w:ind w:left="1000" w:right="20" w:hanging="326"/>
        <w:spacing w:after="0" w:line="257" w:lineRule="auto"/>
        <w:tabs>
          <w:tab w:leader="none" w:pos="99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200" w:lineRule="exact"/>
        <w:rPr>
          <w:rFonts w:ascii="Times New Roman" w:cs="Times New Roman" w:eastAsia="Times New Roman" w:hAnsi="Times New Roman"/>
          <w:sz w:val="22"/>
          <w:szCs w:val="22"/>
          <w:color w:val="auto"/>
        </w:rPr>
      </w:pPr>
    </w:p>
    <w:p>
      <w:pPr>
        <w:spacing w:after="0" w:line="269" w:lineRule="exact"/>
        <w:rPr>
          <w:rFonts w:ascii="Times New Roman" w:cs="Times New Roman" w:eastAsia="Times New Roman" w:hAnsi="Times New Roman"/>
          <w:sz w:val="22"/>
          <w:szCs w:val="22"/>
          <w:color w:val="auto"/>
        </w:rPr>
      </w:pPr>
    </w:p>
    <w:p>
      <w:pPr>
        <w:ind w:left="1000" w:right="20" w:hanging="326"/>
        <w:spacing w:after="0" w:line="271" w:lineRule="auto"/>
        <w:tabs>
          <w:tab w:leader="none" w:pos="99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estate, inheritance, gift, sales, excise, transfer, wealth, capital gains or personal property tax or similar tax, assessment or other governmental charge;</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1000" w:right="20" w:hanging="326"/>
        <w:spacing w:after="0" w:line="263" w:lineRule="auto"/>
        <w:tabs>
          <w:tab w:leader="none" w:pos="99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200" w:lineRule="exact"/>
        <w:rPr>
          <w:rFonts w:ascii="Times New Roman" w:cs="Times New Roman" w:eastAsia="Times New Roman" w:hAnsi="Times New Roman"/>
          <w:sz w:val="22"/>
          <w:szCs w:val="22"/>
          <w:color w:val="auto"/>
        </w:rPr>
      </w:pPr>
    </w:p>
    <w:p>
      <w:pPr>
        <w:spacing w:after="0" w:line="237" w:lineRule="exact"/>
        <w:rPr>
          <w:rFonts w:ascii="Times New Roman" w:cs="Times New Roman" w:eastAsia="Times New Roman" w:hAnsi="Times New Roman"/>
          <w:sz w:val="22"/>
          <w:szCs w:val="22"/>
          <w:color w:val="auto"/>
        </w:rPr>
      </w:pPr>
    </w:p>
    <w:p>
      <w:pPr>
        <w:jc w:val="both"/>
        <w:ind w:left="1000" w:right="20" w:hanging="326"/>
        <w:spacing w:after="0" w:line="263" w:lineRule="auto"/>
        <w:tabs>
          <w:tab w:leader="none" w:pos="99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00" w:lineRule="exact"/>
        <w:rPr>
          <w:rFonts w:ascii="Times New Roman" w:cs="Times New Roman" w:eastAsia="Times New Roman" w:hAnsi="Times New Roman"/>
          <w:sz w:val="22"/>
          <w:szCs w:val="22"/>
          <w:color w:val="auto"/>
        </w:rPr>
      </w:pPr>
    </w:p>
    <w:p>
      <w:pPr>
        <w:spacing w:after="0" w:line="237" w:lineRule="exact"/>
        <w:rPr>
          <w:rFonts w:ascii="Times New Roman" w:cs="Times New Roman" w:eastAsia="Times New Roman" w:hAnsi="Times New Roman"/>
          <w:sz w:val="22"/>
          <w:szCs w:val="22"/>
          <w:color w:val="auto"/>
        </w:rPr>
      </w:pPr>
    </w:p>
    <w:p>
      <w:pPr>
        <w:jc w:val="both"/>
        <w:ind w:left="1000" w:right="20" w:hanging="326"/>
        <w:spacing w:after="0" w:line="256" w:lineRule="auto"/>
        <w:tabs>
          <w:tab w:leader="none" w:pos="99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 or</w:t>
      </w: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1320" w:hanging="646"/>
        <w:spacing w:after="0"/>
        <w:tabs>
          <w:tab w:leader="none" w:pos="13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combination of items (1), (2), (3), (4), (5), (6), (7), (8), and (9).</w:t>
      </w:r>
    </w:p>
    <w:p>
      <w:pPr>
        <w:spacing w:after="0" w:line="3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2029 Notes are subject in all cases to any tax, fiscal or other law or regulation or administrative or judicial interpretation applicable to the 2029 Notes. Except as specifically provided under this heading “-Payments of Additional Amounts,” we will not be required to</w:t>
      </w:r>
    </w:p>
    <w:p>
      <w:pPr>
        <w:sectPr>
          <w:pgSz w:w="11900" w:h="16838" w:orient="portrait"/>
          <w:cols w:equalWidth="0" w:num="1">
            <w:col w:w="11240"/>
          </w:cols>
          <w:pgMar w:left="320" w:top="1440" w:right="339" w:bottom="1440" w:gutter="0" w:footer="0" w:header="0"/>
        </w:sectPr>
      </w:pPr>
    </w:p>
    <w:bookmarkStart w:id="153" w:name="page154"/>
    <w:bookmarkEnd w:id="153"/>
    <w:p>
      <w:pPr>
        <w:jc w:val="both"/>
        <w:spacing w:after="0" w:line="271" w:lineRule="auto"/>
        <w:rPr>
          <w:sz w:val="20"/>
          <w:szCs w:val="20"/>
          <w:color w:val="auto"/>
        </w:rPr>
      </w:pPr>
      <w:r>
        <w:rPr>
          <w:rFonts w:ascii="Times New Roman" w:cs="Times New Roman" w:eastAsia="Times New Roman" w:hAnsi="Times New Roman"/>
          <w:sz w:val="22"/>
          <w:szCs w:val="22"/>
          <w:color w:val="auto"/>
        </w:rPr>
        <w:t>make any payment for any tax, assessment or other governmental charge imposed by any government or a political subdivision or taxing authority of or in any government or political subdivision.</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used under this heading “-Payments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 for Tax Reasons</w:t>
      </w:r>
    </w:p>
    <w:p>
      <w:pPr>
        <w:spacing w:after="0" w:line="25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the prospectus supplement applicable to the 2029 Notes, we become or, based upon a written opinion of independent counsel selected by the Issuer, will become obligated to pay additional amounts as described herein under the heading “-Payment of Additional Amounts” with respect to the 2029 Notes, then we may at any time at our option redeem, in whole, but not in part, the 2029 Notes on not less than 30 nor more than 60 days prior notice, at a redemption price equal to 100% of their principal amount, together with interest accrued but unpaid on those notes to the date fixed for redemption.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Mandatory Redemption or Sinking Fund</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is no mandatory redemption prior to maturity or sinking fund payments for the 2029 Notes.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Debt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indenture does not limit the amount of debt we may issue under the indenture or otherwise.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Issuer and the Guarantors are subject to some restrictions on their activities for the benefit of holders of all series of debt securities issued under the Indenture. The restrictive covenants summarized below apply, unless the covenants are waived or amended, so long as any of the debt securities are outstanding.</w:t>
      </w:r>
    </w:p>
    <w:p>
      <w:pPr>
        <w:sectPr>
          <w:pgSz w:w="11900" w:h="16838" w:orient="portrait"/>
          <w:cols w:equalWidth="0" w:num="1">
            <w:col w:w="11240"/>
          </w:cols>
          <w:pgMar w:left="320" w:top="1422" w:right="339" w:bottom="1440" w:gutter="0" w:footer="0" w:header="0"/>
        </w:sectPr>
      </w:pPr>
    </w:p>
    <w:bookmarkStart w:id="154" w:name="page155"/>
    <w:bookmarkEnd w:id="154"/>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Indenture does not contain any financial covenants other than those summarized below and does not restrict the Issuer or its subsidiaries from paying dividends or incurring additional debt. In addition, the Indenture does not protect holders of notes issued under it in the event of a highly leveraged transaction or a change in control.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Liens Securing Indebtedness</w:t>
      </w:r>
    </w:p>
    <w:p>
      <w:pPr>
        <w:spacing w:after="0" w:line="2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Neither Issuer nor any Guarantor shall create, incur or assume any Lien (other than any Permitted Lien) on such person’s assets, including the Capital Stock of its wholly owned subsidiaries to secure the payment of Indebtedness of the Issuer or any Guarantor, unless the Issuer secures the outstanding 2029 Notes equally and ratably with (or prior to) all Indebtedness secured by such Lien, so long as such Indebtedness shall be so secured.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Sale and Leaseback Transactions</w:t>
      </w:r>
    </w:p>
    <w:p>
      <w:pPr>
        <w:spacing w:after="0" w:line="2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Neither the Issuer nor any Guarantor shall enter into any Sale and Leaseback Transaction involving any of such person’s assets, including the Capital Stock of its wholly owned subsidiaries.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restriction in the foregoing paragraph shall not apply to any Sale and Leaseback Transaction if: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20" w:hanging="322"/>
        <w:spacing w:after="0"/>
        <w:tabs>
          <w:tab w:leader="none" w:pos="13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for a period of not in excess of three years, including renewal of rights;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secures or relates to industrial revenue or similar financing;</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is solely between the Issuer and a Guarantor or between or among Guarantors; or</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jc w:val="both"/>
        <w:ind w:left="1320" w:right="20" w:hanging="322"/>
        <w:spacing w:after="0" w:line="257" w:lineRule="auto"/>
        <w:tabs>
          <w:tab w:leader="none" w:pos="131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or such Guarantor, within 270 days after the sale is completed, applies an amount equal to or greater than (a) the net proceeds of the sale of the assets or part thereof leased or (b) the fair market value of the assets or part thereof leased (as determined in good faith by the Issuer’s Board of Directors) either to:</w:t>
      </w: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ind w:left="1980" w:right="20" w:hanging="334"/>
        <w:spacing w:after="0" w:line="284" w:lineRule="auto"/>
        <w:tabs>
          <w:tab w:leader="none" w:pos="1975"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(or open market purchase) of notes, other long-term Indebtedness of the Issuer ranking on a parity with or senior to the 2029 Notes or long-term Indebtedness of a Guarantor; or</w:t>
      </w:r>
    </w:p>
    <w:p>
      <w:pPr>
        <w:sectPr>
          <w:pgSz w:w="11900" w:h="16838" w:orient="portrait"/>
          <w:cols w:equalWidth="0" w:num="1">
            <w:col w:w="11240"/>
          </w:cols>
          <w:pgMar w:left="320" w:top="1422" w:right="339" w:bottom="1440" w:gutter="0" w:footer="0" w:header="0"/>
        </w:sectPr>
      </w:pPr>
    </w:p>
    <w:bookmarkStart w:id="155" w:name="page156"/>
    <w:bookmarkEnd w:id="155"/>
    <w:p>
      <w:pPr>
        <w:spacing w:after="0" w:line="347" w:lineRule="exact"/>
        <w:rPr>
          <w:sz w:val="20"/>
          <w:szCs w:val="20"/>
          <w:color w:val="auto"/>
        </w:rPr>
      </w:pPr>
    </w:p>
    <w:p>
      <w:pPr>
        <w:ind w:left="1980" w:right="40" w:hanging="334"/>
        <w:spacing w:after="0" w:line="295" w:lineRule="auto"/>
        <w:tabs>
          <w:tab w:leader="none" w:pos="197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by the Issuer or any Guarantor of other property, plant or equipment related to the business of the Issuer or any Guarantor having a value at least equal to the value of the assets or part thereof leased.</w:t>
      </w:r>
    </w:p>
    <w:p>
      <w:pPr>
        <w:spacing w:after="0" w:line="3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Capitalized Lease</w:t>
      </w:r>
      <w:r>
        <w:rPr>
          <w:rFonts w:ascii="Times New Roman" w:cs="Times New Roman" w:eastAsia="Times New Roman" w:hAnsi="Times New Roman"/>
          <w:sz w:val="22"/>
          <w:szCs w:val="22"/>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Stock</w:t>
      </w:r>
      <w:r>
        <w:rPr>
          <w:rFonts w:ascii="Times New Roman" w:cs="Times New Roman" w:eastAsia="Times New Roman" w:hAnsi="Times New Roman"/>
          <w:sz w:val="22"/>
          <w:szCs w:val="22"/>
          <w:color w:val="auto"/>
        </w:rPr>
        <w:t>” means, with respect to any person, any and all shares, interests, participations, or other equivalents (however designated, whether voting or non-voting) of such person’s capital stock or other ownership interests, whether now outstanding or issued after the date of the Indenture, including, without limitation, all common stock and preferred stock.</w:t>
      </w:r>
    </w:p>
    <w:p>
      <w:pPr>
        <w:spacing w:after="0" w:line="18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Currency Agreement</w:t>
      </w:r>
      <w:r>
        <w:rPr>
          <w:rFonts w:ascii="Times New Roman" w:cs="Times New Roman" w:eastAsia="Times New Roman" w:hAnsi="Times New Roman"/>
          <w:sz w:val="22"/>
          <w:szCs w:val="22"/>
          <w:color w:val="auto"/>
        </w:rPr>
        <w:t>” means any foreign exchange contract, currency swap agreement, or other similar agreement or arrangement designed to protect against the fluctuation in currency values.</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Guarantee</w:t>
      </w:r>
      <w:r>
        <w:rPr>
          <w:rFonts w:ascii="Times New Roman" w:cs="Times New Roman" w:eastAsia="Times New Roman" w:hAnsi="Times New Roman"/>
          <w:sz w:val="22"/>
          <w:szCs w:val="22"/>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200" w:lineRule="exact"/>
        <w:rPr>
          <w:sz w:val="20"/>
          <w:szCs w:val="20"/>
          <w:color w:val="auto"/>
        </w:rPr>
      </w:pPr>
    </w:p>
    <w:p>
      <w:pPr>
        <w:spacing w:after="0" w:line="355" w:lineRule="exact"/>
        <w:rPr>
          <w:sz w:val="20"/>
          <w:szCs w:val="20"/>
          <w:color w:val="auto"/>
        </w:rPr>
      </w:pPr>
    </w:p>
    <w:p>
      <w:pPr>
        <w:jc w:val="both"/>
        <w:ind w:left="1320" w:right="20" w:hanging="322"/>
        <w:spacing w:after="0" w:line="252" w:lineRule="auto"/>
        <w:tabs>
          <w:tab w:leader="none" w:pos="131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347" w:lineRule="exact"/>
        <w:rPr>
          <w:sz w:val="20"/>
          <w:szCs w:val="20"/>
          <w:color w:val="auto"/>
        </w:rPr>
      </w:pPr>
    </w:p>
    <w:p>
      <w:pPr>
        <w:ind w:left="1320" w:right="40" w:hanging="322"/>
        <w:spacing w:after="0" w:line="271" w:lineRule="auto"/>
        <w:tabs>
          <w:tab w:leader="none" w:pos="131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for purposes of assuring in any other manner the obligee of such Indebtedness or other obligation of the payment thereof or to protect such obligee against loss in respect thereof (in whole or in part);</w:t>
      </w:r>
    </w:p>
    <w:p>
      <w:pPr>
        <w:spacing w:after="0" w:line="3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provided that the term “Guarantee” shall not include endorsements for collection or deposit in the ordinary course of business. The term “Guarantee” used as a verb has a corresponding meaning.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means, with respect to any person at any date of determination (without duplication):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20" w:hanging="322"/>
        <w:spacing w:after="0"/>
        <w:tabs>
          <w:tab w:leader="none" w:pos="13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such person for borrowed money;</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evidenced by bonds, debentures, notes, or other similar instruments;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in respect of letters of credit or other similar instruments (including reimbursement obligations with respect thereto);</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and unpaid purchase price of property or services (but excluding trade accounts payable or accrued liabilities arising in the ordinary course of business);</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as lessee under Capitalized Leases;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 persons secured by a Lien on any asset of such person, whether or not such Indebtedness is assumed by such person; provided that the amount of such Indebtedness shall be the lesser of:</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960" w:hanging="314"/>
        <w:spacing w:after="0"/>
        <w:tabs>
          <w:tab w:leader="none" w:pos="196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such asset at such date of determination; and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960" w:hanging="314"/>
        <w:spacing w:after="0"/>
        <w:tabs>
          <w:tab w:leader="none" w:pos="196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Indebtedness;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 persons Guaranteed by such person to the extent such Indebtedness is Guaranteed by such person; and</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included in this definition, obligations under Currency Agreements and Interest Rate Agreements.</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321" w:lineRule="exact"/>
        <w:rPr>
          <w:sz w:val="20"/>
          <w:szCs w:val="20"/>
          <w:color w:val="auto"/>
        </w:rPr>
      </w:pPr>
    </w:p>
    <w:p>
      <w:pPr>
        <w:jc w:val="both"/>
        <w:ind w:left="1320" w:right="20" w:hanging="322"/>
        <w:spacing w:after="0" w:line="257" w:lineRule="auto"/>
        <w:tabs>
          <w:tab w:leader="none" w:pos="131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200" w:lineRule="exact"/>
        <w:rPr>
          <w:rFonts w:ascii="Times New Roman" w:cs="Times New Roman" w:eastAsia="Times New Roman" w:hAnsi="Times New Roman"/>
          <w:sz w:val="22"/>
          <w:szCs w:val="22"/>
          <w:color w:val="auto"/>
        </w:rPr>
      </w:pPr>
    </w:p>
    <w:p>
      <w:pPr>
        <w:spacing w:after="0" w:line="269"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Indebtedness shall not include any liability for federal, state, local, or other taxes.</w:t>
      </w:r>
    </w:p>
    <w:p>
      <w:pPr>
        <w:spacing w:after="0" w:line="38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Interest Rate Agreements</w:t>
      </w:r>
      <w:r>
        <w:rPr>
          <w:rFonts w:ascii="Times New Roman" w:cs="Times New Roman" w:eastAsia="Times New Roman" w:hAnsi="Times New Roman"/>
          <w:sz w:val="21"/>
          <w:szCs w:val="21"/>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w:t>
      </w:r>
      <w:r>
        <w:rPr>
          <w:rFonts w:ascii="Times New Roman" w:cs="Times New Roman" w:eastAsia="Times New Roman" w:hAnsi="Times New Roman"/>
          <w:sz w:val="22"/>
          <w:szCs w:val="22"/>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Indenture, the Issuer or any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Liens</w:t>
      </w:r>
      <w:r>
        <w:rPr>
          <w:rFonts w:ascii="Times New Roman" w:cs="Times New Roman" w:eastAsia="Times New Roman" w:hAnsi="Times New Roman"/>
          <w:sz w:val="22"/>
          <w:szCs w:val="22"/>
          <w:color w:val="auto"/>
        </w:rPr>
        <w:t>” means:</w:t>
      </w:r>
    </w:p>
    <w:p>
      <w:pPr>
        <w:spacing w:after="0" w:line="374" w:lineRule="exact"/>
        <w:rPr>
          <w:sz w:val="20"/>
          <w:szCs w:val="20"/>
          <w:color w:val="auto"/>
        </w:rPr>
      </w:pPr>
    </w:p>
    <w:p>
      <w:pPr>
        <w:ind w:left="1320" w:hanging="322"/>
        <w:spacing w:after="0"/>
        <w:tabs>
          <w:tab w:leader="none" w:pos="13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 incurred prior to the date of the Indenture;</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347" w:lineRule="exact"/>
        <w:rPr>
          <w:sz w:val="20"/>
          <w:szCs w:val="20"/>
          <w:color w:val="auto"/>
        </w:rPr>
      </w:pPr>
    </w:p>
    <w:p>
      <w:pPr>
        <w:jc w:val="both"/>
        <w:ind w:left="1320" w:right="20" w:hanging="322"/>
        <w:spacing w:after="0" w:line="248" w:lineRule="auto"/>
        <w:tabs>
          <w:tab w:leader="none" w:pos="131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assets acquired after the date of the Indenture (including by way of merger or consolidation) by the Issuer or any Guarantor, which Lien is created, incurred or assumed contemporaneously with such acquisition, or within 270 days thereafter, to secure or provide for the payment or financing of any part of the purchase price thereof, or any Lien upon any assets acquired after the date of the Indenture existing at the time of such acquisition (whether or not assumed by the Issuer or any Guarantor), provided that any such Lien shall attach only to the assets so acquired;</w:t>
      </w:r>
    </w:p>
    <w:p>
      <w:pPr>
        <w:spacing w:after="0" w:line="200" w:lineRule="exact"/>
        <w:rPr>
          <w:rFonts w:ascii="Times New Roman" w:cs="Times New Roman" w:eastAsia="Times New Roman" w:hAnsi="Times New Roman"/>
          <w:sz w:val="22"/>
          <w:szCs w:val="22"/>
          <w:color w:val="auto"/>
        </w:rPr>
      </w:pPr>
    </w:p>
    <w:p>
      <w:pPr>
        <w:spacing w:after="0" w:line="28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assets in favor of the Issuer or any Guarantor;</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assets incurred in connection with the issuance of tax-exempt governmental obligations (including, without limitation, industrial revenue bonds and similar financing);</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granted by any Guarantor on assets to the extent limitations on the incurrence of such Liens are prohibited by any agreement to which such Guarantor is subject as of the date of the Indenture; and</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1320" w:right="20" w:hanging="322"/>
        <w:spacing w:after="0" w:line="256" w:lineRule="auto"/>
        <w:tabs>
          <w:tab w:leader="none" w:pos="131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3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Sale and Leaseback Transaction</w:t>
      </w:r>
      <w:r>
        <w:rPr>
          <w:rFonts w:ascii="Times New Roman" w:cs="Times New Roman" w:eastAsia="Times New Roman" w:hAnsi="Times New Roman"/>
          <w:sz w:val="22"/>
          <w:szCs w:val="22"/>
          <w:color w:val="auto"/>
        </w:rPr>
        <w:t>” means any direct or indirect arrangement with any person or to which any such person is a party, providing for the leasing to the Issuer or a Guarantor of any property, whether owned by the Issuer or such Guarantor at the date of the original issuance of the 2029 Notes or later acquired, which has been or is to be sold or transferred by the Issuer or such Guarantor to such person or to any other person by whom funds have been or are to be advanced on the security of such property.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Consolidation, Merger and Sale of Assets</w:t>
      </w:r>
    </w:p>
    <w:p>
      <w:pPr>
        <w:spacing w:after="0" w:line="25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Indenture restricts the Issuer’s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the Issuer and a wholly-owned subsidiary, no consideration other than common stock in the surviving person shall be issued or distributed to the Issuer’s stockholders) or permit any person to merge with or into such party unless:</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0" w:lineRule="exact"/>
        <w:rPr>
          <w:sz w:val="20"/>
          <w:szCs w:val="20"/>
          <w:color w:val="auto"/>
        </w:rPr>
      </w:pPr>
    </w:p>
    <w:p>
      <w:pPr>
        <w:spacing w:after="0" w:line="390" w:lineRule="exact"/>
        <w:rPr>
          <w:sz w:val="20"/>
          <w:szCs w:val="20"/>
          <w:color w:val="auto"/>
        </w:rPr>
      </w:pPr>
    </w:p>
    <w:p>
      <w:pPr>
        <w:jc w:val="both"/>
        <w:ind w:left="1320" w:right="20" w:hanging="322"/>
        <w:spacing w:after="0" w:line="250" w:lineRule="auto"/>
        <w:tabs>
          <w:tab w:leader="none" w:pos="131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the Issuer’s obligations on all of the 2029 Notes and under the Indenture;</w:t>
      </w:r>
    </w:p>
    <w:p>
      <w:pPr>
        <w:spacing w:after="0" w:line="200" w:lineRule="exact"/>
        <w:rPr>
          <w:rFonts w:ascii="Times New Roman" w:cs="Times New Roman" w:eastAsia="Times New Roman" w:hAnsi="Times New Roman"/>
          <w:sz w:val="22"/>
          <w:szCs w:val="22"/>
          <w:color w:val="auto"/>
        </w:rPr>
      </w:pPr>
    </w:p>
    <w:p>
      <w:pPr>
        <w:spacing w:after="0" w:line="26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no default or event of default shall have occurred and be continuing; and</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jc w:val="both"/>
        <w:ind w:left="1320" w:right="20" w:hanging="322"/>
        <w:spacing w:after="0" w:line="275" w:lineRule="auto"/>
        <w:tabs>
          <w:tab w:leader="none" w:pos="1314"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delivers to the Trustee an officers’ certificate and opinion of counsel, in each case stating that such consolidation, merger, or transfer and such supplemental indenture complies with this provision and that all conditions precedent provided for in the Indenture and notes relating to such transaction have been complied with;</w:t>
      </w:r>
    </w:p>
    <w:p>
      <w:pPr>
        <w:spacing w:after="0" w:line="3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provided, however, that the foregoing limitations will not apply if, in the good faith determination of the Issuer’s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Upon any express assumption of the Issuer’s obligations as described above, the Issuer shall be released and discharged from all obligations and covenants under the Indenture and all the 2029 Notes.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Indenture and the guarantees do not limit the ability of any guarantor to consolidate with or merge into or sell all or substantially all its assets. Upon the sale or disposition of any guarantor (by merger, consolidation, the sale of its capital stock or the sale of all or substantially all of its assets) to any person, that guarantor will be deemed released from all its obligations under the Indenture and its guarantee.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Issuer and the Trustee may amend or supplement the Indenture or the 2029 Notes without notice to or the consent of any holder:</w:t>
      </w:r>
    </w:p>
    <w:p>
      <w:pPr>
        <w:spacing w:after="0" w:line="306" w:lineRule="exact"/>
        <w:rPr>
          <w:sz w:val="20"/>
          <w:szCs w:val="20"/>
          <w:color w:val="auto"/>
        </w:rPr>
      </w:pPr>
    </w:p>
    <w:p>
      <w:pPr>
        <w:ind w:left="1320" w:right="20" w:hanging="322"/>
        <w:spacing w:after="0" w:line="271" w:lineRule="auto"/>
        <w:tabs>
          <w:tab w:leader="none" w:pos="131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defect, or inconsistency in the Indenture; provided that such amendments or supplements shall not adversely affect the interests of the holders in any material respect;</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347" w:lineRule="exact"/>
        <w:rPr>
          <w:sz w:val="20"/>
          <w:szCs w:val="20"/>
          <w:color w:val="auto"/>
        </w:rPr>
      </w:pPr>
    </w:p>
    <w:p>
      <w:pPr>
        <w:ind w:left="1320" w:hanging="322"/>
        <w:spacing w:after="0"/>
        <w:tabs>
          <w:tab w:leader="none" w:pos="13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the provisions described under “-Certain Covenants-Consolidation, Merger and Sale of Assets;”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any requirements of the SEC in connection with the qualification of the Indenture under the Trust Indenture Act;</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hereunder by a successor Trustee;</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the form or forms or terms of the 2029 Notes as permitted by the Indenture;</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uncertificated notes and to make all appropriate changes for such purpose;</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does not adversely affect the rights of any holder;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jc w:val="both"/>
        <w:ind w:left="1320" w:right="20" w:hanging="322"/>
        <w:spacing w:after="0" w:line="263" w:lineRule="auto"/>
        <w:tabs>
          <w:tab w:leader="none" w:pos="131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00" w:lineRule="exact"/>
        <w:rPr>
          <w:rFonts w:ascii="Times New Roman" w:cs="Times New Roman" w:eastAsia="Times New Roman" w:hAnsi="Times New Roman"/>
          <w:sz w:val="22"/>
          <w:szCs w:val="22"/>
          <w:color w:val="auto"/>
        </w:rPr>
      </w:pPr>
    </w:p>
    <w:p>
      <w:pPr>
        <w:spacing w:after="0" w:line="250"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so long as no 2029 Notes are outstanding.</w:t>
      </w:r>
    </w:p>
    <w:p>
      <w:pPr>
        <w:spacing w:after="0" w:line="3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Subject to certain conditions, without prior notice to any holder of 2029 Notes, modifications and amendments of the Indenture may be made by the Issuer and the Trustee with respect to any series of 2029 Notes with the written consent of the holders of a majority in principal amount of the affected series of 2029 Notes, and compliance by the Issuer with any provision of the Indenture with respect to any series of 2029 Notes may be waived by written notice to the Trustee by the holders of a majority in principal amount of the affected series of 2029 Notes outstanding; provided, however, that each affected holder must consent to any modification, amendment or waiver that:</w:t>
      </w:r>
    </w:p>
    <w:p>
      <w:pPr>
        <w:spacing w:after="0" w:line="330" w:lineRule="exact"/>
        <w:rPr>
          <w:sz w:val="20"/>
          <w:szCs w:val="20"/>
          <w:color w:val="auto"/>
        </w:rPr>
      </w:pPr>
    </w:p>
    <w:p>
      <w:pPr>
        <w:ind w:left="1320" w:right="20" w:hanging="322"/>
        <w:spacing w:after="0" w:line="271" w:lineRule="auto"/>
        <w:tabs>
          <w:tab w:leader="none" w:pos="131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stated maturity of the principal of, or any installment of interest on, the 2029 Notes of the affected series;</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the principal amount of, or premium, if any, or interest on, the 2029 Notes of the affected series;</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347" w:lineRule="exact"/>
        <w:rPr>
          <w:sz w:val="20"/>
          <w:szCs w:val="20"/>
          <w:color w:val="auto"/>
        </w:rPr>
      </w:pPr>
    </w:p>
    <w:p>
      <w:pPr>
        <w:ind w:left="1320" w:right="20" w:hanging="322"/>
        <w:spacing w:after="0" w:line="271" w:lineRule="auto"/>
        <w:tabs>
          <w:tab w:leader="none" w:pos="131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place or currency of payment of principal of, or premium, if any, or interest on, the 2029 Notes of the affected series;</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provisions for calculating the optional redemption price, including the definitions relating thereto;</w:t>
      </w:r>
    </w:p>
    <w:p>
      <w:pPr>
        <w:spacing w:after="0" w:line="395" w:lineRule="exact"/>
        <w:rPr>
          <w:rFonts w:ascii="Times New Roman" w:cs="Times New Roman" w:eastAsia="Times New Roman" w:hAnsi="Times New Roman"/>
          <w:sz w:val="22"/>
          <w:szCs w:val="22"/>
          <w:color w:val="auto"/>
        </w:rPr>
      </w:pPr>
    </w:p>
    <w:p>
      <w:pPr>
        <w:jc w:val="both"/>
        <w:ind w:left="1320" w:right="20" w:hanging="322"/>
        <w:spacing w:after="0" w:line="263" w:lineRule="auto"/>
        <w:tabs>
          <w:tab w:leader="none" w:pos="131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provisions relating to the waiver of past defaults or changes or impairs the right of holders to receive payment or to institute suit for the enforcement of any payment of the 2029 Notes of the affected series on or after the due date therefor;</w:t>
      </w:r>
    </w:p>
    <w:p>
      <w:pPr>
        <w:spacing w:after="0" w:line="200" w:lineRule="exact"/>
        <w:rPr>
          <w:rFonts w:ascii="Times New Roman" w:cs="Times New Roman" w:eastAsia="Times New Roman" w:hAnsi="Times New Roman"/>
          <w:sz w:val="22"/>
          <w:szCs w:val="22"/>
          <w:color w:val="auto"/>
        </w:rPr>
      </w:pPr>
    </w:p>
    <w:p>
      <w:pPr>
        <w:spacing w:after="0" w:line="250"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the above-stated percentage of outstanding 2029 Notes of the affected series the consent of whose holders is necessary to modify or amend or to waive certain provisions of or defaults under the Indenture;</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 default in the payment of principal of, premium, if any, or interest on the 2029 Notes; 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jc w:val="both"/>
        <w:ind w:left="1320" w:right="20" w:hanging="322"/>
        <w:spacing w:after="0" w:line="263" w:lineRule="auto"/>
        <w:tabs>
          <w:tab w:leader="none" w:pos="131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modifies any of the provisions of this paragraph, except to increase any required percentage or to provide that certain other provisions cannot be modified or waived without the consent of the holder of each 2029 Note of the series affected by the modification.</w:t>
      </w:r>
    </w:p>
    <w:p>
      <w:pPr>
        <w:spacing w:after="0" w:line="3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It is not necessary for the consent of the holders under the Indenture to approve the particular form of any note amendment, supplement or waiver, but it shall be sufficient if such consent approves the substance thereof. After an amendment, supplement or waiver under the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section, the term “Obligor” shall mean each of the Issuer and Guarantors, in each case excluding such entities’ subsidiaries.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event of default for a series of 2029 Notes is defined under the Indenture as being:</w:t>
      </w:r>
    </w:p>
    <w:p>
      <w:pPr>
        <w:spacing w:after="0" w:line="368" w:lineRule="exact"/>
        <w:rPr>
          <w:sz w:val="20"/>
          <w:szCs w:val="20"/>
          <w:color w:val="auto"/>
        </w:rPr>
      </w:pPr>
    </w:p>
    <w:p>
      <w:pPr>
        <w:ind w:left="1320" w:right="20" w:hanging="322"/>
        <w:spacing w:after="0" w:line="271" w:lineRule="auto"/>
        <w:tabs>
          <w:tab w:leader="none" w:pos="131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any Obligor in the payment of principal or premium on the 2029 Notes of such series when the same becomes due and payable whether at maturity, upon acceleration, redemption or otherwise;</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347" w:lineRule="exact"/>
        <w:rPr>
          <w:sz w:val="20"/>
          <w:szCs w:val="20"/>
          <w:color w:val="auto"/>
        </w:rPr>
      </w:pPr>
    </w:p>
    <w:p>
      <w:pPr>
        <w:ind w:left="322" w:hanging="322"/>
        <w:spacing w:after="0" w:line="271" w:lineRule="auto"/>
        <w:tabs>
          <w:tab w:leader="none" w:pos="31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any Obligor in the payment of interest on the 2029 Notes of such series when the same becomes due and payable, if that default continues for a period of 30 days;</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322" w:hanging="322"/>
        <w:spacing w:after="0" w:line="272" w:lineRule="auto"/>
        <w:tabs>
          <w:tab w:leader="none" w:pos="317"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by any Obligor in the performance of or breach by any Obligor of any of its other covenants or agreements in the Indenture applicable to all the 2029 Notes or applicable to the 2029 Notes of any series and that default or breach continues for a period of 30 consecutive days after written notice is received from the Trustee or from the holders of 25% or more in aggregate principal amount of the 2029 Notes of all affected series;</w:t>
      </w:r>
    </w:p>
    <w:p>
      <w:pPr>
        <w:spacing w:after="0" w:line="200" w:lineRule="exact"/>
        <w:rPr>
          <w:rFonts w:ascii="Times New Roman" w:cs="Times New Roman" w:eastAsia="Times New Roman" w:hAnsi="Times New Roman"/>
          <w:sz w:val="21"/>
          <w:szCs w:val="21"/>
          <w:color w:val="auto"/>
        </w:rPr>
      </w:pPr>
    </w:p>
    <w:p>
      <w:pPr>
        <w:spacing w:after="0" w:line="230" w:lineRule="exact"/>
        <w:rPr>
          <w:rFonts w:ascii="Times New Roman" w:cs="Times New Roman" w:eastAsia="Times New Roman" w:hAnsi="Times New Roman"/>
          <w:sz w:val="21"/>
          <w:szCs w:val="21"/>
          <w:color w:val="auto"/>
        </w:rPr>
      </w:pPr>
    </w:p>
    <w:p>
      <w:pPr>
        <w:ind w:left="322" w:hanging="322"/>
        <w:spacing w:after="0"/>
        <w:tabs>
          <w:tab w:leader="none" w:pos="32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is not in full force and effect;</w:t>
      </w:r>
    </w:p>
    <w:p>
      <w:pPr>
        <w:spacing w:after="0" w:line="200" w:lineRule="exact"/>
        <w:rPr>
          <w:rFonts w:ascii="Times New Roman" w:cs="Times New Roman" w:eastAsia="Times New Roman" w:hAnsi="Times New Roman"/>
          <w:sz w:val="22"/>
          <w:szCs w:val="22"/>
          <w:color w:val="auto"/>
        </w:rPr>
      </w:pPr>
    </w:p>
    <w:p>
      <w:pPr>
        <w:spacing w:after="0" w:line="289" w:lineRule="exact"/>
        <w:rPr>
          <w:rFonts w:ascii="Times New Roman" w:cs="Times New Roman" w:eastAsia="Times New Roman" w:hAnsi="Times New Roman"/>
          <w:sz w:val="22"/>
          <w:szCs w:val="22"/>
          <w:color w:val="auto"/>
        </w:rPr>
      </w:pPr>
    </w:p>
    <w:p>
      <w:pPr>
        <w:ind w:left="322" w:hanging="322"/>
        <w:spacing w:after="0"/>
        <w:tabs>
          <w:tab w:leader="none" w:pos="32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having jurisdiction enters a decree or order for:</w:t>
      </w:r>
    </w:p>
    <w:p>
      <w:pPr>
        <w:spacing w:after="0" w:line="200" w:lineRule="exact"/>
        <w:rPr>
          <w:rFonts w:ascii="Times New Roman" w:cs="Times New Roman" w:eastAsia="Times New Roman" w:hAnsi="Times New Roman"/>
          <w:sz w:val="22"/>
          <w:szCs w:val="22"/>
          <w:color w:val="auto"/>
        </w:rPr>
      </w:pPr>
    </w:p>
    <w:p>
      <w:pPr>
        <w:spacing w:after="0" w:line="289" w:lineRule="exact"/>
        <w:rPr>
          <w:rFonts w:ascii="Times New Roman" w:cs="Times New Roman" w:eastAsia="Times New Roman" w:hAnsi="Times New Roman"/>
          <w:sz w:val="22"/>
          <w:szCs w:val="22"/>
          <w:color w:val="auto"/>
        </w:rPr>
      </w:pPr>
    </w:p>
    <w:p>
      <w:pPr>
        <w:ind w:left="982" w:hanging="334"/>
        <w:spacing w:after="0" w:line="271" w:lineRule="auto"/>
        <w:tabs>
          <w:tab w:leader="none" w:pos="100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relief in respect of any Obligor in an involuntary case under any applicable bankruptcy, insolvency, or other similar law now or hereafter in effect;</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982" w:hanging="334"/>
        <w:spacing w:after="0" w:line="271" w:lineRule="auto"/>
        <w:tabs>
          <w:tab w:leader="none" w:pos="99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appointment of a receiver, liquidator, assignee, custodian, Trustee, sequestrator or similar official of any Obligor for any substantial part of such party’s property and assets; or</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982" w:hanging="334"/>
        <w:spacing w:after="0" w:line="284" w:lineRule="auto"/>
        <w:tabs>
          <w:tab w:leader="none" w:pos="977"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winding up or liquidation of any Obligor’s affairs and such decree or order shall remain unstayed and in effect for a period of 180 consecutive days; or</w:t>
      </w:r>
    </w:p>
    <w:p>
      <w:pPr>
        <w:spacing w:after="0" w:line="200" w:lineRule="exact"/>
        <w:rPr>
          <w:rFonts w:ascii="Times New Roman" w:cs="Times New Roman" w:eastAsia="Times New Roman" w:hAnsi="Times New Roman"/>
          <w:sz w:val="22"/>
          <w:szCs w:val="22"/>
          <w:color w:val="auto"/>
        </w:rPr>
      </w:pPr>
    </w:p>
    <w:p>
      <w:pPr>
        <w:spacing w:after="0" w:line="213" w:lineRule="exact"/>
        <w:rPr>
          <w:rFonts w:ascii="Times New Roman" w:cs="Times New Roman" w:eastAsia="Times New Roman" w:hAnsi="Times New Roman"/>
          <w:sz w:val="22"/>
          <w:szCs w:val="22"/>
          <w:color w:val="auto"/>
        </w:rPr>
      </w:pPr>
    </w:p>
    <w:p>
      <w:pPr>
        <w:ind w:left="322" w:hanging="322"/>
        <w:spacing w:after="0"/>
        <w:tabs>
          <w:tab w:leader="none" w:pos="32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82" w:hanging="334"/>
        <w:spacing w:after="0" w:line="295" w:lineRule="auto"/>
        <w:tabs>
          <w:tab w:leader="none" w:pos="1004"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commences a voluntary case under any applicable bankruptcy, insolvency, or other similar law now or hereafter in effect, or consent to the entry of an order for relief in an involuntary case under any such law;</w:t>
      </w:r>
    </w:p>
    <w:p>
      <w:pPr>
        <w:spacing w:after="0" w:line="200" w:lineRule="exact"/>
        <w:rPr>
          <w:rFonts w:ascii="Times New Roman" w:cs="Times New Roman" w:eastAsia="Times New Roman" w:hAnsi="Times New Roman"/>
          <w:sz w:val="21"/>
          <w:szCs w:val="21"/>
          <w:color w:val="auto"/>
        </w:rPr>
      </w:pPr>
    </w:p>
    <w:p>
      <w:pPr>
        <w:spacing w:after="0" w:line="218" w:lineRule="exact"/>
        <w:rPr>
          <w:rFonts w:ascii="Times New Roman" w:cs="Times New Roman" w:eastAsia="Times New Roman" w:hAnsi="Times New Roman"/>
          <w:sz w:val="21"/>
          <w:szCs w:val="21"/>
          <w:color w:val="auto"/>
        </w:rPr>
      </w:pPr>
    </w:p>
    <w:p>
      <w:pPr>
        <w:ind w:left="982" w:hanging="334"/>
        <w:spacing w:after="0" w:line="309" w:lineRule="auto"/>
        <w:tabs>
          <w:tab w:leader="none" w:pos="977"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consents to the appointment of or taking possession by a receiver, liquidator, assignee, custodian, trustee, sequestrator, or similar official of such party or for any substantial part of such party’s property; or</w:t>
      </w:r>
    </w:p>
    <w:p>
      <w:pPr>
        <w:sectPr>
          <w:pgSz w:w="11900" w:h="16838" w:orient="portrait"/>
          <w:cols w:equalWidth="0" w:num="1">
            <w:col w:w="10222"/>
          </w:cols>
          <w:pgMar w:left="1318" w:top="1440" w:right="359" w:bottom="1440" w:gutter="0" w:footer="0" w:header="0"/>
        </w:sectPr>
      </w:pPr>
    </w:p>
    <w:bookmarkStart w:id="163" w:name="page164"/>
    <w:bookmarkEnd w:id="163"/>
    <w:p>
      <w:pPr>
        <w:spacing w:after="0" w:line="347" w:lineRule="exact"/>
        <w:rPr>
          <w:sz w:val="20"/>
          <w:szCs w:val="20"/>
          <w:color w:val="auto"/>
        </w:rPr>
      </w:pPr>
    </w:p>
    <w:p>
      <w:pPr>
        <w:ind w:left="1960" w:hanging="314"/>
        <w:spacing w:after="0"/>
        <w:tabs>
          <w:tab w:leader="none" w:pos="19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any general assignment for the benefit of creditors.</w:t>
      </w:r>
    </w:p>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default under any Obligor’s other indebtedness is not a default under the Indenture.</w:t>
      </w:r>
    </w:p>
    <w:p>
      <w:pPr>
        <w:spacing w:after="0" w:line="24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If an event of default other than an event of default specified in clauses (5) and (6) above occurs with respect to an issue of 2029 Notes and is continuing under the Indenture, then, and in each and every such case, either the Trustee or the holders of not less than 25% in aggregate principal amount of such 2029 Notes then outstanding under the Indenture by written notice to the Issuer and to the Trustee, if such notice is given by the holders, may, and the Trustee at the request of such holders shall, declare the principal amount of and accrued interest, if any, on such 2029 Notes to be immediately due and payable. The amount due upon acceleration shall include only the original issue price of the 2029 Notes and accrued to the date of acceleration and accrued interest, if any. Upon a declaration of acceleration, such principal amount of and accrued interest, if any, on such 2029 Notes shall be immediately due and payable. If an event of default specified in clauses (5) and (6) above occurs with respect to any Obligor, the principal amount of and accrued interest, if any, on each issue of 2029 Notes then outstanding shall be and become immediately due and payable without any notice or other action on the part of the Trustee or any holder.</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Upon certain conditions such declarations may be rescinded and annulled and past defaults may be waived by the holders of a majority in aggregate principal amount of an issue of 2029 Notes that has been accelerated. Furthermore, subject to various provisions in the Indenture, the holders of at least a majority in aggregate principal amount of an issue of 2029 Notes by notice to the Trustee may waive an existing default or event of default with respect to such 2029 Notes and its consequences, except a default in the payment of principal of or interest on such 2029 Notes or in respect of a covenant or provision of the Indenture which cannot be modified or amended without the consent of the holders of each such 2029 Notes. Upon any such waiver, such default shall cease to exist, and any event of default with respect to such 2029 Notes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holders of at least a majority in aggregate principal amount of an issue of 2029 Notes may direct the time, method, and place of conducting any proceeding for any remedy available to the Trustee or exercising any trust or power conferred on the Trustee with respect to such 2029 Notes. However, the Trustee may refuse to follow any direction that conflicts with law or the Indenture, that may involve the Trustee in personal liability, or that the Trustee determines in good faith may be unduly prejudicial to the rights of holders of such issue of 2029 Notes not joining in the giving of such direction and may take any other action it deems proper that is not inconsistent with any such direction received from holders of such issue of 2029 Notes. A holder may not pursue any remedy with respect to the Indenture or any series of 2029 Notes unless:</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347" w:lineRule="exact"/>
        <w:rPr>
          <w:sz w:val="20"/>
          <w:szCs w:val="20"/>
          <w:color w:val="auto"/>
        </w:rPr>
      </w:pPr>
    </w:p>
    <w:p>
      <w:pPr>
        <w:ind w:left="1320" w:hanging="322"/>
        <w:spacing w:after="0"/>
        <w:tabs>
          <w:tab w:leader="none" w:pos="13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gives the Trustee written notice of a continuing event of default;</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at least 25% in aggregate principal amount of such series of 2029 Notes make a written request to the Trustee to pursue the remedy in respect of such event of default;</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requesting holder or holders offer the Trustee indemnity satisfactory to the Trustee against any costs, liability, or expense;</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does not comply with the request within 60 days after receipt of the request and the offer of indemnity; and</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60-day period, the holders of a majority in aggregate principal amount of such series of 2029 Notes do not give the Trustee a direction that is inconsistent with the request.</w:t>
      </w:r>
    </w:p>
    <w:p>
      <w:pPr>
        <w:spacing w:after="0" w:line="33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These limitations, however, do not apply to the right of any holder of the 2029 Note to receive payment of the principal of, premium, if any, or interest on such the 2029 Note, or to bring suit for the enforcement of any such payment, on or after the due date for the 2029 Notes, which right shall not be impaired or affected without the consent of the holder.</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Indenture requires certain of officers of the Issuer to certify, on or before a date not more than 120 days after the end of each fiscal year, as to their knowledge of the Issuer’s compliance with all conditions and covenants under the Indenture, such compliance to be determined without regard to any period of grace or requirement of notice provided under the Indenture.</w:t>
      </w:r>
    </w:p>
    <w:p>
      <w:pPr>
        <w:spacing w:after="0" w:line="196" w:lineRule="exact"/>
        <w:rPr>
          <w:sz w:val="20"/>
          <w:szCs w:val="20"/>
          <w:color w:val="auto"/>
        </w:rPr>
      </w:pPr>
    </w:p>
    <w:p>
      <w:pPr>
        <w:ind w:left="660" w:hanging="652"/>
        <w:spacing w:after="0" w:line="265" w:lineRule="auto"/>
        <w:tabs>
          <w:tab w:leader="none" w:pos="494"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0.000% NOTES DUE 2026, OUR 0.250% NOTES DUE 2027, OUR 0.250% NOTES DUE 2029, OUR 0.750% NOTES DUE 2032, OUR 1.250% NOTES DUE 2040, OUR 1.500% NOTES DUE 2029 AND OUR 1.875% NOTES DUE 2036</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following summary of our 0.000% Notes due 2026 (the “2026 Euro Notes”), our 0.250% Notes due 2027 (the “2027 Euro Notes”), our 0.250% Notes due 2029 (the “2029 Euro Notes”), our 0.750% Notes due 2032 (solely for purposes of this Section 4, the “2032 Euro Notes”), our 1.250% Notes due 2040 (the “2040 Euro Notes”), our 1.500% Notes due 2029 (the “2029 Sterling Notes”) and our 1.875% Notes due 2036 (the “2036 Sterling Notes” and together with the 2026 Euro Notes, the 2027 Euro Notes, the 2029 Euro Notes, the 2032 Euro Notes, the 2040 Euro Notes and the 2029 Sterling Notes, collectively, solely for purposes of this Section 4, the “Notes”) is based on the senior indenture dated as of September 18, 2013 among Comcast as issuer (the “Issuer”), Comcast Cable Communications, LLC and NBCUniversal Media, LLC (the “Guarantors”) and The Bank of New York Mellon (f/k/a The Bank of New York), as trustee (the</w:t>
      </w:r>
    </w:p>
    <w:p>
      <w:pPr>
        <w:sectPr>
          <w:pgSz w:w="11900" w:h="16838" w:orient="portrait"/>
          <w:cols w:equalWidth="0" w:num="1">
            <w:col w:w="11240"/>
          </w:cols>
          <w:pgMar w:left="320" w:top="1440" w:right="339" w:bottom="1440" w:gutter="0" w:footer="0" w:header="0"/>
        </w:sectPr>
      </w:pPr>
    </w:p>
    <w:bookmarkStart w:id="165" w:name="page166"/>
    <w:bookmarkEnd w:id="165"/>
    <w:p>
      <w:pPr>
        <w:jc w:val="both"/>
        <w:spacing w:after="0" w:line="257" w:lineRule="auto"/>
        <w:rPr>
          <w:sz w:val="20"/>
          <w:szCs w:val="20"/>
          <w:color w:val="auto"/>
        </w:rPr>
      </w:pPr>
      <w:r>
        <w:rPr>
          <w:rFonts w:ascii="Times New Roman" w:cs="Times New Roman" w:eastAsia="Times New Roman" w:hAnsi="Times New Roman"/>
          <w:sz w:val="22"/>
          <w:szCs w:val="22"/>
          <w:color w:val="auto"/>
        </w:rPr>
        <w:t>“Trustee”) (the “Base Indenture”), as amended by the first supplemental indenture dated as of November 17, 2015 among the Issuer, the Guarantors and the Trustee (collectively with the Base Indenture, the “Indenture”). This summary does not purport to be complete and is qualified in its entirety by reference to such Indenture.</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231F20"/>
        </w:rPr>
        <w:t>Interest Payments</w:t>
      </w:r>
    </w:p>
    <w:p>
      <w:pPr>
        <w:spacing w:after="0" w:line="251" w:lineRule="exact"/>
        <w:rPr>
          <w:sz w:val="20"/>
          <w:szCs w:val="20"/>
          <w:color w:val="auto"/>
        </w:rPr>
      </w:pPr>
    </w:p>
    <w:p>
      <w:pPr>
        <w:jc w:val="both"/>
        <w:ind w:left="40" w:firstLine="612"/>
        <w:spacing w:after="0" w:line="251" w:lineRule="auto"/>
        <w:rPr>
          <w:sz w:val="20"/>
          <w:szCs w:val="20"/>
          <w:color w:val="auto"/>
        </w:rPr>
      </w:pPr>
      <w:r>
        <w:rPr>
          <w:rFonts w:ascii="Times New Roman" w:cs="Times New Roman" w:eastAsia="Times New Roman" w:hAnsi="Times New Roman"/>
          <w:sz w:val="22"/>
          <w:szCs w:val="22"/>
          <w:color w:val="231F20"/>
        </w:rPr>
        <w:t>Interest on the Notes is computed on the basis of the actual number of days in the period for which interest is being calculated and the actual number of days from and including the last date to which interest was paid on the Notes (or February 20, 2020 if no interest has been paid in the case of the 2027 Euro Notes, the February 2032 Euro Notes, the 2040 Euro Notes, the 2029 Sterling Notes or the 2036 Sterling Notes, or September 14, 2021 if no interest has been paid in the case of the 2026 Euro Notes or the 2029 Euro Notes), to but excluding the next scheduled interest payment date. This payment convention is referred to as ACTUAL/ACTUAL (ICMA) as defined in the rulebook of the International Capital Market Association.</w:t>
      </w:r>
    </w:p>
    <w:p>
      <w:pPr>
        <w:spacing w:after="0" w:line="208" w:lineRule="exact"/>
        <w:rPr>
          <w:sz w:val="20"/>
          <w:szCs w:val="20"/>
          <w:color w:val="auto"/>
        </w:rPr>
      </w:pPr>
    </w:p>
    <w:p>
      <w:pPr>
        <w:jc w:val="both"/>
        <w:ind w:left="40" w:firstLine="612"/>
        <w:spacing w:after="0" w:line="257" w:lineRule="auto"/>
        <w:rPr>
          <w:sz w:val="20"/>
          <w:szCs w:val="20"/>
          <w:color w:val="auto"/>
        </w:rPr>
      </w:pPr>
      <w:r>
        <w:rPr>
          <w:rFonts w:ascii="Times New Roman" w:cs="Times New Roman" w:eastAsia="Times New Roman" w:hAnsi="Times New Roman"/>
          <w:sz w:val="22"/>
          <w:szCs w:val="22"/>
          <w:color w:val="231F20"/>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200" w:lineRule="exact"/>
        <w:rPr>
          <w:sz w:val="20"/>
          <w:szCs w:val="20"/>
          <w:color w:val="auto"/>
        </w:rPr>
      </w:pPr>
    </w:p>
    <w:p>
      <w:pPr>
        <w:jc w:val="both"/>
        <w:ind w:left="40" w:firstLine="612"/>
        <w:spacing w:after="0" w:line="253" w:lineRule="auto"/>
        <w:rPr>
          <w:sz w:val="20"/>
          <w:szCs w:val="20"/>
          <w:color w:val="auto"/>
        </w:rPr>
      </w:pPr>
      <w:r>
        <w:rPr>
          <w:rFonts w:ascii="Times New Roman" w:cs="Times New Roman" w:eastAsia="Times New Roman" w:hAnsi="Times New Roman"/>
          <w:sz w:val="22"/>
          <w:szCs w:val="22"/>
          <w:color w:val="231F20"/>
        </w:rPr>
        <w:t>The term “business day” means any day other than a Saturday or Sunday (i) which is not a day on which banking institutions in The City of New York or London are authorized or obligated by law, regulation or executive order to close and (ii) in the case of the 2026 Euro Notes, the 2027 Euro Notes, the 2029 Euro Notes, the February 2032 Euro Notes and the 2040 Euro Notes (collectively, solely for purposes of this Section 4, the “Euro Notes”), on which the Trans-European Automated Real-Time Gross Settlement Express Transfer System (the TARGET2 system) or any successor thereto is open.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231F20"/>
        </w:rPr>
        <w:t>Issuance in Euro; Issuance in GBP</w:t>
      </w:r>
    </w:p>
    <w:p>
      <w:pPr>
        <w:spacing w:after="0" w:line="264" w:lineRule="exact"/>
        <w:rPr>
          <w:sz w:val="20"/>
          <w:szCs w:val="20"/>
          <w:color w:val="auto"/>
        </w:rPr>
      </w:pPr>
    </w:p>
    <w:p>
      <w:pPr>
        <w:jc w:val="both"/>
        <w:ind w:left="40" w:firstLine="612"/>
        <w:spacing w:after="0" w:line="251" w:lineRule="auto"/>
        <w:rPr>
          <w:sz w:val="20"/>
          <w:szCs w:val="20"/>
          <w:color w:val="auto"/>
        </w:rPr>
      </w:pPr>
      <w:r>
        <w:rPr>
          <w:rFonts w:ascii="Times New Roman" w:cs="Times New Roman" w:eastAsia="Times New Roman" w:hAnsi="Times New Roman"/>
          <w:sz w:val="22"/>
          <w:szCs w:val="22"/>
          <w:color w:val="231F20"/>
        </w:rPr>
        <w:t>Principal, premium, if any, and interest payments in respect of the Euro Notes are payable in euro. If euro is unavailable to the Issuer due to the imposition of exchange controls or other circumstances beyond the Issuer’s control, then all payments in respect of the Euro Notes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208" w:lineRule="exact"/>
        <w:rPr>
          <w:sz w:val="20"/>
          <w:szCs w:val="20"/>
          <w:color w:val="auto"/>
        </w:rPr>
      </w:pPr>
    </w:p>
    <w:p>
      <w:pPr>
        <w:jc w:val="both"/>
        <w:ind w:left="40" w:firstLine="612"/>
        <w:spacing w:after="0" w:line="252" w:lineRule="auto"/>
        <w:rPr>
          <w:sz w:val="20"/>
          <w:szCs w:val="20"/>
          <w:color w:val="auto"/>
        </w:rPr>
      </w:pPr>
      <w:r>
        <w:rPr>
          <w:rFonts w:ascii="Times New Roman" w:cs="Times New Roman" w:eastAsia="Times New Roman" w:hAnsi="Times New Roman"/>
          <w:sz w:val="22"/>
          <w:szCs w:val="22"/>
          <w:color w:val="231F20"/>
        </w:rPr>
        <w:t>Principal, premium, if any, and interest payments in respect of the 2029 Sterling Notes and the 2036 Sterling Notes (together, solely for purposes of this Section 4, the “Sterling Notes”) are payable in GBP. If GBP is unavailable to the Issuer due to the imposition of exchange controls or other circumstances beyond the Issuer’s control, then all payments in respect of the Sterling Notes will be made in U.S. dollars until GBP is again available to the Issuer. The</w:t>
      </w:r>
    </w:p>
    <w:p>
      <w:pPr>
        <w:sectPr>
          <w:pgSz w:w="11900" w:h="16838" w:orient="portrait"/>
          <w:cols w:equalWidth="0" w:num="1">
            <w:col w:w="11240"/>
          </w:cols>
          <w:pgMar w:left="320" w:top="1422" w:right="339" w:bottom="1440" w:gutter="0" w:footer="0" w:header="0"/>
        </w:sectPr>
      </w:pPr>
    </w:p>
    <w:bookmarkStart w:id="166" w:name="page167"/>
    <w:bookmarkEnd w:id="166"/>
    <w:p>
      <w:pPr>
        <w:jc w:val="both"/>
        <w:ind w:left="40"/>
        <w:spacing w:after="0" w:line="275" w:lineRule="auto"/>
        <w:rPr>
          <w:sz w:val="20"/>
          <w:szCs w:val="20"/>
          <w:color w:val="auto"/>
        </w:rPr>
      </w:pPr>
      <w:r>
        <w:rPr>
          <w:rFonts w:ascii="Times New Roman" w:cs="Times New Roman" w:eastAsia="Times New Roman" w:hAnsi="Times New Roman"/>
          <w:sz w:val="21"/>
          <w:szCs w:val="21"/>
          <w:color w:val="231F20"/>
        </w:rPr>
        <w:t>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96" w:lineRule="exact"/>
        <w:rPr>
          <w:sz w:val="20"/>
          <w:szCs w:val="20"/>
          <w:color w:val="auto"/>
        </w:rPr>
      </w:pPr>
    </w:p>
    <w:p>
      <w:pPr>
        <w:jc w:val="both"/>
        <w:ind w:left="40" w:firstLine="612"/>
        <w:spacing w:after="0" w:line="250" w:lineRule="auto"/>
        <w:rPr>
          <w:sz w:val="20"/>
          <w:szCs w:val="20"/>
          <w:color w:val="auto"/>
        </w:rPr>
      </w:pPr>
      <w:r>
        <w:rPr>
          <w:rFonts w:ascii="Times New Roman" w:cs="Times New Roman" w:eastAsia="Times New Roman" w:hAnsi="Times New Roman"/>
          <w:sz w:val="22"/>
          <w:szCs w:val="22"/>
          <w:color w:val="231F20"/>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are responsible for obtaining exchange rates, effecting currency conversions or otherwise handling re-denominations.</w:t>
      </w:r>
    </w:p>
    <w:p>
      <w:pPr>
        <w:spacing w:after="0" w:line="215" w:lineRule="exact"/>
        <w:rPr>
          <w:sz w:val="20"/>
          <w:szCs w:val="20"/>
          <w:color w:val="auto"/>
        </w:rPr>
      </w:pPr>
    </w:p>
    <w:p>
      <w:pPr>
        <w:jc w:val="both"/>
        <w:ind w:left="40" w:firstLine="612"/>
        <w:spacing w:after="0" w:line="260" w:lineRule="auto"/>
        <w:rPr>
          <w:sz w:val="20"/>
          <w:szCs w:val="20"/>
          <w:color w:val="auto"/>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b w:val="1"/>
          <w:bCs w:val="1"/>
          <w:i w:val="1"/>
          <w:iCs w:val="1"/>
          <w:color w:val="231F20"/>
        </w:rPr>
        <w:t>Market Exchange Rate</w:t>
      </w:r>
      <w:r>
        <w:rPr>
          <w:rFonts w:ascii="Times New Roman" w:cs="Times New Roman" w:eastAsia="Times New Roman" w:hAnsi="Times New Roman"/>
          <w:sz w:val="22"/>
          <w:szCs w:val="22"/>
          <w:color w:val="231F20"/>
        </w:rPr>
        <w:t>” means the noon buying rate in The City of New York for cable transfers of euro or GBP, as applicable, as certified for customs purposes (or, if not so certified, as otherwise determined) by the Federal Reserve Bank of New York.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Guarantees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231F20"/>
        </w:rPr>
        <w:t>The Issuer’s obligations, including the payment of principal, premium, if any, and interest, are fully and unconditionally guaranteed by each of the Guarantors as described in the prospectus applicable to the Notes.</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231F20"/>
        </w:rPr>
        <w:t>The guarantees do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Optional Redemption</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231F20"/>
        </w:rPr>
        <w:t>The Issuer has the right at the Issuer’s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The Issuer will calculate the Redemption Price in connection with any redemption hereunder.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b w:val="1"/>
          <w:bCs w:val="1"/>
          <w:i w:val="1"/>
          <w:iCs w:val="1"/>
          <w:color w:val="231F20"/>
        </w:rPr>
        <w:t>Redemption Price</w:t>
      </w:r>
      <w:r>
        <w:rPr>
          <w:rFonts w:ascii="Times New Roman" w:cs="Times New Roman" w:eastAsia="Times New Roman" w:hAnsi="Times New Roman"/>
          <w:sz w:val="22"/>
          <w:szCs w:val="22"/>
          <w:color w:val="231F20"/>
        </w:rPr>
        <w:t>” means:</w:t>
      </w:r>
    </w:p>
    <w:p>
      <w:pPr>
        <w:spacing w:after="0" w:line="253" w:lineRule="exact"/>
        <w:rPr>
          <w:sz w:val="20"/>
          <w:szCs w:val="20"/>
          <w:color w:val="auto"/>
        </w:rPr>
      </w:pPr>
    </w:p>
    <w:p>
      <w:pPr>
        <w:jc w:val="both"/>
        <w:ind w:left="760" w:hanging="321"/>
        <w:spacing w:after="0" w:line="268" w:lineRule="auto"/>
        <w:tabs>
          <w:tab w:leader="none" w:pos="719" w:val="left"/>
        </w:tabs>
        <w:numPr>
          <w:ilvl w:val="0"/>
          <w:numId w:val="152"/>
        </w:numPr>
        <w:rPr>
          <w:rFonts w:ascii="Times New Roman" w:cs="Times New Roman" w:eastAsia="Times New Roman" w:hAnsi="Times New Roman"/>
          <w:sz w:val="17"/>
          <w:szCs w:val="17"/>
          <w:color w:val="231F20"/>
        </w:rPr>
      </w:pPr>
      <w:r>
        <w:rPr>
          <w:rFonts w:ascii="Times New Roman" w:cs="Times New Roman" w:eastAsia="Times New Roman" w:hAnsi="Times New Roman"/>
          <w:sz w:val="21"/>
          <w:szCs w:val="21"/>
          <w:color w:val="231F20"/>
        </w:rPr>
        <w:t>with respect to the 2026 Euro Notes, at any time prior to August 14, 2026 (one month prior to the maturity of the 2026 Euro Notes) (the “2026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2026 Par Call Date, in each case discounted to the redemption date on an actual (ACTUAL/ACTUAL (ICMA)) basis at a rate equal to the applicable comparable</w:t>
      </w:r>
    </w:p>
    <w:p>
      <w:pPr>
        <w:sectPr>
          <w:pgSz w:w="11900" w:h="16838" w:orient="portrait"/>
          <w:cols w:equalWidth="0" w:num="1">
            <w:col w:w="11240"/>
          </w:cols>
          <w:pgMar w:left="320" w:top="1422" w:right="339" w:bottom="1440" w:gutter="0" w:footer="0" w:header="0"/>
        </w:sectPr>
      </w:pPr>
    </w:p>
    <w:bookmarkStart w:id="167" w:name="page168"/>
    <w:bookmarkEnd w:id="167"/>
    <w:p>
      <w:pPr>
        <w:ind w:left="321"/>
        <w:spacing w:after="0" w:line="271" w:lineRule="auto"/>
        <w:rPr>
          <w:sz w:val="20"/>
          <w:szCs w:val="20"/>
          <w:color w:val="auto"/>
        </w:rPr>
      </w:pPr>
      <w:r>
        <w:rPr>
          <w:rFonts w:ascii="Times New Roman" w:cs="Times New Roman" w:eastAsia="Times New Roman" w:hAnsi="Times New Roman"/>
          <w:sz w:val="22"/>
          <w:szCs w:val="22"/>
          <w:color w:val="231F20"/>
        </w:rPr>
        <w:t>government bond rate plus 10 basis points; provided that, if the 2026 Euro Notes are redeemed on or after the 2026 Par Call Date, the Redemption Price will equal 100% of the principal amount of such notes;</w:t>
      </w:r>
    </w:p>
    <w:p>
      <w:pPr>
        <w:spacing w:after="0" w:line="185" w:lineRule="exact"/>
        <w:rPr>
          <w:sz w:val="20"/>
          <w:szCs w:val="20"/>
          <w:color w:val="auto"/>
        </w:rPr>
      </w:pPr>
    </w:p>
    <w:p>
      <w:pPr>
        <w:jc w:val="both"/>
        <w:ind w:left="321" w:hanging="321"/>
        <w:spacing w:after="0" w:line="252" w:lineRule="auto"/>
        <w:tabs>
          <w:tab w:leader="none" w:pos="280" w:val="left"/>
        </w:tabs>
        <w:numPr>
          <w:ilvl w:val="0"/>
          <w:numId w:val="153"/>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2027 Euro Notes, at any time prior to March 20, 2027 (two months prior to the maturity of the 2027 Euro Notes)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an actual (ACTUAL/ACTUAL (ICMA)) basis at a rate equal to the applicable comparable government bond rate plus 15 basis points; provided that, if the 2027 Euro Notes are redeemed on or after the 2027 Par Call Date, the Redemption Price will equal 100% of the principal amount of such notes;</w:t>
      </w:r>
    </w:p>
    <w:p>
      <w:pPr>
        <w:spacing w:after="0" w:line="206" w:lineRule="exact"/>
        <w:rPr>
          <w:rFonts w:ascii="Times New Roman" w:cs="Times New Roman" w:eastAsia="Times New Roman" w:hAnsi="Times New Roman"/>
          <w:sz w:val="18"/>
          <w:szCs w:val="18"/>
          <w:color w:val="231F20"/>
        </w:rPr>
      </w:pPr>
    </w:p>
    <w:p>
      <w:pPr>
        <w:jc w:val="both"/>
        <w:ind w:left="321" w:hanging="321"/>
        <w:spacing w:after="0" w:line="250" w:lineRule="auto"/>
        <w:tabs>
          <w:tab w:leader="none" w:pos="280" w:val="left"/>
        </w:tabs>
        <w:numPr>
          <w:ilvl w:val="0"/>
          <w:numId w:val="153"/>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2029 Euro Notes, at any time prior to June 14, 2029 (three months prior to the maturity of the 2029 Euro Notes)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2029 Euro Notes are redeemed on or after the 2029 Par Call Date, the Redemption Price will equal 100% of the principal amount of such notes;</w:t>
      </w:r>
    </w:p>
    <w:p>
      <w:pPr>
        <w:spacing w:after="0" w:line="207" w:lineRule="exact"/>
        <w:rPr>
          <w:rFonts w:ascii="Times New Roman" w:cs="Times New Roman" w:eastAsia="Times New Roman" w:hAnsi="Times New Roman"/>
          <w:sz w:val="18"/>
          <w:szCs w:val="18"/>
          <w:color w:val="231F20"/>
        </w:rPr>
      </w:pPr>
    </w:p>
    <w:p>
      <w:pPr>
        <w:jc w:val="both"/>
        <w:ind w:left="321" w:hanging="321"/>
        <w:spacing w:after="0" w:line="250" w:lineRule="auto"/>
        <w:tabs>
          <w:tab w:leader="none" w:pos="280" w:val="left"/>
        </w:tabs>
        <w:numPr>
          <w:ilvl w:val="0"/>
          <w:numId w:val="153"/>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2032 Euro Notes, at any time prior to November 20, 2031 (three months prior to the maturity of the 2032 Euro Notes) (the “2032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2032 Par Call Date, in each case discounted to the redemption date on an actual (ACTUAL/ACTUAL (ICMA)) basis at a rate equal to the applicable comparable government bond rate plus 20 basis points; provided that, if the 2032 Euro Notes are redeemed on or after the 2032 Par Call Date, the Redemption Price will equal 100% of the principal amount of such notes;</w:t>
      </w:r>
    </w:p>
    <w:p>
      <w:pPr>
        <w:spacing w:after="0" w:line="207" w:lineRule="exact"/>
        <w:rPr>
          <w:rFonts w:ascii="Times New Roman" w:cs="Times New Roman" w:eastAsia="Times New Roman" w:hAnsi="Times New Roman"/>
          <w:sz w:val="18"/>
          <w:szCs w:val="18"/>
          <w:color w:val="231F20"/>
        </w:rPr>
      </w:pPr>
    </w:p>
    <w:p>
      <w:pPr>
        <w:jc w:val="both"/>
        <w:ind w:left="321" w:hanging="321"/>
        <w:spacing w:after="0" w:line="251" w:lineRule="auto"/>
        <w:tabs>
          <w:tab w:leader="none" w:pos="280" w:val="left"/>
        </w:tabs>
        <w:numPr>
          <w:ilvl w:val="0"/>
          <w:numId w:val="153"/>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2040 Euro Notes, at any time prior to August 20, 2039 (six months prior to the maturity of the 2040 Euro Notes) (the “2040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an actual (ACTUAL/ACTUAL (ICMA)) basis at a rate equal to the applicable comparable government bond rate plus 25 basis points; provided that, if the 2040 Euro Notes are</w:t>
      </w:r>
    </w:p>
    <w:p>
      <w:pPr>
        <w:sectPr>
          <w:pgSz w:w="11900" w:h="16838" w:orient="portrait"/>
          <w:cols w:equalWidth="0" w:num="1">
            <w:col w:w="10801"/>
          </w:cols>
          <w:pgMar w:left="759" w:top="1422" w:right="339" w:bottom="1440" w:gutter="0" w:footer="0" w:header="0"/>
        </w:sectPr>
      </w:pPr>
    </w:p>
    <w:bookmarkStart w:id="168" w:name="page169"/>
    <w:bookmarkEnd w:id="168"/>
    <w:p>
      <w:pPr>
        <w:ind w:left="760"/>
        <w:spacing w:after="0" w:line="254" w:lineRule="auto"/>
        <w:rPr>
          <w:sz w:val="20"/>
          <w:szCs w:val="20"/>
          <w:color w:val="auto"/>
        </w:rPr>
      </w:pPr>
      <w:r>
        <w:rPr>
          <w:rFonts w:ascii="Times New Roman" w:cs="Times New Roman" w:eastAsia="Times New Roman" w:hAnsi="Times New Roman"/>
          <w:sz w:val="22"/>
          <w:szCs w:val="22"/>
          <w:color w:val="231F20"/>
        </w:rPr>
        <w:t>redeemed on or after the 2040 Par Call Date, the Redemption Price will equal 100% of the principal amount of such notes;</w:t>
      </w:r>
    </w:p>
    <w:p>
      <w:pPr>
        <w:spacing w:after="0" w:line="2" w:lineRule="exact"/>
        <w:rPr>
          <w:sz w:val="20"/>
          <w:szCs w:val="20"/>
          <w:color w:val="auto"/>
        </w:rPr>
      </w:pPr>
    </w:p>
    <w:p>
      <w:pPr>
        <w:ind w:left="760" w:hanging="320"/>
        <w:spacing w:after="0" w:line="262" w:lineRule="auto"/>
        <w:tabs>
          <w:tab w:leader="none" w:pos="679" w:val="left"/>
        </w:tabs>
        <w:numPr>
          <w:ilvl w:val="0"/>
          <w:numId w:val="154"/>
        </w:numPr>
        <w:rPr>
          <w:rFonts w:ascii="Times New Roman" w:cs="Times New Roman" w:eastAsia="Times New Roman" w:hAnsi="Times New Roman"/>
          <w:sz w:val="17"/>
          <w:szCs w:val="17"/>
          <w:color w:val="231F20"/>
        </w:rPr>
      </w:pPr>
      <w:r>
        <w:rPr>
          <w:rFonts w:ascii="Times New Roman" w:cs="Times New Roman" w:eastAsia="Times New Roman" w:hAnsi="Times New Roman"/>
          <w:sz w:val="21"/>
          <w:szCs w:val="21"/>
          <w:color w:val="231F20"/>
        </w:rPr>
        <w:t>with respect to the 2029 Sterling Notes, at any time prior to November 20, 2028 (three months prior to the maturity of the 2029 Sterling Notes)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2029 Sterling Notes are redeemed on or after the 2029 Par Call Date, the Redemption Price will equal 100% of the principal amount of such notes; and</w:t>
      </w:r>
    </w:p>
    <w:p>
      <w:pPr>
        <w:spacing w:after="0" w:line="196" w:lineRule="exact"/>
        <w:rPr>
          <w:rFonts w:ascii="Times New Roman" w:cs="Times New Roman" w:eastAsia="Times New Roman" w:hAnsi="Times New Roman"/>
          <w:sz w:val="17"/>
          <w:szCs w:val="17"/>
          <w:color w:val="231F20"/>
        </w:rPr>
      </w:pPr>
    </w:p>
    <w:p>
      <w:pPr>
        <w:ind w:left="760" w:hanging="320"/>
        <w:spacing w:after="0" w:line="263" w:lineRule="auto"/>
        <w:tabs>
          <w:tab w:leader="none" w:pos="679" w:val="left"/>
        </w:tabs>
        <w:numPr>
          <w:ilvl w:val="0"/>
          <w:numId w:val="154"/>
        </w:numPr>
        <w:rPr>
          <w:rFonts w:ascii="Times New Roman" w:cs="Times New Roman" w:eastAsia="Times New Roman" w:hAnsi="Times New Roman"/>
          <w:sz w:val="17"/>
          <w:szCs w:val="17"/>
          <w:color w:val="231F20"/>
        </w:rPr>
      </w:pPr>
      <w:r>
        <w:rPr>
          <w:rFonts w:ascii="Times New Roman" w:cs="Times New Roman" w:eastAsia="Times New Roman" w:hAnsi="Times New Roman"/>
          <w:sz w:val="21"/>
          <w:szCs w:val="21"/>
          <w:color w:val="231F20"/>
        </w:rPr>
        <w:t>with respect to the 2036 Sterling Notes, at any time prior to November 20, 2035 (three months prior to the maturity of the 2036 Sterling Notes) (the “2036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2036 Par Call Date, in each case discounted to the redemption date on an actual (ACTUAL/ACTUAL (ICMA)) basis at a rate equal to the applicable comparable government bond rate plus 15 basis points; provided that, if the 2036 Sterling Notes are redeemed on or after the 2036 Par Call Date, the Redemption Price will equal 100% of the principal amount of such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plus, in each case, accrued and unpaid interest thereon to the date of redemption.</w:t>
      </w:r>
    </w:p>
    <w:p>
      <w:pPr>
        <w:spacing w:after="0" w:line="24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231F20"/>
        </w:rPr>
        <w:t>The term “</w:t>
      </w:r>
      <w:r>
        <w:rPr>
          <w:rFonts w:ascii="Times New Roman" w:cs="Times New Roman" w:eastAsia="Times New Roman" w:hAnsi="Times New Roman"/>
          <w:sz w:val="22"/>
          <w:szCs w:val="22"/>
          <w:b w:val="1"/>
          <w:bCs w:val="1"/>
          <w:i w:val="1"/>
          <w:iCs w:val="1"/>
          <w:color w:val="231F20"/>
        </w:rPr>
        <w:t>comparable government bond</w:t>
      </w:r>
      <w:r>
        <w:rPr>
          <w:rFonts w:ascii="Times New Roman" w:cs="Times New Roman" w:eastAsia="Times New Roman" w:hAnsi="Times New Roman"/>
          <w:sz w:val="22"/>
          <w:szCs w:val="22"/>
          <w:color w:val="231F20"/>
        </w:rPr>
        <w:t>” means (i) with respect to the Euro Notes, in relation to any comparable government bond rate calculation, at the discretion of an independent investment banker selected by the Issuer,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 or market makers in, German government bonds selected by the Issuer, determine to be appropriate for determining the comparable government bond rate and (ii) with respect to the Sterling Notes, in relation to any comparable government bond rate calculation, at the discretion of an independent investment banker selected by the Issuer,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the Issuer, determine to be appropriate for determining the comparable government bond rate.</w:t>
      </w:r>
    </w:p>
    <w:p>
      <w:pPr>
        <w:sectPr>
          <w:pgSz w:w="11900" w:h="16838" w:orient="portrait"/>
          <w:cols w:equalWidth="0" w:num="1">
            <w:col w:w="11240"/>
          </w:cols>
          <w:pgMar w:left="320" w:top="1422" w:right="339" w:bottom="1440" w:gutter="0" w:footer="0" w:header="0"/>
        </w:sectPr>
      </w:pPr>
    </w:p>
    <w:bookmarkStart w:id="169" w:name="page170"/>
    <w:bookmarkEnd w:id="169"/>
    <w:p>
      <w:pPr>
        <w:jc w:val="both"/>
        <w:ind w:firstLine="648"/>
        <w:spacing w:after="0" w:line="274" w:lineRule="auto"/>
        <w:rPr>
          <w:sz w:val="20"/>
          <w:szCs w:val="20"/>
          <w:color w:val="auto"/>
        </w:rPr>
      </w:pPr>
      <w:r>
        <w:rPr>
          <w:rFonts w:ascii="Times New Roman" w:cs="Times New Roman" w:eastAsia="Times New Roman" w:hAnsi="Times New Roman"/>
          <w:sz w:val="21"/>
          <w:szCs w:val="21"/>
          <w:color w:val="231F20"/>
        </w:rPr>
        <w:t>The term “</w:t>
      </w:r>
      <w:r>
        <w:rPr>
          <w:rFonts w:ascii="Times New Roman" w:cs="Times New Roman" w:eastAsia="Times New Roman" w:hAnsi="Times New Roman"/>
          <w:sz w:val="21"/>
          <w:szCs w:val="21"/>
          <w:b w:val="1"/>
          <w:bCs w:val="1"/>
          <w:i w:val="1"/>
          <w:iCs w:val="1"/>
          <w:color w:val="231F20"/>
        </w:rPr>
        <w:t>comparable government bond rate</w:t>
      </w:r>
      <w:r>
        <w:rPr>
          <w:rFonts w:ascii="Times New Roman" w:cs="Times New Roman" w:eastAsia="Times New Roman" w:hAnsi="Times New Roman"/>
          <w:sz w:val="21"/>
          <w:szCs w:val="21"/>
          <w:color w:val="231F20"/>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231F20"/>
        </w:rPr>
        <w:t>The term “</w:t>
      </w:r>
      <w:r>
        <w:rPr>
          <w:rFonts w:ascii="Times New Roman" w:cs="Times New Roman" w:eastAsia="Times New Roman" w:hAnsi="Times New Roman"/>
          <w:sz w:val="21"/>
          <w:szCs w:val="21"/>
          <w:b w:val="1"/>
          <w:bCs w:val="1"/>
          <w:i w:val="1"/>
          <w:iCs w:val="1"/>
          <w:color w:val="231F20"/>
        </w:rPr>
        <w:t>independent investment banker</w:t>
      </w:r>
      <w:r>
        <w:rPr>
          <w:rFonts w:ascii="Times New Roman" w:cs="Times New Roman" w:eastAsia="Times New Roman" w:hAnsi="Times New Roman"/>
          <w:sz w:val="21"/>
          <w:szCs w:val="21"/>
          <w:color w:val="231F20"/>
        </w:rPr>
        <w:t>” means each of BNP Paribas, Citigroup Global Markets Limited and J.P. Morgan Securities plc (or their respective successors), with respect to the 2027 Euro Notes, the 2032 Euro Notes, the 2040 Euro Notes and the Sterling Notes, and Barclays Bank PLC and Deutsche Bank AG, London Branch (or their respective successors), with respect to the 2026 Euro Notes and the 2029 Euro Notes, or if each such firm is unwilling or unable to select the comparable government bond, an independent investment banking institution of international standing appointed by the Issuer.</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231F20"/>
        </w:rPr>
        <w:t>On and after the redemption date, interest will cease to accrue on the Notes or any portion of the Notes called for redemption (unless the Issuer defaults in the payment of the Redemption Price and accrued interest). On or before the redemption date, the Issuer will deposit with the Trustee or the paying agent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lottery provided that notes represented by a Global Note will be selected for redemption by the applicable depositary in accordance with its standard procedures therefor). Additionally, the Issuer may at any time repurchase Notes in the open market and may hold or surrender such Notes to the Trustee for cancellation.</w:t>
      </w:r>
    </w:p>
    <w:p>
      <w:pPr>
        <w:spacing w:after="0" w:line="20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231F20"/>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Payment of Additional Amounts</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231F20"/>
        </w:rPr>
        <w:t>The Issuer will, subject to the exceptions and limitations set forth below, pay as additional interest in respect of the Notes such additional amounts as are necessary in order that the net payment by the Issuer or its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208" w:lineRule="exact"/>
        <w:rPr>
          <w:sz w:val="20"/>
          <w:szCs w:val="20"/>
          <w:color w:val="auto"/>
        </w:rPr>
      </w:pPr>
    </w:p>
    <w:p>
      <w:pPr>
        <w:ind w:left="760" w:hanging="320"/>
        <w:spacing w:after="0" w:line="271" w:lineRule="auto"/>
        <w:tabs>
          <w:tab w:leader="none" w:pos="1056" w:val="left"/>
        </w:tabs>
        <w:numPr>
          <w:ilvl w:val="0"/>
          <w:numId w:val="15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that is imposed by reason of the holder (or the beneficial owner for whose benefit such holder holds such Note), or</w:t>
      </w:r>
    </w:p>
    <w:p>
      <w:pPr>
        <w:sectPr>
          <w:pgSz w:w="11900" w:h="16838" w:orient="portrait"/>
          <w:cols w:equalWidth="0" w:num="1">
            <w:col w:w="11240"/>
          </w:cols>
          <w:pgMar w:left="320" w:top="1416" w:right="339" w:bottom="1440" w:gutter="0" w:footer="0" w:header="0"/>
        </w:sectPr>
      </w:pPr>
    </w:p>
    <w:bookmarkStart w:id="170" w:name="page171"/>
    <w:bookmarkEnd w:id="170"/>
    <w:p>
      <w:pPr>
        <w:jc w:val="both"/>
        <w:ind w:left="320"/>
        <w:spacing w:after="0" w:line="257" w:lineRule="auto"/>
        <w:rPr>
          <w:sz w:val="20"/>
          <w:szCs w:val="20"/>
          <w:color w:val="auto"/>
        </w:rPr>
      </w:pPr>
      <w:r>
        <w:rPr>
          <w:rFonts w:ascii="Times New Roman" w:cs="Times New Roman" w:eastAsia="Times New Roman" w:hAnsi="Times New Roman"/>
          <w:sz w:val="22"/>
          <w:szCs w:val="22"/>
          <w:color w:val="231F20"/>
        </w:rPr>
        <w:t>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213" w:lineRule="exact"/>
        <w:rPr>
          <w:sz w:val="20"/>
          <w:szCs w:val="20"/>
          <w:color w:val="auto"/>
        </w:rPr>
      </w:pPr>
    </w:p>
    <w:p>
      <w:pPr>
        <w:ind w:left="760" w:hanging="364"/>
        <w:spacing w:after="0" w:line="271" w:lineRule="auto"/>
        <w:tabs>
          <w:tab w:leader="none" w:pos="748" w:val="left"/>
        </w:tabs>
        <w:numPr>
          <w:ilvl w:val="1"/>
          <w:numId w:val="15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or having been engaged in a trade or business in the United States or having or having had a permanent establishment in the United States;</w:t>
      </w:r>
    </w:p>
    <w:p>
      <w:pPr>
        <w:spacing w:after="0" w:line="184" w:lineRule="exact"/>
        <w:rPr>
          <w:rFonts w:ascii="Times New Roman" w:cs="Times New Roman" w:eastAsia="Times New Roman" w:hAnsi="Times New Roman"/>
          <w:sz w:val="22"/>
          <w:szCs w:val="22"/>
          <w:color w:val="231F20"/>
        </w:rPr>
      </w:pPr>
    </w:p>
    <w:p>
      <w:pPr>
        <w:jc w:val="both"/>
        <w:ind w:left="760" w:hanging="364"/>
        <w:spacing w:after="0" w:line="257" w:lineRule="auto"/>
        <w:tabs>
          <w:tab w:leader="none" w:pos="760" w:val="left"/>
        </w:tabs>
        <w:numPr>
          <w:ilvl w:val="1"/>
          <w:numId w:val="15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213" w:lineRule="exact"/>
        <w:rPr>
          <w:rFonts w:ascii="Times New Roman" w:cs="Times New Roman" w:eastAsia="Times New Roman" w:hAnsi="Times New Roman"/>
          <w:sz w:val="22"/>
          <w:szCs w:val="22"/>
          <w:color w:val="231F20"/>
        </w:rPr>
      </w:pPr>
    </w:p>
    <w:p>
      <w:pPr>
        <w:jc w:val="both"/>
        <w:ind w:left="760" w:hanging="364"/>
        <w:spacing w:after="0" w:line="257" w:lineRule="auto"/>
        <w:tabs>
          <w:tab w:leader="none" w:pos="748" w:val="left"/>
        </w:tabs>
        <w:numPr>
          <w:ilvl w:val="1"/>
          <w:numId w:val="15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99" w:lineRule="exact"/>
        <w:rPr>
          <w:rFonts w:ascii="Times New Roman" w:cs="Times New Roman" w:eastAsia="Times New Roman" w:hAnsi="Times New Roman"/>
          <w:sz w:val="22"/>
          <w:szCs w:val="22"/>
          <w:color w:val="231F20"/>
        </w:rPr>
      </w:pPr>
    </w:p>
    <w:p>
      <w:pPr>
        <w:ind w:left="760" w:hanging="364"/>
        <w:spacing w:after="0"/>
        <w:tabs>
          <w:tab w:leader="none" w:pos="760" w:val="left"/>
        </w:tabs>
        <w:numPr>
          <w:ilvl w:val="1"/>
          <w:numId w:val="156"/>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being or having been a “10-percent shareholder” of the Issuer or applicable Guarantor as defined in section 871(h)</w:t>
      </w:r>
    </w:p>
    <w:p>
      <w:pPr>
        <w:spacing w:after="0" w:line="39" w:lineRule="exact"/>
        <w:rPr>
          <w:rFonts w:ascii="Times New Roman" w:cs="Times New Roman" w:eastAsia="Times New Roman" w:hAnsi="Times New Roman"/>
          <w:sz w:val="21"/>
          <w:szCs w:val="21"/>
          <w:color w:val="231F20"/>
        </w:rPr>
      </w:pPr>
    </w:p>
    <w:p>
      <w:pPr>
        <w:ind w:left="760"/>
        <w:spacing w:after="0"/>
        <w:rPr>
          <w:rFonts w:ascii="Times New Roman" w:cs="Times New Roman" w:eastAsia="Times New Roman" w:hAnsi="Times New Roman"/>
          <w:sz w:val="21"/>
          <w:szCs w:val="21"/>
          <w:color w:val="231F20"/>
        </w:rPr>
      </w:pPr>
      <w:r>
        <w:rPr>
          <w:rFonts w:ascii="Times New Roman" w:cs="Times New Roman" w:eastAsia="Times New Roman" w:hAnsi="Times New Roman"/>
          <w:sz w:val="22"/>
          <w:szCs w:val="22"/>
          <w:color w:val="231F20"/>
        </w:rPr>
        <w:t>(3) of the U.S. Internal Revenue Code of 1986, as amended (the “Code”), or any successor provision; or</w:t>
      </w:r>
    </w:p>
    <w:p>
      <w:pPr>
        <w:spacing w:after="0" w:line="222" w:lineRule="exact"/>
        <w:rPr>
          <w:rFonts w:ascii="Times New Roman" w:cs="Times New Roman" w:eastAsia="Times New Roman" w:hAnsi="Times New Roman"/>
          <w:sz w:val="21"/>
          <w:szCs w:val="21"/>
          <w:color w:val="231F20"/>
        </w:rPr>
      </w:pPr>
    </w:p>
    <w:p>
      <w:pPr>
        <w:ind w:left="760" w:hanging="364"/>
        <w:spacing w:after="0" w:line="284" w:lineRule="auto"/>
        <w:tabs>
          <w:tab w:leader="none" w:pos="748" w:val="left"/>
        </w:tabs>
        <w:numPr>
          <w:ilvl w:val="1"/>
          <w:numId w:val="15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a bank receiving payments on an extension of credit made pursuant to a loan agreement entered into in the ordinary course of its trade or business, as described in Section 881(c)(3) of the Code or any successor provision;</w:t>
      </w:r>
    </w:p>
    <w:p>
      <w:pPr>
        <w:spacing w:after="0" w:line="170" w:lineRule="exact"/>
        <w:rPr>
          <w:rFonts w:ascii="Times New Roman" w:cs="Times New Roman" w:eastAsia="Times New Roman" w:hAnsi="Times New Roman"/>
          <w:sz w:val="22"/>
          <w:szCs w:val="22"/>
          <w:color w:val="231F20"/>
        </w:rPr>
      </w:pPr>
    </w:p>
    <w:p>
      <w:pPr>
        <w:jc w:val="both"/>
        <w:ind w:left="320" w:hanging="320"/>
        <w:spacing w:after="0" w:line="251" w:lineRule="auto"/>
        <w:tabs>
          <w:tab w:leader="none" w:pos="588" w:val="left"/>
        </w:tabs>
        <w:numPr>
          <w:ilvl w:val="0"/>
          <w:numId w:val="15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208" w:lineRule="exact"/>
        <w:rPr>
          <w:rFonts w:ascii="Times New Roman" w:cs="Times New Roman" w:eastAsia="Times New Roman" w:hAnsi="Times New Roman"/>
          <w:sz w:val="22"/>
          <w:szCs w:val="22"/>
          <w:color w:val="231F20"/>
        </w:rPr>
      </w:pPr>
    </w:p>
    <w:p>
      <w:pPr>
        <w:jc w:val="both"/>
        <w:ind w:left="320" w:hanging="320"/>
        <w:spacing w:after="0" w:line="249" w:lineRule="auto"/>
        <w:tabs>
          <w:tab w:leader="none" w:pos="489" w:val="left"/>
        </w:tabs>
        <w:numPr>
          <w:ilvl w:val="0"/>
          <w:numId w:val="15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1" w:lineRule="exact"/>
        <w:rPr>
          <w:rFonts w:ascii="Times New Roman" w:cs="Times New Roman" w:eastAsia="Times New Roman" w:hAnsi="Times New Roman"/>
          <w:sz w:val="22"/>
          <w:szCs w:val="22"/>
          <w:color w:val="231F20"/>
        </w:rPr>
      </w:pPr>
    </w:p>
    <w:p>
      <w:pPr>
        <w:ind w:left="320" w:hanging="320"/>
        <w:spacing w:after="0" w:line="248" w:lineRule="auto"/>
        <w:tabs>
          <w:tab w:leader="none" w:pos="483" w:val="left"/>
        </w:tabs>
        <w:numPr>
          <w:ilvl w:val="0"/>
          <w:numId w:val="15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is imposed otherwise than by withholding by the Issuer or an applicable withholding agent from the payment;</w:t>
      </w:r>
    </w:p>
    <w:p>
      <w:pPr>
        <w:sectPr>
          <w:pgSz w:w="11900" w:h="16838" w:orient="portrait"/>
          <w:cols w:equalWidth="0" w:num="1">
            <w:col w:w="10800"/>
          </w:cols>
          <w:pgMar w:left="760" w:top="1422" w:right="339" w:bottom="1440" w:gutter="0" w:footer="0" w:header="0"/>
        </w:sectPr>
      </w:pPr>
    </w:p>
    <w:bookmarkStart w:id="171" w:name="page172"/>
    <w:bookmarkEnd w:id="171"/>
    <w:p>
      <w:pPr>
        <w:spacing w:after="0" w:line="225" w:lineRule="exact"/>
        <w:rPr>
          <w:sz w:val="20"/>
          <w:szCs w:val="20"/>
          <w:color w:val="auto"/>
        </w:rPr>
      </w:pPr>
    </w:p>
    <w:p>
      <w:pPr>
        <w:jc w:val="both"/>
        <w:ind w:left="760" w:hanging="320"/>
        <w:spacing w:after="0" w:line="257" w:lineRule="auto"/>
        <w:tabs>
          <w:tab w:leader="none" w:pos="1028" w:val="left"/>
        </w:tabs>
        <w:numPr>
          <w:ilvl w:val="0"/>
          <w:numId w:val="15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213" w:lineRule="exact"/>
        <w:rPr>
          <w:rFonts w:ascii="Times New Roman" w:cs="Times New Roman" w:eastAsia="Times New Roman" w:hAnsi="Times New Roman"/>
          <w:sz w:val="22"/>
          <w:szCs w:val="22"/>
          <w:color w:val="231F20"/>
        </w:rPr>
      </w:pPr>
    </w:p>
    <w:p>
      <w:pPr>
        <w:ind w:left="760" w:hanging="320"/>
        <w:spacing w:after="0" w:line="271" w:lineRule="auto"/>
        <w:tabs>
          <w:tab w:leader="none" w:pos="1014" w:val="left"/>
        </w:tabs>
        <w:numPr>
          <w:ilvl w:val="0"/>
          <w:numId w:val="15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estate, inheritance, gift, sales, excise, transfer, wealth, capital gains or personal property tax or similar tax, assessment or other governmental charge or excise tax imposed on the transfer of Notes;</w:t>
      </w:r>
    </w:p>
    <w:p>
      <w:pPr>
        <w:spacing w:after="0" w:line="184" w:lineRule="exact"/>
        <w:rPr>
          <w:rFonts w:ascii="Times New Roman" w:cs="Times New Roman" w:eastAsia="Times New Roman" w:hAnsi="Times New Roman"/>
          <w:sz w:val="22"/>
          <w:szCs w:val="22"/>
          <w:color w:val="231F20"/>
        </w:rPr>
      </w:pPr>
    </w:p>
    <w:p>
      <w:pPr>
        <w:jc w:val="both"/>
        <w:ind w:left="760" w:hanging="320"/>
        <w:spacing w:after="0" w:line="257" w:lineRule="auto"/>
        <w:tabs>
          <w:tab w:leader="none" w:pos="916" w:val="left"/>
        </w:tabs>
        <w:numPr>
          <w:ilvl w:val="0"/>
          <w:numId w:val="15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13" w:lineRule="exact"/>
        <w:rPr>
          <w:rFonts w:ascii="Times New Roman" w:cs="Times New Roman" w:eastAsia="Times New Roman" w:hAnsi="Times New Roman"/>
          <w:sz w:val="22"/>
          <w:szCs w:val="22"/>
          <w:color w:val="231F20"/>
        </w:rPr>
      </w:pPr>
    </w:p>
    <w:p>
      <w:pPr>
        <w:jc w:val="both"/>
        <w:ind w:left="760" w:hanging="320"/>
        <w:spacing w:after="0" w:line="252" w:lineRule="auto"/>
        <w:tabs>
          <w:tab w:leader="none" w:pos="1076" w:val="left"/>
        </w:tabs>
        <w:numPr>
          <w:ilvl w:val="0"/>
          <w:numId w:val="15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206" w:lineRule="exact"/>
        <w:rPr>
          <w:rFonts w:ascii="Times New Roman" w:cs="Times New Roman" w:eastAsia="Times New Roman" w:hAnsi="Times New Roman"/>
          <w:sz w:val="22"/>
          <w:szCs w:val="22"/>
          <w:color w:val="231F20"/>
        </w:rPr>
      </w:pPr>
    </w:p>
    <w:p>
      <w:pPr>
        <w:jc w:val="both"/>
        <w:ind w:left="760" w:hanging="320"/>
        <w:spacing w:after="0" w:line="256" w:lineRule="auto"/>
        <w:tabs>
          <w:tab w:leader="none" w:pos="992" w:val="left"/>
        </w:tabs>
        <w:numPr>
          <w:ilvl w:val="0"/>
          <w:numId w:val="15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203" w:lineRule="exact"/>
        <w:rPr>
          <w:rFonts w:ascii="Times New Roman" w:cs="Times New Roman" w:eastAsia="Times New Roman" w:hAnsi="Times New Roman"/>
          <w:sz w:val="22"/>
          <w:szCs w:val="22"/>
          <w:color w:val="231F20"/>
        </w:rPr>
      </w:pPr>
    </w:p>
    <w:p>
      <w:pPr>
        <w:jc w:val="both"/>
        <w:ind w:left="760" w:hanging="320"/>
        <w:spacing w:after="0" w:line="253" w:lineRule="auto"/>
        <w:tabs>
          <w:tab w:leader="none" w:pos="1039" w:val="left"/>
        </w:tabs>
        <w:numPr>
          <w:ilvl w:val="0"/>
          <w:numId w:val="15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205" w:lineRule="exact"/>
        <w:rPr>
          <w:rFonts w:ascii="Times New Roman" w:cs="Times New Roman" w:eastAsia="Times New Roman" w:hAnsi="Times New Roman"/>
          <w:sz w:val="22"/>
          <w:szCs w:val="22"/>
          <w:color w:val="231F20"/>
        </w:rPr>
      </w:pPr>
    </w:p>
    <w:p>
      <w:pPr>
        <w:ind w:left="1000" w:hanging="560"/>
        <w:spacing w:after="0"/>
        <w:tabs>
          <w:tab w:leader="none" w:pos="1000" w:val="left"/>
        </w:tabs>
        <w:numPr>
          <w:ilvl w:val="0"/>
          <w:numId w:val="15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in the case of any combination of items (1) through (10) above.</w:t>
      </w:r>
    </w:p>
    <w:p>
      <w:pPr>
        <w:spacing w:after="0" w:line="24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231F20"/>
        </w:rPr>
        <w:t>If the Issuer is required to pay additional amounts with respect to the Notes, the Issuer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231F20"/>
        </w:rPr>
        <w:t>The Notes are also subject to redemption prior to maturity if certain events occur involving U.S. taxation. If any of these special tax events occur, the Notes may be redeemed at a</w:t>
      </w:r>
    </w:p>
    <w:p>
      <w:pPr>
        <w:sectPr>
          <w:pgSz w:w="11900" w:h="16838" w:orient="portrait"/>
          <w:cols w:equalWidth="0" w:num="1">
            <w:col w:w="11240"/>
          </w:cols>
          <w:pgMar w:left="320" w:top="1440" w:right="339" w:bottom="1440" w:gutter="0" w:footer="0" w:header="0"/>
        </w:sectPr>
      </w:pPr>
    </w:p>
    <w:bookmarkStart w:id="172" w:name="page173"/>
    <w:bookmarkEnd w:id="172"/>
    <w:p>
      <w:pPr>
        <w:jc w:val="both"/>
        <w:spacing w:after="0" w:line="271" w:lineRule="auto"/>
        <w:rPr>
          <w:sz w:val="20"/>
          <w:szCs w:val="20"/>
          <w:color w:val="auto"/>
        </w:rPr>
      </w:pPr>
      <w:r>
        <w:rPr>
          <w:rFonts w:ascii="Times New Roman" w:cs="Times New Roman" w:eastAsia="Times New Roman" w:hAnsi="Times New Roman"/>
          <w:sz w:val="22"/>
          <w:szCs w:val="22"/>
          <w:color w:val="231F20"/>
        </w:rPr>
        <w:t>redemption price of 100% of their principal amount plus accrued and unpaid interest to the date fixed for redemption. See “— Redemption for Tax Reasons.”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231F20"/>
        </w:rPr>
        <w:t>The Notes are subject in all cases to any tax, fiscal or other law or regulation or administrative or judicial interpretation applicable to the Notes. Except as specifically provided under this heading “—Payment of Additional Amounts,” the Issuer will not be required to make any payment for any tax, assessment or other governmental charge imposed by any government or a political subdivision or taxing authority of or in any government or political subdivision.</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231F20"/>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Redemption for Tax Reasons</w:t>
      </w:r>
    </w:p>
    <w:p>
      <w:pPr>
        <w:spacing w:after="0" w:line="25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231F20"/>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the prospectus supplement applicable to the Notes, the Issuer becomes or, based upon a written opinion of independent counsel selected by the Issuer, will become obligated to pay additional amounts as described under the heading “—Payment of Additional Amounts” with respect to the Notes, then the Issuer may at any time at its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No Mandatory Redemption or Sinking Fund</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There is no mandatory redemption prior to maturity nor are there any sinking fund payments for the Notes.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Additional Debt</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The Indenture does not limit the amount of debt the Issuer may issue under the Indenture or otherwise.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51"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The Issuer and the Guarantors have agreed to some restrictions on their activities for the benefit of holders of all series of the Notes issued under the Indenture. The restrictive covenants</w:t>
      </w:r>
    </w:p>
    <w:p>
      <w:pPr>
        <w:sectPr>
          <w:pgSz w:w="11900" w:h="16838" w:orient="portrait"/>
          <w:cols w:equalWidth="0" w:num="1">
            <w:col w:w="11240"/>
          </w:cols>
          <w:pgMar w:left="320" w:top="1422"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color w:val="auto"/>
        </w:rPr>
        <w:t>summarized below apply, unless the covenants are waived or amended, so long as any of the Notes are outstanding.</w:t>
      </w:r>
    </w:p>
    <w:p>
      <w:pPr>
        <w:spacing w:after="0" w:line="247"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22"/>
          <w:szCs w:val="22"/>
          <w:color w:val="auto"/>
        </w:rPr>
        <w:t>The Indenture does not contain any financial covenants other than those summarized below and does not restrict the Issuer or the Issuer’s subsidiaries from paying dividends or incurring additional debt. In addition, the Indenture does not protect holders of Notes issued under it in the event of a highly leveraged transaction or a change in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Liens Securing Indebtedness</w:t>
      </w:r>
    </w:p>
    <w:p>
      <w:pPr>
        <w:spacing w:after="0" w:line="25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With respect to the Notes of each series, each Obligor has covenanted under the Indenture not to create or incur any Lien on any of its Properties, whether owned at the time the Indenture is executed or acquired afterward, in order to secure any of its Indebtedness, without effectively providing that the Notes of such series shall be equally and ratably secured until such time as such Indebtedness is no longer secured by such Lien, except:</w:t>
      </w:r>
    </w:p>
    <w:p>
      <w:pPr>
        <w:spacing w:after="0" w:line="203" w:lineRule="exact"/>
        <w:rPr>
          <w:sz w:val="20"/>
          <w:szCs w:val="20"/>
          <w:color w:val="auto"/>
        </w:rPr>
      </w:pPr>
    </w:p>
    <w:p>
      <w:pPr>
        <w:ind w:left="780" w:hanging="448"/>
        <w:spacing w:after="0"/>
        <w:tabs>
          <w:tab w:leader="none" w:pos="7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as of the date of initial issuance of the Notes of such series;</w:t>
      </w:r>
    </w:p>
    <w:p>
      <w:pPr>
        <w:spacing w:after="0" w:line="246" w:lineRule="exact"/>
        <w:rPr>
          <w:rFonts w:ascii="Times New Roman" w:cs="Times New Roman" w:eastAsia="Times New Roman" w:hAnsi="Times New Roman"/>
          <w:sz w:val="22"/>
          <w:szCs w:val="22"/>
          <w:color w:val="auto"/>
        </w:rPr>
      </w:pPr>
    </w:p>
    <w:p>
      <w:pPr>
        <w:ind w:left="660" w:right="300" w:hanging="328"/>
        <w:spacing w:after="0" w:line="271" w:lineRule="auto"/>
        <w:tabs>
          <w:tab w:leader="none" w:pos="80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after the date of initial issuance of the Notes of such series, created in favor of the registered holders of the Notes of such series;</w:t>
      </w:r>
    </w:p>
    <w:p>
      <w:pPr>
        <w:spacing w:after="0" w:line="198" w:lineRule="exact"/>
        <w:rPr>
          <w:rFonts w:ascii="Times New Roman" w:cs="Times New Roman" w:eastAsia="Times New Roman" w:hAnsi="Times New Roman"/>
          <w:sz w:val="22"/>
          <w:szCs w:val="22"/>
          <w:color w:val="auto"/>
        </w:rPr>
      </w:pPr>
    </w:p>
    <w:p>
      <w:pPr>
        <w:ind w:left="660" w:hanging="328"/>
        <w:spacing w:after="0" w:line="253" w:lineRule="auto"/>
        <w:tabs>
          <w:tab w:leader="none" w:pos="79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205"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60"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restrictions above, any Obligor may, without securing the Notes of any series, create or incur Liens which would otherwise be subject to the restrictions set forth above, if after giving effect to those Liens, the Obligor’s Aggregate Debt together with the Aggregate Debt of each other Obligor does not exceed the greater of (i) 15% of the Issuer’s Consolidated Net Worth calculated as of the date of the creation or incurrence of the Lien and (ii) 15% of the Issuer’s Consolidated Net Worth calculated as of the date of initial issuance of the Notes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Sale and Lease-Back Transactions</w:t>
      </w:r>
    </w:p>
    <w:p>
      <w:pPr>
        <w:sectPr>
          <w:pgSz w:w="11900" w:h="16838" w:orient="portrait"/>
          <w:cols w:equalWidth="0" w:num="1">
            <w:col w:w="11220"/>
          </w:cols>
          <w:pgMar w:left="320" w:top="1422" w:right="359" w:bottom="1440" w:gutter="0" w:footer="0" w:header="0"/>
        </w:sectPr>
      </w:pPr>
    </w:p>
    <w:bookmarkStart w:id="174" w:name="page175"/>
    <w:bookmarkEnd w:id="174"/>
    <w:p>
      <w:pPr>
        <w:spacing w:after="0" w:line="225"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With respect to the Notes of each series, each Obligor has covenanted under the Indenture not to enter into any sale and lease-back transaction for the sale and leasing back of any Property, whether owned at the time the Indenture is executed or acquired afterward, unless:</w:t>
      </w:r>
    </w:p>
    <w:p>
      <w:pPr>
        <w:spacing w:after="0" w:line="227" w:lineRule="exact"/>
        <w:rPr>
          <w:sz w:val="20"/>
          <w:szCs w:val="20"/>
          <w:color w:val="auto"/>
        </w:rPr>
      </w:pPr>
    </w:p>
    <w:p>
      <w:pPr>
        <w:ind w:left="620" w:hanging="288"/>
        <w:spacing w:after="0"/>
        <w:tabs>
          <w:tab w:leader="none" w:pos="6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was entered into prior to the date of the initial issuance of the Notes of such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was for the sale and leasing back to such Obligor of any Property by one of its Subsidiaries;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involves a lease for less than three years;</w:t>
      </w:r>
    </w:p>
    <w:p>
      <w:pPr>
        <w:spacing w:after="0" w:line="246" w:lineRule="exact"/>
        <w:rPr>
          <w:rFonts w:ascii="Times New Roman" w:cs="Times New Roman" w:eastAsia="Times New Roman" w:hAnsi="Times New Roman"/>
          <w:sz w:val="22"/>
          <w:szCs w:val="22"/>
          <w:color w:val="auto"/>
        </w:rPr>
      </w:pPr>
    </w:p>
    <w:p>
      <w:pPr>
        <w:ind w:left="660" w:right="180" w:hanging="328"/>
        <w:spacing w:after="0" w:line="275" w:lineRule="auto"/>
        <w:tabs>
          <w:tab w:leader="none" w:pos="628"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Obligor would be entitled to incur Indebtedness secured by a mortgage on the Property to be leased in an amount equal to the Attributable Liens with respect to such sale and lease-back transaction without equally and ratably securing the Notes of such series pursuant to the first paragraph of “—Limitation on Liens Securing Indebtedness” above; or</w:t>
      </w:r>
    </w:p>
    <w:p>
      <w:pPr>
        <w:spacing w:after="0" w:line="195" w:lineRule="exact"/>
        <w:rPr>
          <w:rFonts w:ascii="Times New Roman" w:cs="Times New Roman" w:eastAsia="Times New Roman" w:hAnsi="Times New Roman"/>
          <w:sz w:val="21"/>
          <w:szCs w:val="21"/>
          <w:color w:val="auto"/>
        </w:rPr>
      </w:pPr>
    </w:p>
    <w:p>
      <w:pPr>
        <w:ind w:left="660" w:hanging="328"/>
        <w:spacing w:after="0" w:line="256" w:lineRule="auto"/>
        <w:tabs>
          <w:tab w:leader="none" w:pos="62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the Notes to the Trustee therefor for cancellation, such Notes to be credited at the cost thereof to the Obligor.</w:t>
      </w:r>
    </w:p>
    <w:p>
      <w:pPr>
        <w:spacing w:after="0" w:line="203"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2"/>
          <w:szCs w:val="22"/>
          <w:color w:val="auto"/>
        </w:rPr>
        <w:t>Notwithstanding the previous paragraph (including the bulleted list), any Obligor may enter into any sale and lease-back transaction which would otherwise be subject to the foregoing restrictions with respect to the Notes of any series if after giving effect thereto and at the time of determination, its Aggregate Debt together with the Aggregate Debt of all other Obligors does not exceed the greater of (i) 15% of the Issuer’s Consolidated Net Worth calculated as of the closing date of the sale and lease-back transaction and (ii) 15% of the Issuer’s Consolidated Net Worth calculated as of the date of initial issuance of the Notes of such series.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Debt</w:t>
      </w:r>
      <w:r>
        <w:rPr>
          <w:rFonts w:ascii="Times New Roman" w:cs="Times New Roman" w:eastAsia="Times New Roman" w:hAnsi="Times New Roman"/>
          <w:sz w:val="22"/>
          <w:szCs w:val="22"/>
          <w:color w:val="auto"/>
        </w:rPr>
        <w:t>” means, with respect to an Obligor, the sum of the following as of the date of determination:</w:t>
      </w:r>
    </w:p>
    <w:p>
      <w:pPr>
        <w:spacing w:after="0" w:line="264" w:lineRule="exact"/>
        <w:rPr>
          <w:sz w:val="20"/>
          <w:szCs w:val="20"/>
          <w:color w:val="auto"/>
        </w:rPr>
      </w:pPr>
    </w:p>
    <w:p>
      <w:pPr>
        <w:ind w:right="160" w:firstLine="656"/>
        <w:spacing w:after="0" w:line="257" w:lineRule="auto"/>
        <w:tabs>
          <w:tab w:leader="none" w:pos="95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such Obligor’s Indebtedness incurred after the date of initial issuance of the Notes and secured by Liens not permitted by the first paragraph (including the bulleted list) under “—Limitation on Liens Securing Indebtedness” above; and</w:t>
      </w:r>
    </w:p>
    <w:p>
      <w:pPr>
        <w:spacing w:after="0" w:line="199" w:lineRule="exact"/>
        <w:rPr>
          <w:rFonts w:ascii="Times New Roman" w:cs="Times New Roman" w:eastAsia="Times New Roman" w:hAnsi="Times New Roman"/>
          <w:sz w:val="22"/>
          <w:szCs w:val="22"/>
          <w:color w:val="auto"/>
        </w:rPr>
      </w:pPr>
    </w:p>
    <w:p>
      <w:pPr>
        <w:ind w:right="20" w:firstLine="656"/>
        <w:spacing w:after="0" w:line="271" w:lineRule="auto"/>
        <w:tabs>
          <w:tab w:leader="none" w:pos="95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Obligor’s Attributable Liens in respect of sale and lease-back transactions entered into after the date of the initial issuance of the Notes pursuant to the last paragraph under “—Limitation on Sale and Lease-Back Transactions” above.</w:t>
      </w:r>
    </w:p>
    <w:p>
      <w:pPr>
        <w:sectPr>
          <w:pgSz w:w="11900" w:h="16838" w:orient="portrait"/>
          <w:cols w:equalWidth="0" w:num="1">
            <w:col w:w="11180"/>
          </w:cols>
          <w:pgMar w:left="320" w:top="1440" w:right="399" w:bottom="1440" w:gutter="0" w:footer="0" w:header="0"/>
        </w:sectPr>
      </w:pPr>
    </w:p>
    <w:bookmarkStart w:id="175" w:name="page176"/>
    <w:bookmarkEnd w:id="17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Attributable Liens</w:t>
      </w:r>
      <w:r>
        <w:rPr>
          <w:rFonts w:ascii="Times New Roman" w:cs="Times New Roman" w:eastAsia="Times New Roman" w:hAnsi="Times New Roman"/>
          <w:sz w:val="22"/>
          <w:szCs w:val="22"/>
          <w:color w:val="auto"/>
        </w:rPr>
        <w:t>” means in connection with a sale and lease-back transaction of an Obligor the lesser of:</w:t>
      </w:r>
    </w:p>
    <w:p>
      <w:pPr>
        <w:spacing w:after="0" w:line="251" w:lineRule="exact"/>
        <w:rPr>
          <w:sz w:val="20"/>
          <w:szCs w:val="20"/>
          <w:color w:val="auto"/>
        </w:rPr>
      </w:pPr>
    </w:p>
    <w:p>
      <w:pPr>
        <w:ind w:right="60" w:firstLine="656"/>
        <w:spacing w:after="0" w:line="271" w:lineRule="auto"/>
        <w:tabs>
          <w:tab w:leader="none" w:pos="95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assets subject to such transaction (as determined in good faith by the board of directors (in the case of the Issuer) or the equivalent governing body (in the case of any Guarantor)); and</w:t>
      </w:r>
    </w:p>
    <w:p>
      <w:pPr>
        <w:spacing w:after="0" w:line="198" w:lineRule="exact"/>
        <w:rPr>
          <w:rFonts w:ascii="Times New Roman" w:cs="Times New Roman" w:eastAsia="Times New Roman" w:hAnsi="Times New Roman"/>
          <w:sz w:val="22"/>
          <w:szCs w:val="22"/>
          <w:color w:val="auto"/>
        </w:rPr>
      </w:pPr>
    </w:p>
    <w:p>
      <w:pPr>
        <w:jc w:val="both"/>
        <w:ind w:right="160" w:firstLine="656"/>
        <w:spacing w:after="0" w:line="257" w:lineRule="auto"/>
        <w:tabs>
          <w:tab w:leader="none" w:pos="95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(discounted at a rate per annum equal to the average interest borne by all outstanding Notes of each series issued under the Indenture determined on a weighted average basis and compounded semi-annually) of the obligations of the lessee for rental payments during the term of the related lease.</w:t>
      </w:r>
    </w:p>
    <w:p>
      <w:pPr>
        <w:spacing w:after="0" w:line="19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Lease</w:t>
      </w:r>
      <w:r>
        <w:rPr>
          <w:rFonts w:ascii="Times New Roman" w:cs="Times New Roman" w:eastAsia="Times New Roman" w:hAnsi="Times New Roman"/>
          <w:sz w:val="22"/>
          <w:szCs w:val="22"/>
          <w:color w:val="auto"/>
        </w:rPr>
        <w:t>” means any Indebtedness represented by a lease obligation of a Person incurred with respect to real property or equipment acquired or leased by such Person and used in its business that would be required to be recorded as a capital lease in accordance with GAAP as in effect as of the date of the Indenture, whether entered into before or after the date of the Indenture.</w:t>
      </w:r>
    </w:p>
    <w:p>
      <w:pPr>
        <w:spacing w:after="0" w:line="195"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Net Worth</w:t>
      </w:r>
      <w:r>
        <w:rPr>
          <w:rFonts w:ascii="Times New Roman" w:cs="Times New Roman" w:eastAsia="Times New Roman" w:hAnsi="Times New Roman"/>
          <w:sz w:val="22"/>
          <w:szCs w:val="22"/>
          <w:color w:val="auto"/>
        </w:rPr>
        <w:t>” of any Person means, as of any date of determination, the stockholders’ equity or members’ capital of such Person as reflected on the most recent consolidated balance sheet of such Person and prepared in accordance with GAAP.</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Hedging Obligations</w:t>
      </w:r>
      <w:r>
        <w:rPr>
          <w:rFonts w:ascii="Times New Roman" w:cs="Times New Roman" w:eastAsia="Times New Roman" w:hAnsi="Times New Roman"/>
          <w:sz w:val="22"/>
          <w:szCs w:val="22"/>
          <w:color w:val="auto"/>
        </w:rPr>
        <w:t>” means, with respect to any specified Person, the obligations of such Person under:</w:t>
      </w:r>
    </w:p>
    <w:p>
      <w:pPr>
        <w:spacing w:after="0" w:line="264" w:lineRule="exact"/>
        <w:rPr>
          <w:sz w:val="20"/>
          <w:szCs w:val="20"/>
          <w:color w:val="auto"/>
        </w:rPr>
      </w:pPr>
    </w:p>
    <w:p>
      <w:pPr>
        <w:ind w:right="180" w:firstLine="656"/>
        <w:spacing w:after="0" w:line="271" w:lineRule="auto"/>
        <w:tabs>
          <w:tab w:leader="none" w:pos="95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agreements (whether from fixed to floating or from floating to fixed), interest rate cap agreements, interest rate lock agreements and interest rate collar agreements;</w:t>
      </w:r>
    </w:p>
    <w:p>
      <w:pPr>
        <w:spacing w:after="0" w:line="18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manage interest rates or interest rate risk;</w:t>
      </w:r>
    </w:p>
    <w:p>
      <w:pPr>
        <w:spacing w:after="0" w:line="246" w:lineRule="exact"/>
        <w:rPr>
          <w:rFonts w:ascii="Times New Roman" w:cs="Times New Roman" w:eastAsia="Times New Roman" w:hAnsi="Times New Roman"/>
          <w:sz w:val="22"/>
          <w:szCs w:val="22"/>
          <w:color w:val="auto"/>
        </w:rPr>
      </w:pPr>
    </w:p>
    <w:p>
      <w:pPr>
        <w:ind w:right="200" w:firstLine="656"/>
        <w:spacing w:after="0" w:line="271" w:lineRule="auto"/>
        <w:tabs>
          <w:tab w:leader="none" w:pos="95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currency exchange rates or commodity prices; and</w:t>
      </w:r>
    </w:p>
    <w:p>
      <w:pPr>
        <w:spacing w:after="0" w:line="19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equity prices.</w:t>
      </w:r>
    </w:p>
    <w:p>
      <w:pPr>
        <w:sectPr>
          <w:pgSz w:w="11900" w:h="16838" w:orient="portrait"/>
          <w:cols w:equalWidth="0" w:num="1">
            <w:col w:w="11220"/>
          </w:cols>
          <w:pgMar w:left="320" w:top="1418" w:right="359" w:bottom="1440" w:gutter="0" w:footer="0" w:header="0"/>
        </w:sectPr>
      </w:pPr>
    </w:p>
    <w:bookmarkStart w:id="176" w:name="page177"/>
    <w:bookmarkEnd w:id="176"/>
    <w:p>
      <w:pPr>
        <w:spacing w:after="0" w:line="221"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202"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any lien, security interest, charge or encumbrance of any kind (including any conditional sale or other title retention agreement, any lease in the nature thereof, and any agreement to give any security interest).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Obligor</w:t>
      </w:r>
      <w:r>
        <w:rPr>
          <w:rFonts w:ascii="Times New Roman" w:cs="Times New Roman" w:eastAsia="Times New Roman" w:hAnsi="Times New Roman"/>
          <w:sz w:val="22"/>
          <w:szCs w:val="22"/>
          <w:color w:val="auto"/>
        </w:rPr>
        <w:t>” means each of the Issuer and each Guarantor.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 with respect to an Obligor:</w:t>
      </w:r>
    </w:p>
    <w:p>
      <w:pPr>
        <w:spacing w:after="0" w:line="251" w:lineRule="exact"/>
        <w:rPr>
          <w:sz w:val="20"/>
          <w:szCs w:val="20"/>
          <w:color w:val="auto"/>
        </w:rPr>
      </w:pPr>
    </w:p>
    <w:p>
      <w:pPr>
        <w:ind w:right="500" w:firstLine="656"/>
        <w:spacing w:after="0" w:line="252" w:lineRule="auto"/>
        <w:tabs>
          <w:tab w:leader="none" w:pos="95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of the applicable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220"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(2)(a)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(a) the Liens shall be given within 24 months after such acquisition and shall attach solely to the Property acquired or purchased and any improvements then or thereafter placed thereon, (b)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(c) all renewals, extensions, refinancings, replacements or refundings of such obligations under this clause (2);</w:t>
      </w:r>
    </w:p>
    <w:p>
      <w:pPr>
        <w:spacing w:after="0" w:line="209" w:lineRule="exact"/>
        <w:rPr>
          <w:sz w:val="20"/>
          <w:szCs w:val="20"/>
          <w:color w:val="auto"/>
        </w:rPr>
      </w:pPr>
    </w:p>
    <w:p>
      <w:pPr>
        <w:ind w:right="360" w:firstLine="656"/>
        <w:spacing w:after="0" w:line="271" w:lineRule="auto"/>
        <w:tabs>
          <w:tab w:leader="none" w:pos="95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98" w:lineRule="exact"/>
        <w:rPr>
          <w:rFonts w:ascii="Times New Roman" w:cs="Times New Roman" w:eastAsia="Times New Roman" w:hAnsi="Times New Roman"/>
          <w:sz w:val="22"/>
          <w:szCs w:val="22"/>
          <w:color w:val="auto"/>
        </w:rPr>
      </w:pPr>
    </w:p>
    <w:p>
      <w:pPr>
        <w:ind w:firstLine="656"/>
        <w:spacing w:after="0" w:line="271" w:lineRule="auto"/>
        <w:tabs>
          <w:tab w:leader="none" w:pos="95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that are being contested in good faith by appropriate proceedings, provided that adequate reserves with respect thereto are maintained on such Obligor’s books in conformity with GAAP;</w:t>
      </w:r>
    </w:p>
    <w:p>
      <w:pPr>
        <w:spacing w:after="0" w:line="184" w:lineRule="exact"/>
        <w:rPr>
          <w:rFonts w:ascii="Times New Roman" w:cs="Times New Roman" w:eastAsia="Times New Roman" w:hAnsi="Times New Roman"/>
          <w:sz w:val="22"/>
          <w:szCs w:val="22"/>
          <w:color w:val="auto"/>
        </w:rPr>
      </w:pPr>
    </w:p>
    <w:p>
      <w:pPr>
        <w:ind w:right="20" w:firstLine="656"/>
        <w:spacing w:after="0" w:line="271" w:lineRule="auto"/>
        <w:tabs>
          <w:tab w:leader="none" w:pos="95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reimbursement obligations with respect to letters of credit that encumber documents and other Property relating to such letters of credit and the products and proceeds thereof;</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25" w:lineRule="exact"/>
        <w:rPr>
          <w:sz w:val="20"/>
          <w:szCs w:val="20"/>
          <w:color w:val="auto"/>
        </w:rPr>
      </w:pPr>
    </w:p>
    <w:p>
      <w:pPr>
        <w:ind w:right="140" w:firstLine="656"/>
        <w:spacing w:after="0" w:line="256" w:lineRule="auto"/>
        <w:tabs>
          <w:tab w:leader="none" w:pos="95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customary initial deposits and margin deposits and other Liens in the ordinary course of business, in each case securing Hedging Obligations and forward contracts, options, futures contracts, futures options, swaps, equity hedges or similar agreements or arrangements designed to protect such Obligor from fluctuations in interest rates, currencies, equities or the price of commodities;</w:t>
      </w:r>
    </w:p>
    <w:p>
      <w:pPr>
        <w:spacing w:after="0" w:line="20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Issuer or any Guarantor;</w:t>
      </w:r>
    </w:p>
    <w:p>
      <w:pPr>
        <w:spacing w:after="0" w:line="246" w:lineRule="exact"/>
        <w:rPr>
          <w:rFonts w:ascii="Times New Roman" w:cs="Times New Roman" w:eastAsia="Times New Roman" w:hAnsi="Times New Roman"/>
          <w:sz w:val="22"/>
          <w:szCs w:val="22"/>
          <w:color w:val="auto"/>
        </w:rPr>
      </w:pPr>
    </w:p>
    <w:p>
      <w:pPr>
        <w:ind w:right="480" w:firstLine="656"/>
        <w:spacing w:after="0" w:line="257" w:lineRule="auto"/>
        <w:tabs>
          <w:tab w:leader="none" w:pos="95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213" w:lineRule="exact"/>
        <w:rPr>
          <w:rFonts w:ascii="Times New Roman" w:cs="Times New Roman" w:eastAsia="Times New Roman" w:hAnsi="Times New Roman"/>
          <w:sz w:val="22"/>
          <w:szCs w:val="22"/>
          <w:color w:val="auto"/>
        </w:rPr>
      </w:pPr>
    </w:p>
    <w:p>
      <w:pPr>
        <w:jc w:val="both"/>
        <w:ind w:right="300" w:firstLine="656"/>
        <w:spacing w:after="0" w:line="257" w:lineRule="auto"/>
        <w:tabs>
          <w:tab w:leader="none" w:pos="95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99" w:lineRule="exact"/>
        <w:rPr>
          <w:rFonts w:ascii="Times New Roman" w:cs="Times New Roman" w:eastAsia="Times New Roman" w:hAnsi="Times New Roman"/>
          <w:sz w:val="22"/>
          <w:szCs w:val="22"/>
          <w:color w:val="auto"/>
        </w:rPr>
      </w:pPr>
    </w:p>
    <w:p>
      <w:pPr>
        <w:ind w:firstLine="656"/>
        <w:spacing w:after="0" w:line="271" w:lineRule="auto"/>
        <w:tabs>
          <w:tab w:leader="none" w:pos="106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to secure obligations under workers’ compensation laws or similar legislation, including Liens of judgments thereunder which are not currently dischargeable;</w:t>
      </w:r>
    </w:p>
    <w:p>
      <w:pPr>
        <w:spacing w:after="0" w:line="184" w:lineRule="exact"/>
        <w:rPr>
          <w:rFonts w:ascii="Times New Roman" w:cs="Times New Roman" w:eastAsia="Times New Roman" w:hAnsi="Times New Roman"/>
          <w:sz w:val="22"/>
          <w:szCs w:val="22"/>
          <w:color w:val="auto"/>
        </w:rPr>
      </w:pPr>
    </w:p>
    <w:p>
      <w:pPr>
        <w:ind w:right="60" w:firstLine="656"/>
        <w:spacing w:after="0" w:line="256" w:lineRule="auto"/>
        <w:tabs>
          <w:tab w:leader="none" w:pos="105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20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such Obligor’s statutory obligations in the ordinary course of its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236" w:lineRule="exact"/>
        <w:rPr>
          <w:rFonts w:ascii="Times New Roman" w:cs="Times New Roman" w:eastAsia="Times New Roman" w:hAnsi="Times New Roman"/>
          <w:sz w:val="22"/>
          <w:szCs w:val="22"/>
          <w:color w:val="auto"/>
        </w:rPr>
      </w:pPr>
    </w:p>
    <w:p>
      <w:pPr>
        <w:ind w:right="340" w:firstLine="656"/>
        <w:spacing w:after="0" w:line="254" w:lineRule="auto"/>
        <w:tabs>
          <w:tab w:leader="none" w:pos="106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(or in lieu of) surety, appeal or customs bonds in proceedings to which such Obligor is a party in the ordinary course of its business, but not in excess of $25,000,000;</w:t>
      </w:r>
    </w:p>
    <w:p>
      <w:pPr>
        <w:spacing w:after="0" w:line="1"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“margin stock” (as defined in Regulation U of the Board of Governors of the Federal Reserve System);</w:t>
      </w:r>
    </w:p>
    <w:p>
      <w:pPr>
        <w:spacing w:after="0" w:line="222" w:lineRule="exact"/>
        <w:rPr>
          <w:rFonts w:ascii="Times New Roman" w:cs="Times New Roman" w:eastAsia="Times New Roman" w:hAnsi="Times New Roman"/>
          <w:sz w:val="22"/>
          <w:szCs w:val="22"/>
          <w:color w:val="auto"/>
        </w:rPr>
      </w:pPr>
    </w:p>
    <w:p>
      <w:pPr>
        <w:ind w:right="700" w:firstLine="656"/>
        <w:spacing w:after="0" w:line="271" w:lineRule="auto"/>
        <w:tabs>
          <w:tab w:leader="none" w:pos="106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permitted under sale and lease-back transactions, and any renewals or extensions thereof, so long as the Indebtedness secured thereby does not exceed $300,000,000 in the aggregate;</w:t>
      </w:r>
    </w:p>
    <w:p>
      <w:pPr>
        <w:spacing w:after="0" w:line="198" w:lineRule="exact"/>
        <w:rPr>
          <w:rFonts w:ascii="Times New Roman" w:cs="Times New Roman" w:eastAsia="Times New Roman" w:hAnsi="Times New Roman"/>
          <w:sz w:val="22"/>
          <w:szCs w:val="22"/>
          <w:color w:val="auto"/>
        </w:rPr>
      </w:pPr>
    </w:p>
    <w:p>
      <w:pPr>
        <w:ind w:right="540" w:firstLine="656"/>
        <w:spacing w:after="0" w:line="271" w:lineRule="auto"/>
        <w:tabs>
          <w:tab w:leader="none" w:pos="106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connection with asset securitization transactions, so long as the aggregate outstanding principal amount of the obligations of all Obligors secured thereby does not exceed $300,000,000 at any one time;</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25" w:lineRule="exact"/>
        <w:rPr>
          <w:sz w:val="20"/>
          <w:szCs w:val="20"/>
          <w:color w:val="auto"/>
        </w:rPr>
      </w:pPr>
    </w:p>
    <w:p>
      <w:pPr>
        <w:ind w:left="1060" w:hanging="404"/>
        <w:spacing w:after="0"/>
        <w:tabs>
          <w:tab w:leader="none" w:pos="10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Specified Non-Recourse Debt;</w:t>
      </w:r>
    </w:p>
    <w:p>
      <w:pPr>
        <w:spacing w:after="0" w:line="246" w:lineRule="exact"/>
        <w:rPr>
          <w:rFonts w:ascii="Times New Roman" w:cs="Times New Roman" w:eastAsia="Times New Roman" w:hAnsi="Times New Roman"/>
          <w:sz w:val="22"/>
          <w:szCs w:val="22"/>
          <w:color w:val="auto"/>
        </w:rPr>
      </w:pPr>
    </w:p>
    <w:p>
      <w:pPr>
        <w:ind w:right="320" w:firstLine="656"/>
        <w:spacing w:after="0" w:line="256" w:lineRule="auto"/>
        <w:tabs>
          <w:tab w:leader="none" w:pos="106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20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Take-or-pay obligations arising in the ordinary course of business.</w:t>
      </w:r>
    </w:p>
    <w:p>
      <w:pPr>
        <w:spacing w:after="0" w:line="243"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 w:lineRule="exact"/>
        <w:rPr>
          <w:sz w:val="20"/>
          <w:szCs w:val="20"/>
          <w:color w:val="auto"/>
        </w:rPr>
      </w:pPr>
    </w:p>
    <w:p>
      <w:pPr>
        <w:ind w:right="64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means with respect to any Person any property or asset, whether real, personal or mixed, or tangible or intangible, including shares of capital stock.</w:t>
      </w:r>
    </w:p>
    <w:p>
      <w:pPr>
        <w:spacing w:after="0" w:line="205"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Non-Recourse Debt</w:t>
      </w:r>
      <w:r>
        <w:rPr>
          <w:rFonts w:ascii="Times New Roman" w:cs="Times New Roman" w:eastAsia="Times New Roman" w:hAnsi="Times New Roman"/>
          <w:sz w:val="22"/>
          <w:szCs w:val="22"/>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20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Consolidation, Merger and Sale of Assets</w:t>
      </w:r>
    </w:p>
    <w:p>
      <w:pPr>
        <w:spacing w:after="0" w:line="26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The Issuer may not consolidate or combine with or merge with or into or, directly or indirectly, sell, assign, convey, lease, transfer or otherwise dispose of all or substantially all of the Issuer’s assets to any Person or Persons (other than a transfer or other disposition of assets to any of the Issuer’s wholly owned Subsidiaries), in a single transaction or through a series of transactions, unless:</w:t>
      </w:r>
    </w:p>
    <w:p>
      <w:pPr>
        <w:spacing w:after="0" w:line="233" w:lineRule="exact"/>
        <w:rPr>
          <w:sz w:val="20"/>
          <w:szCs w:val="20"/>
          <w:color w:val="auto"/>
        </w:rPr>
      </w:pPr>
    </w:p>
    <w:p>
      <w:pPr>
        <w:ind w:left="660" w:right="60" w:hanging="328"/>
        <w:spacing w:after="0" w:line="252" w:lineRule="auto"/>
        <w:tabs>
          <w:tab w:leader="none" w:pos="62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be the continuing Person or, if the Issuer is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ectPr>
          <w:pgSz w:w="11900" w:h="16838" w:orient="portrait"/>
          <w:cols w:equalWidth="0" w:num="1">
            <w:col w:w="11240"/>
          </w:cols>
          <w:pgMar w:left="320" w:top="1440" w:right="339" w:bottom="1440" w:gutter="0" w:footer="0" w:header="0"/>
        </w:sectPr>
      </w:pPr>
    </w:p>
    <w:bookmarkStart w:id="179" w:name="page180"/>
    <w:bookmarkEnd w:id="179"/>
    <w:p>
      <w:pPr>
        <w:ind w:left="660" w:right="660" w:hanging="328"/>
        <w:spacing w:after="0" w:line="295" w:lineRule="auto"/>
        <w:tabs>
          <w:tab w:leader="none" w:pos="628"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surviving entity will expressly assume all of the Issuer’s obligations under the Notes and the Indenture and will execute a supplemental indenture, in a form satisfactory to the Trustee, which will be delivered to the Trustee;</w:t>
      </w:r>
    </w:p>
    <w:p>
      <w:pPr>
        <w:spacing w:after="0" w:line="189" w:lineRule="exact"/>
        <w:rPr>
          <w:rFonts w:ascii="Times New Roman" w:cs="Times New Roman" w:eastAsia="Times New Roman" w:hAnsi="Times New Roman"/>
          <w:sz w:val="21"/>
          <w:szCs w:val="21"/>
          <w:color w:val="auto"/>
        </w:rPr>
      </w:pPr>
    </w:p>
    <w:p>
      <w:pPr>
        <w:ind w:left="660" w:right="200" w:hanging="328"/>
        <w:spacing w:after="0" w:line="271" w:lineRule="auto"/>
        <w:tabs>
          <w:tab w:leader="none" w:pos="62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or series of transactions on a pro forma basis, no default has occurred and is continuing; and</w:t>
      </w:r>
    </w:p>
    <w:p>
      <w:pPr>
        <w:spacing w:after="0" w:line="198" w:lineRule="exact"/>
        <w:rPr>
          <w:rFonts w:ascii="Times New Roman" w:cs="Times New Roman" w:eastAsia="Times New Roman" w:hAnsi="Times New Roman"/>
          <w:sz w:val="22"/>
          <w:szCs w:val="22"/>
          <w:color w:val="auto"/>
        </w:rPr>
      </w:pPr>
    </w:p>
    <w:p>
      <w:pPr>
        <w:ind w:left="660" w:right="100" w:hanging="328"/>
        <w:spacing w:after="0" w:line="281" w:lineRule="auto"/>
        <w:tabs>
          <w:tab w:leader="none" w:pos="628"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restrictions in the third bullet above shall not be applicable to:</w:t>
      </w:r>
    </w:p>
    <w:p>
      <w:pPr>
        <w:spacing w:after="0" w:line="260" w:lineRule="exact"/>
        <w:rPr>
          <w:sz w:val="20"/>
          <w:szCs w:val="20"/>
          <w:color w:val="auto"/>
        </w:rPr>
      </w:pPr>
    </w:p>
    <w:p>
      <w:pPr>
        <w:ind w:left="660" w:right="180" w:hanging="328"/>
        <w:spacing w:after="0" w:line="257" w:lineRule="auto"/>
        <w:tabs>
          <w:tab w:leader="none" w:pos="62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Issuer with an affiliate if the Issuer’s board of directors, determines in good faith that the purpose of such transaction is principally to change the Issuer’s state of incorporation or convert the Issuer’s form of organization to another form; or</w:t>
      </w:r>
    </w:p>
    <w:p>
      <w:pPr>
        <w:spacing w:after="0" w:line="226" w:lineRule="exact"/>
        <w:rPr>
          <w:rFonts w:ascii="Times New Roman" w:cs="Times New Roman" w:eastAsia="Times New Roman" w:hAnsi="Times New Roman"/>
          <w:sz w:val="22"/>
          <w:szCs w:val="22"/>
          <w:color w:val="auto"/>
        </w:rPr>
      </w:pPr>
    </w:p>
    <w:p>
      <w:pPr>
        <w:ind w:left="660" w:right="20" w:hanging="328"/>
        <w:spacing w:after="0" w:line="252" w:lineRule="auto"/>
        <w:tabs>
          <w:tab w:leader="none" w:pos="62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of the Issuer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the Issuer’s state of incorporation).</w:t>
      </w:r>
    </w:p>
    <w:p>
      <w:pPr>
        <w:spacing w:after="0" w:line="22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If any consolidation or merger or any sale, assignment, conveyance, lease, transfer or other disposition of all or substantially all of the Issuer’s assets occurs in accordance with the Indenture, the successor person will succeed to, and be substituted for, and may exercise every right and power of ours under the Indenture with the same effect as if such successor person had been named in the Issuer’s place in the Indenture. The Issuer will (except in the case of a lease) be discharged from all obligations and covenants under the Indenture and any debt securities issued thereunder (including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Existence</w:t>
      </w:r>
    </w:p>
    <w:p>
      <w:pPr>
        <w:spacing w:after="0" w:line="248" w:lineRule="exact"/>
        <w:rPr>
          <w:sz w:val="20"/>
          <w:szCs w:val="20"/>
          <w:color w:val="auto"/>
        </w:rPr>
      </w:pPr>
    </w:p>
    <w:p>
      <w:pPr>
        <w:ind w:right="40" w:firstLine="216"/>
        <w:spacing w:after="0" w:line="252" w:lineRule="auto"/>
        <w:rPr>
          <w:sz w:val="20"/>
          <w:szCs w:val="20"/>
          <w:color w:val="auto"/>
        </w:rPr>
      </w:pPr>
      <w:r>
        <w:rPr>
          <w:rFonts w:ascii="Times New Roman" w:cs="Times New Roman" w:eastAsia="Times New Roman" w:hAnsi="Times New Roman"/>
          <w:sz w:val="22"/>
          <w:szCs w:val="22"/>
          <w:color w:val="auto"/>
        </w:rPr>
        <w:t>Except as permitted under “—Consolidation, Merger and Sale of Assets,” the Indenture requires the Issuer to do or cause to be done all things necessary to preserve and keep in full force and effect the Issuer’s existence, rights and franchises; provided, however, that the Issuer shall not be required to preserve any right or franchise if the Issuer determines that its preservation is no longer desirable in the conduct of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Information</w:t>
      </w:r>
    </w:p>
    <w:p>
      <w:pPr>
        <w:sectPr>
          <w:pgSz w:w="11900" w:h="16838" w:orient="portrait"/>
          <w:cols w:equalWidth="0" w:num="1">
            <w:col w:w="11220"/>
          </w:cols>
          <w:pgMar w:left="320" w:top="1422" w:right="359" w:bottom="1440" w:gutter="0" w:footer="0" w:header="0"/>
        </w:sectPr>
      </w:pPr>
    </w:p>
    <w:bookmarkStart w:id="180" w:name="page181"/>
    <w:bookmarkEnd w:id="180"/>
    <w:p>
      <w:pPr>
        <w:ind w:firstLine="648"/>
        <w:spacing w:after="0" w:line="250" w:lineRule="auto"/>
        <w:rPr>
          <w:sz w:val="20"/>
          <w:szCs w:val="20"/>
          <w:color w:val="auto"/>
        </w:rPr>
      </w:pPr>
      <w:r>
        <w:rPr>
          <w:rFonts w:ascii="Times New Roman" w:cs="Times New Roman" w:eastAsia="Times New Roman" w:hAnsi="Times New Roman"/>
          <w:sz w:val="22"/>
          <w:szCs w:val="22"/>
          <w:color w:val="auto"/>
        </w:rPr>
        <w:t>The Issuer is required to furnish to the Trustee any document or report the Issuer is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64"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The Issuer, the Guarantors and the Trustee may amend or modify the Indenture or the Notes of any series without notice to or the consent of any holder in order to:</w:t>
      </w:r>
    </w:p>
    <w:p>
      <w:pPr>
        <w:spacing w:after="0" w:line="198" w:lineRule="exact"/>
        <w:rPr>
          <w:sz w:val="20"/>
          <w:szCs w:val="20"/>
          <w:color w:val="auto"/>
        </w:rPr>
      </w:pPr>
    </w:p>
    <w:p>
      <w:pPr>
        <w:ind w:left="660" w:right="140" w:hanging="328"/>
        <w:spacing w:after="0" w:line="271" w:lineRule="auto"/>
        <w:tabs>
          <w:tab w:leader="none" w:pos="62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any ambiguities, omissions, defects or inconsistencies in the Indenture in a manner that does not adversely affect the interests of the holders in any material respect;</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would provide any additional rights or benefits to the holders of the Notes;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or add guarantors with respect to the Notes;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the Notes of any series;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form or terms of Notes of any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uncertificated Notes in addition to or in place of certificated Notes;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and provide for the acceptance of appointment by a successor trustee;</w:t>
      </w:r>
    </w:p>
    <w:p>
      <w:pPr>
        <w:spacing w:after="0" w:line="260" w:lineRule="exact"/>
        <w:rPr>
          <w:rFonts w:ascii="Times New Roman" w:cs="Times New Roman" w:eastAsia="Times New Roman" w:hAnsi="Times New Roman"/>
          <w:sz w:val="22"/>
          <w:szCs w:val="22"/>
          <w:color w:val="auto"/>
        </w:rPr>
      </w:pPr>
    </w:p>
    <w:p>
      <w:pPr>
        <w:ind w:left="660" w:right="1000" w:hanging="328"/>
        <w:spacing w:after="0" w:line="271" w:lineRule="auto"/>
        <w:tabs>
          <w:tab w:leader="none" w:pos="62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the assumption by the Issuer’s successor, if any, to the Issuer’s or their obligations to holders of any outstanding Notes in compliance with the applicable provisions of the Indenture;</w:t>
      </w:r>
    </w:p>
    <w:p>
      <w:pPr>
        <w:spacing w:after="0" w:line="198"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 the Indenture under the Trust Indenture Act;</w:t>
      </w:r>
    </w:p>
    <w:p>
      <w:pPr>
        <w:spacing w:after="0" w:line="273" w:lineRule="exact"/>
        <w:rPr>
          <w:rFonts w:ascii="Times New Roman" w:cs="Times New Roman" w:eastAsia="Times New Roman" w:hAnsi="Times New Roman"/>
          <w:sz w:val="22"/>
          <w:szCs w:val="22"/>
          <w:color w:val="auto"/>
        </w:rPr>
      </w:pPr>
    </w:p>
    <w:p>
      <w:pPr>
        <w:ind w:left="660" w:right="400" w:hanging="328"/>
        <w:spacing w:after="0" w:line="295" w:lineRule="auto"/>
        <w:tabs>
          <w:tab w:leader="none" w:pos="628"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conform any provision in the Indenture or the terms of the securities of any series to the prospectus, offering memorandum, offering circular or any other document pursuant to which the securities of such series were offered; or</w:t>
      </w:r>
    </w:p>
    <w:p>
      <w:pPr>
        <w:spacing w:after="0" w:line="162" w:lineRule="exact"/>
        <w:rPr>
          <w:rFonts w:ascii="Times New Roman" w:cs="Times New Roman" w:eastAsia="Times New Roman" w:hAnsi="Times New Roman"/>
          <w:sz w:val="21"/>
          <w:szCs w:val="21"/>
          <w:color w:val="auto"/>
        </w:rPr>
      </w:pPr>
    </w:p>
    <w:p>
      <w:pPr>
        <w:ind w:left="620" w:hanging="288"/>
        <w:spacing w:after="0"/>
        <w:tabs>
          <w:tab w:leader="none" w:pos="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does not adversely affect the rights of any holder in any material respect.</w:t>
      </w:r>
    </w:p>
    <w:p>
      <w:pPr>
        <w:sectPr>
          <w:pgSz w:w="11900" w:h="16838" w:orient="portrait"/>
          <w:cols w:equalWidth="0" w:num="1">
            <w:col w:w="11240"/>
          </w:cols>
          <w:pgMar w:left="320" w:top="1422" w:right="339" w:bottom="1440" w:gutter="0" w:footer="0" w:header="0"/>
        </w:sectPr>
      </w:pPr>
    </w:p>
    <w:bookmarkStart w:id="181" w:name="page182"/>
    <w:bookmarkEnd w:id="181"/>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Other amendments and modifications of the Indenture or the Notes of any series may be made with the consent of the holders of not less than a majority in aggregate principal amount of the Notes of all series and the debt securities of all other series outstanding under the Indenture that are affected by the amendment or modification (voting together as a single class), and the Issuer’s compliance with any provision of the Indenture with respect to the debt securities of any series issued under the Indenture (including the Notes) may be waived by written notice to the Issuer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236" w:lineRule="exact"/>
        <w:rPr>
          <w:sz w:val="20"/>
          <w:szCs w:val="20"/>
          <w:color w:val="auto"/>
        </w:rPr>
      </w:pPr>
    </w:p>
    <w:p>
      <w:pPr>
        <w:ind w:left="660" w:right="460" w:hanging="328"/>
        <w:spacing w:after="0" w:line="271" w:lineRule="auto"/>
        <w:tabs>
          <w:tab w:leader="none" w:pos="62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or extend the fixed maturity, of the Notes of such series or alter or waive the redemption provisions of the Notes of such series;</w:t>
      </w:r>
    </w:p>
    <w:p>
      <w:pPr>
        <w:spacing w:after="0" w:line="198" w:lineRule="exact"/>
        <w:rPr>
          <w:rFonts w:ascii="Times New Roman" w:cs="Times New Roman" w:eastAsia="Times New Roman" w:hAnsi="Times New Roman"/>
          <w:sz w:val="22"/>
          <w:szCs w:val="22"/>
          <w:color w:val="auto"/>
        </w:rPr>
      </w:pPr>
    </w:p>
    <w:p>
      <w:pPr>
        <w:ind w:left="660" w:right="220" w:hanging="328"/>
        <w:spacing w:after="0" w:line="271" w:lineRule="auto"/>
        <w:tabs>
          <w:tab w:leader="none" w:pos="62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of any holder of the Notes of such series to receive payment of principal or interest on the Notes of such series on and after the due dates for such principal or interest;</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currency in which principal, any premium or interest is paid;</w:t>
      </w:r>
    </w:p>
    <w:p>
      <w:pPr>
        <w:spacing w:after="0" w:line="260" w:lineRule="exact"/>
        <w:rPr>
          <w:rFonts w:ascii="Times New Roman" w:cs="Times New Roman" w:eastAsia="Times New Roman" w:hAnsi="Times New Roman"/>
          <w:sz w:val="22"/>
          <w:szCs w:val="22"/>
          <w:color w:val="auto"/>
        </w:rPr>
      </w:pPr>
    </w:p>
    <w:p>
      <w:pPr>
        <w:ind w:left="660" w:right="540" w:hanging="328"/>
        <w:spacing w:after="0" w:line="271" w:lineRule="auto"/>
        <w:tabs>
          <w:tab w:leader="none" w:pos="62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outstanding of Notes of such series which must consent to an amendment, supplement or waiver or consent to take any action;</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payment on the Notes of such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payment default with respect to the Notes of such series;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interest rate or extend the time for payment of interest on the Notes of such series; or</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the ranking of the Notes of such series.</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 amendment, supplemental indenture or waiver which changes, eliminates or waives any covenant or other provision of the Indenture which has expressly been included solely for the benefit of one or more particular series of the Notes, or which modifies the rights of the holders of the Notes of such series with respect to such covenant or other provision, shall be deemed not to affect the rights under the Indenture of the holders of debt securities of any other series.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of the following constitutes an event of default in the Indenture with respect to the Notes of any series:</w:t>
      </w:r>
    </w:p>
    <w:p>
      <w:pPr>
        <w:sectPr>
          <w:pgSz w:w="11900" w:h="16838" w:orient="portrait"/>
          <w:cols w:equalWidth="0" w:num="1">
            <w:col w:w="11240"/>
          </w:cols>
          <w:pgMar w:left="320" w:top="1422" w:right="339" w:bottom="1440" w:gutter="0" w:footer="0" w:header="0"/>
        </w:sectPr>
      </w:pPr>
    </w:p>
    <w:bookmarkStart w:id="182" w:name="page183"/>
    <w:bookmarkEnd w:id="182"/>
    <w:p>
      <w:pPr>
        <w:ind w:left="660" w:right="240" w:hanging="328"/>
        <w:spacing w:after="0" w:line="254" w:lineRule="auto"/>
        <w:tabs>
          <w:tab w:leader="none" w:pos="792"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interest on the Notes of such series when it becomes due and the default continues for a period of 30 days or more;</w:t>
      </w:r>
    </w:p>
    <w:p>
      <w:pPr>
        <w:spacing w:after="0" w:line="2" w:lineRule="exact"/>
        <w:rPr>
          <w:sz w:val="20"/>
          <w:szCs w:val="20"/>
          <w:color w:val="auto"/>
        </w:rPr>
      </w:pPr>
    </w:p>
    <w:p>
      <w:pPr>
        <w:ind w:left="780" w:hanging="448"/>
        <w:spacing w:after="0"/>
        <w:tabs>
          <w:tab w:leader="none" w:pos="78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principal on the Notes of such series when due;</w:t>
      </w:r>
    </w:p>
    <w:p>
      <w:pPr>
        <w:spacing w:after="0" w:line="5" w:lineRule="exact"/>
        <w:rPr>
          <w:rFonts w:ascii="Times New Roman" w:cs="Times New Roman" w:eastAsia="Times New Roman" w:hAnsi="Times New Roman"/>
          <w:sz w:val="22"/>
          <w:szCs w:val="22"/>
          <w:color w:val="auto"/>
        </w:rPr>
      </w:pPr>
    </w:p>
    <w:p>
      <w:pPr>
        <w:ind w:left="660" w:hanging="328"/>
        <w:spacing w:after="0" w:line="245" w:lineRule="auto"/>
        <w:tabs>
          <w:tab w:leader="none" w:pos="76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by any Obligor in the performance, or breach, of any covenant in the Indenture (other than defaults specified in clause (a) or (b) above) and the default or breach continues for a period of 90 days or more after the Issuer receives written notice from the Trustee or the Issuer and the Trustee receive notice from the holders of at least 25% in aggregate principal amount of the Notes of all affected series and the debt securities of all other affected series outstanding under the Indenture (voting together as a single class);</w:t>
      </w:r>
    </w:p>
    <w:p>
      <w:pPr>
        <w:spacing w:after="0" w:line="4" w:lineRule="exact"/>
        <w:rPr>
          <w:rFonts w:ascii="Times New Roman" w:cs="Times New Roman" w:eastAsia="Times New Roman" w:hAnsi="Times New Roman"/>
          <w:sz w:val="22"/>
          <w:szCs w:val="22"/>
          <w:color w:val="auto"/>
        </w:rPr>
      </w:pPr>
    </w:p>
    <w:p>
      <w:pPr>
        <w:ind w:left="660" w:right="40" w:hanging="328"/>
        <w:spacing w:after="0" w:line="248" w:lineRule="auto"/>
        <w:tabs>
          <w:tab w:leader="none" w:pos="80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events of bankruptcy, insolvency, reorganization, administration or similar proceedings with respect to the Issuer or any Obligor have occurred; or</w:t>
      </w:r>
    </w:p>
    <w:p>
      <w:pPr>
        <w:spacing w:after="0" w:line="1"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shall not be (or shall be claimed by the relevant Guarantor not to be) in full force and effect.</w:t>
      </w:r>
    </w:p>
    <w:p>
      <w:pPr>
        <w:spacing w:after="0" w:line="22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clause (d) above) under the Indenture occurs and is continuing, then the Trustee may and, at the direction of the holders of at least 25% in aggregate principal amount of the Notes of all affected series and the debt securities of all other affected series outstanding under the Indenture (voting together as a single class), will by written notice, require the Issuer to repay immediately the entire principal amount of the outstanding debt securities of each affected series, together with all accrued and unpaid interest.</w:t>
      </w:r>
    </w:p>
    <w:p>
      <w:pPr>
        <w:spacing w:after="0" w:line="20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If an event of default under the Indenture specified in clause (d) occurs and is continuing, then the entire principal amount of the outstanding Notes will automatically become due immediately and payable without any declaration or other act on the part of the Trustee or any holder.</w:t>
      </w:r>
    </w:p>
    <w:p>
      <w:pPr>
        <w:spacing w:after="0" w:line="21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After a declaration of acceleration or any automatic acceleration under clause (d) described above, the holders of a majority in principal amount of the outstanding Notes of any series (each such series voting as a separate class) may rescind this accelerated payment requirement with respect to the Notes of such series if all existing events of default with respect to the Notes of such series, except for nonpayment of the principal and interest on the Notes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holders of a majority in principal amount of the Notes of all affected series and the debt securities of all other affected series outstanding under the Indenture (voting together as a single class) may, by written notice to the Issuer and the Trustee, also waive past defaults, except</w:t>
      </w:r>
    </w:p>
    <w:p>
      <w:pPr>
        <w:sectPr>
          <w:pgSz w:w="11900" w:h="16838" w:orient="portrait"/>
          <w:cols w:equalWidth="0" w:num="1">
            <w:col w:w="11220"/>
          </w:cols>
          <w:pgMar w:left="320" w:top="1422" w:right="359" w:bottom="1440" w:gutter="0" w:footer="0" w:header="0"/>
        </w:sectPr>
      </w:pPr>
    </w:p>
    <w:bookmarkStart w:id="183" w:name="page184"/>
    <w:bookmarkEnd w:id="183"/>
    <w:p>
      <w:pPr>
        <w:ind w:right="420"/>
        <w:spacing w:after="0" w:line="271" w:lineRule="auto"/>
        <w:rPr>
          <w:sz w:val="20"/>
          <w:szCs w:val="20"/>
          <w:color w:val="auto"/>
        </w:rPr>
      </w:pPr>
      <w:r>
        <w:rPr>
          <w:rFonts w:ascii="Times New Roman" w:cs="Times New Roman" w:eastAsia="Times New Roman" w:hAnsi="Times New Roman"/>
          <w:sz w:val="22"/>
          <w:szCs w:val="22"/>
          <w:color w:val="auto"/>
        </w:rPr>
        <w:t>a default in paying principal or interest on any outstanding senior debt security of such series, or in respect of a covenant or a provision that cannot be modified or amended without the consent of all affected holders of the Notes of such series.</w:t>
      </w:r>
    </w:p>
    <w:p>
      <w:pPr>
        <w:spacing w:after="0" w:line="18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The holders of at least 25% in aggregate principal amount of the Notes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Notes of all affected series and the debt securities of all other affected series then outstanding. These limitations do not apply, however, to a suit instituted by a holder of the Notes of any affected series for the enforcement of the payment of principal or interest on or after the due dates for such payment.</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1"/>
          <w:szCs w:val="21"/>
          <w:color w:val="auto"/>
        </w:rPr>
        <w:t>During the existence of an event of default of which a responsible officer of the Trustee has actual knowledge or has received written notice from the Issuer or any holder of the Notes,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Notes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215"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The Trustee will, within 90 days after any default occurs with respect to the Notes of any series, give notice of the default to the holders of the Notes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06"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22"/>
          <w:szCs w:val="22"/>
          <w:color w:val="auto"/>
        </w:rPr>
        <w:t>The Issuer is required to furnish to the Trustee an annual statement as to compliance with all conditions and covenants under the Indenture within 120 days of the end of each fiscal year.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652"/>
        <w:spacing w:after="0" w:line="275" w:lineRule="auto"/>
        <w:tabs>
          <w:tab w:leader="none" w:pos="503"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3.250% NOTES DUE 2032, OUR 3.550% NOTES DUE 2036 AND OUR 5.250% NOTES DUE 2040</w:t>
      </w:r>
    </w:p>
    <w:p>
      <w:pPr>
        <w:spacing w:after="0" w:line="18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summary of our 3.250% Notes due 2032 (solely for purposes of this Section 5, the “2032 Euro Notes”), our 3.550% Notes due 2036 (the “2036 Euro Notes”) and our</w:t>
      </w:r>
    </w:p>
    <w:p>
      <w:pPr>
        <w:sectPr>
          <w:pgSz w:w="11900" w:h="16838" w:orient="portrait"/>
          <w:cols w:equalWidth="0" w:num="1">
            <w:col w:w="11240"/>
          </w:cols>
          <w:pgMar w:left="320" w:top="1422" w:right="339" w:bottom="1440" w:gutter="0" w:footer="0" w:header="0"/>
        </w:sectPr>
      </w:pPr>
    </w:p>
    <w:bookmarkStart w:id="184" w:name="page185"/>
    <w:bookmarkEnd w:id="184"/>
    <w:p>
      <w:pPr>
        <w:jc w:val="both"/>
        <w:spacing w:after="0" w:line="262" w:lineRule="auto"/>
        <w:rPr>
          <w:sz w:val="20"/>
          <w:szCs w:val="20"/>
          <w:color w:val="auto"/>
        </w:rPr>
      </w:pPr>
      <w:r>
        <w:rPr>
          <w:rFonts w:ascii="Times New Roman" w:cs="Times New Roman" w:eastAsia="Times New Roman" w:hAnsi="Times New Roman"/>
          <w:sz w:val="21"/>
          <w:szCs w:val="21"/>
          <w:color w:val="auto"/>
        </w:rPr>
        <w:t>5.250% Notes due 2040 (the “2040 Sterling Notes” and together with the 2032 Euro Notes and the 2036 Euro Notes, collectively, solely for purposes of this Section 5, the “Notes”) is based on the senior indenture dated as of September 18, 2013 among Comcast as issuer (the “Issuer”), Comcast Cable Communications, LLC and NBCUniversal Media, LLC (the “Guarantors”) and The Bank of New York Mellon (f/k/a The Bank of New York), as trustee (the “Trustee”) (the “Base Indenture”), as amended by the first supplemental indenture dated as of November 17, 2015 among the Issuer, the Guarantors and the Trustee (the “First Supplemental Indenture”) and as further amended by the second supplemental indenture dated as of July 29, 2022 (the “Second Supplemental Indenture” and, collectively with the Base Indenture and the First Supplemental Indenture, the “Indenture”). This summary does not purport to be complete and is qualified in its entirety by reference to such Indenture.</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231F20"/>
        </w:rPr>
        <w:t>Interest Payments</w:t>
      </w:r>
    </w:p>
    <w:p>
      <w:pPr>
        <w:spacing w:after="0" w:line="251" w:lineRule="exact"/>
        <w:rPr>
          <w:sz w:val="20"/>
          <w:szCs w:val="20"/>
          <w:color w:val="auto"/>
        </w:rPr>
      </w:pPr>
    </w:p>
    <w:p>
      <w:pPr>
        <w:jc w:val="both"/>
        <w:ind w:left="40" w:firstLine="612"/>
        <w:spacing w:after="0" w:line="268" w:lineRule="auto"/>
        <w:rPr>
          <w:sz w:val="20"/>
          <w:szCs w:val="20"/>
          <w:color w:val="auto"/>
        </w:rPr>
      </w:pPr>
      <w:r>
        <w:rPr>
          <w:rFonts w:ascii="Times New Roman" w:cs="Times New Roman" w:eastAsia="Times New Roman" w:hAnsi="Times New Roman"/>
          <w:sz w:val="21"/>
          <w:szCs w:val="21"/>
          <w:color w:val="231F20"/>
        </w:rPr>
        <w:t>Interest on the Notes is computed on the basis of the actual number of days in the period for which interest is being calculated and the actual number of days from and including the last date to which interest was paid on the Notes (or September 26, 2024 if no interest has been paid), to but excluding the next scheduled interest payment date. This payment convention is referred to as ACTUAL/ACTUAL (ICMA) as defined in the rulebook of the International Capital Market Association.</w:t>
      </w:r>
    </w:p>
    <w:p>
      <w:pPr>
        <w:spacing w:after="0" w:line="190" w:lineRule="exact"/>
        <w:rPr>
          <w:sz w:val="20"/>
          <w:szCs w:val="20"/>
          <w:color w:val="auto"/>
        </w:rPr>
      </w:pPr>
    </w:p>
    <w:p>
      <w:pPr>
        <w:jc w:val="both"/>
        <w:ind w:left="40" w:firstLine="612"/>
        <w:spacing w:after="0" w:line="263" w:lineRule="auto"/>
        <w:rPr>
          <w:sz w:val="20"/>
          <w:szCs w:val="20"/>
          <w:color w:val="auto"/>
        </w:rPr>
      </w:pPr>
      <w:r>
        <w:rPr>
          <w:rFonts w:ascii="Times New Roman" w:cs="Times New Roman" w:eastAsia="Times New Roman" w:hAnsi="Times New Roman"/>
          <w:sz w:val="22"/>
          <w:szCs w:val="22"/>
          <w:color w:val="231F20"/>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94" w:lineRule="exact"/>
        <w:rPr>
          <w:sz w:val="20"/>
          <w:szCs w:val="20"/>
          <w:color w:val="auto"/>
        </w:rPr>
      </w:pPr>
    </w:p>
    <w:p>
      <w:pPr>
        <w:jc w:val="both"/>
        <w:ind w:left="40" w:firstLine="612"/>
        <w:spacing w:after="0" w:line="253" w:lineRule="auto"/>
        <w:rPr>
          <w:sz w:val="20"/>
          <w:szCs w:val="20"/>
          <w:color w:val="auto"/>
        </w:rPr>
      </w:pPr>
      <w:r>
        <w:rPr>
          <w:rFonts w:ascii="Times New Roman" w:cs="Times New Roman" w:eastAsia="Times New Roman" w:hAnsi="Times New Roman"/>
          <w:sz w:val="22"/>
          <w:szCs w:val="22"/>
          <w:color w:val="231F20"/>
        </w:rPr>
        <w:t>The term “business day” means any day other than a Saturday or Sunday (i) which is not a day on which banking institutions in The City of New York or London are authorized or obligated by law, regulation or executive order to close and (ii) in the case of the 2032 Euro Notes and the 2036 Euro Notes (collectively, solely for purposes of this Section 5, the “Euro Notes”), on which the Trans-European Automated Real-Time Gross Settlement Express Transfer System (the T2 system) or any successor thereto is open.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231F20"/>
        </w:rPr>
        <w:t>Issuance in Euro; Issuance in GBP</w:t>
      </w:r>
    </w:p>
    <w:p>
      <w:pPr>
        <w:spacing w:after="0" w:line="251" w:lineRule="exact"/>
        <w:rPr>
          <w:sz w:val="20"/>
          <w:szCs w:val="20"/>
          <w:color w:val="auto"/>
        </w:rPr>
      </w:pPr>
    </w:p>
    <w:p>
      <w:pPr>
        <w:jc w:val="both"/>
        <w:ind w:left="40" w:firstLine="612"/>
        <w:spacing w:after="0" w:line="251" w:lineRule="auto"/>
        <w:rPr>
          <w:sz w:val="20"/>
          <w:szCs w:val="20"/>
          <w:color w:val="auto"/>
        </w:rPr>
      </w:pPr>
      <w:r>
        <w:rPr>
          <w:rFonts w:ascii="Times New Roman" w:cs="Times New Roman" w:eastAsia="Times New Roman" w:hAnsi="Times New Roman"/>
          <w:sz w:val="22"/>
          <w:szCs w:val="22"/>
          <w:color w:val="231F20"/>
        </w:rPr>
        <w:t>Principal, premium, if any, and interest payments in respect of the Euro Notes are payable in euro. If euro is unavailable to the Issuer due to the imposition of exchange controls or other circumstances beyond the Issuer’s control, then all payments in respect of the Euro Notes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ectPr>
          <w:pgSz w:w="11900" w:h="16838" w:orient="portrait"/>
          <w:cols w:equalWidth="0" w:num="1">
            <w:col w:w="11240"/>
          </w:cols>
          <w:pgMar w:left="320" w:top="1422" w:right="339" w:bottom="1440" w:gutter="0" w:footer="0" w:header="0"/>
        </w:sectPr>
      </w:pPr>
    </w:p>
    <w:bookmarkStart w:id="185" w:name="page186"/>
    <w:bookmarkEnd w:id="185"/>
    <w:p>
      <w:pPr>
        <w:jc w:val="both"/>
        <w:ind w:left="40" w:firstLine="612"/>
        <w:spacing w:after="0" w:line="265" w:lineRule="auto"/>
        <w:rPr>
          <w:sz w:val="20"/>
          <w:szCs w:val="20"/>
          <w:color w:val="auto"/>
        </w:rPr>
      </w:pPr>
      <w:r>
        <w:rPr>
          <w:rFonts w:ascii="Times New Roman" w:cs="Times New Roman" w:eastAsia="Times New Roman" w:hAnsi="Times New Roman"/>
          <w:sz w:val="21"/>
          <w:szCs w:val="21"/>
          <w:color w:val="231F20"/>
        </w:rPr>
        <w:t>Principal, premium, if any, and interest payments in respect of the 2040 Sterling Notes are payable in GBP. If GBP is unavailable to the Issuer due to the imposition of exchange controls or other circumstances beyond the Issuer’s control, then all payments in respect of the 2040 Sterling Notes will be made in U.S. dollars until GBP is again available to the Issuer. The amount payable on any date in GBP will be converted into U.S. dollars at the Market Exchange Rate (as defined below) or, if such Market Exchange Rate is not then available, on the basis of the most recently available market exchange rate for GBP. Any payment in respect of the 2040 Sterling Notes so made in U.S. dollars will not constitute an event of default under the Indenture.</w:t>
      </w:r>
    </w:p>
    <w:p>
      <w:pPr>
        <w:spacing w:after="0" w:line="196" w:lineRule="exact"/>
        <w:rPr>
          <w:sz w:val="20"/>
          <w:szCs w:val="20"/>
          <w:color w:val="auto"/>
        </w:rPr>
      </w:pPr>
    </w:p>
    <w:p>
      <w:pPr>
        <w:jc w:val="both"/>
        <w:ind w:left="40" w:firstLine="612"/>
        <w:spacing w:after="0" w:line="253" w:lineRule="auto"/>
        <w:rPr>
          <w:sz w:val="20"/>
          <w:szCs w:val="20"/>
          <w:color w:val="auto"/>
        </w:rPr>
      </w:pPr>
      <w:r>
        <w:rPr>
          <w:rFonts w:ascii="Times New Roman" w:cs="Times New Roman" w:eastAsia="Times New Roman" w:hAnsi="Times New Roman"/>
          <w:sz w:val="22"/>
          <w:szCs w:val="22"/>
          <w:color w:val="231F20"/>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are responsible for obtaining exchange rates, effecting currency conversions or otherwise handling re-denominations.</w:t>
      </w:r>
    </w:p>
    <w:p>
      <w:pPr>
        <w:spacing w:after="0" w:line="200" w:lineRule="exact"/>
        <w:rPr>
          <w:sz w:val="20"/>
          <w:szCs w:val="20"/>
          <w:color w:val="auto"/>
        </w:rPr>
      </w:pPr>
    </w:p>
    <w:p>
      <w:pPr>
        <w:jc w:val="both"/>
        <w:ind w:left="40" w:firstLine="612"/>
        <w:spacing w:after="0" w:line="260" w:lineRule="auto"/>
        <w:rPr>
          <w:sz w:val="20"/>
          <w:szCs w:val="20"/>
          <w:color w:val="auto"/>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b w:val="1"/>
          <w:bCs w:val="1"/>
          <w:i w:val="1"/>
          <w:iCs w:val="1"/>
          <w:color w:val="231F20"/>
        </w:rPr>
        <w:t>Market Exchange Rate</w:t>
      </w:r>
      <w:r>
        <w:rPr>
          <w:rFonts w:ascii="Times New Roman" w:cs="Times New Roman" w:eastAsia="Times New Roman" w:hAnsi="Times New Roman"/>
          <w:sz w:val="22"/>
          <w:szCs w:val="22"/>
          <w:color w:val="231F20"/>
        </w:rPr>
        <w:t>” means the noon buying rate in The City of New York for cable transfers of euro or GBP, as applicable, as certified for customs purposes (or, if not so certified, as otherwise determined) by the Federal Reserve Bank of New York.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Guarantees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231F20"/>
        </w:rPr>
        <w:t>The Issuer’s obligations, including the payment of principal, premium, if any, and interest, are fully and unconditionally guaranteed by each of the Guarantors as described in the prospectus applicable to the Notes.</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231F20"/>
        </w:rPr>
        <w:t>The guarantees do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Optional Redemption</w:t>
      </w:r>
    </w:p>
    <w:p>
      <w:pPr>
        <w:spacing w:after="0" w:line="251" w:lineRule="exact"/>
        <w:rPr>
          <w:sz w:val="20"/>
          <w:szCs w:val="20"/>
          <w:color w:val="auto"/>
        </w:rPr>
      </w:pPr>
    </w:p>
    <w:p>
      <w:pPr>
        <w:jc w:val="both"/>
        <w:ind w:firstLine="220"/>
        <w:spacing w:after="0" w:line="249" w:lineRule="auto"/>
        <w:rPr>
          <w:sz w:val="20"/>
          <w:szCs w:val="20"/>
          <w:color w:val="auto"/>
        </w:rPr>
      </w:pPr>
      <w:r>
        <w:rPr>
          <w:rFonts w:ascii="Times New Roman" w:cs="Times New Roman" w:eastAsia="Times New Roman" w:hAnsi="Times New Roman"/>
          <w:sz w:val="22"/>
          <w:szCs w:val="22"/>
          <w:color w:val="231F20"/>
        </w:rPr>
        <w:t>Prior to June 26, 2032 (three (3) months prior to the maturity date of the 2032 Euro Notes) with respect to the 2032 Euro Notes (the “2032 Euro Notes Par Call Date”), prior to June 26, 2036 (three (3) months prior to the maturity date of the 2036 Euro Notes) with respect to the 2036 Euro Notes (the “2036 Euro Notes Par Call Date”) and prior to June 26, 2040 (three (3) months prior to the maturity date of the 2040 Sterling Notes) with respect to the 2040 Sterling Notes (the “2040 Sterling Notes Par Call Date” and, together with the 2032 Euro Notes Par Call Date and the 2036 Euro Notes Par Call Date, each, solely for purposes of this Section 5, a “Par Call Date”), the Issuer may redeem such Notes at its option, in whole or in part, at any time and from time to time, at a redemption price (expressed as a percentage of the principal amount and rounded to three decimal places) equal to the greater of:</w:t>
      </w:r>
    </w:p>
    <w:p>
      <w:pPr>
        <w:sectPr>
          <w:pgSz w:w="11900" w:h="16838" w:orient="portrait"/>
          <w:cols w:equalWidth="0" w:num="1">
            <w:col w:w="11240"/>
          </w:cols>
          <w:pgMar w:left="320" w:top="1422" w:right="339" w:bottom="1440" w:gutter="0" w:footer="0" w:header="0"/>
        </w:sectPr>
      </w:pPr>
    </w:p>
    <w:bookmarkStart w:id="186" w:name="page187"/>
    <w:bookmarkEnd w:id="186"/>
    <w:p>
      <w:pPr>
        <w:jc w:val="both"/>
        <w:ind w:firstLine="240"/>
        <w:spacing w:after="0" w:line="253" w:lineRule="auto"/>
        <w:tabs>
          <w:tab w:leader="none" w:pos="716" w:val="left"/>
        </w:tabs>
        <w:numPr>
          <w:ilvl w:val="1"/>
          <w:numId w:val="17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the sum of the present values of the remaining scheduled payments of principal and interest thereon discounted to the redemption date (assuming, for this purpose, that such Notes mature on the applicable Par Call Date) on an annual basis (ACTUAL/ACTUAL (ICMA)) at the applicable comparable government bond rate, as defined below, plus 20 basis points, in the case of the Euro Notes and 15 basis points, in the case of the 2040 Sterling Notes, as applicable, less (b) interest accrued to the date of redemption, and</w:t>
      </w:r>
    </w:p>
    <w:p>
      <w:pPr>
        <w:spacing w:after="0" w:line="205" w:lineRule="exact"/>
        <w:rPr>
          <w:rFonts w:ascii="Times New Roman" w:cs="Times New Roman" w:eastAsia="Times New Roman" w:hAnsi="Times New Roman"/>
          <w:sz w:val="22"/>
          <w:szCs w:val="22"/>
          <w:color w:val="231F20"/>
        </w:rPr>
      </w:pPr>
    </w:p>
    <w:p>
      <w:pPr>
        <w:ind w:left="700" w:hanging="476"/>
        <w:spacing w:after="0"/>
        <w:tabs>
          <w:tab w:leader="none" w:pos="700" w:val="left"/>
        </w:tabs>
        <w:numPr>
          <w:ilvl w:val="0"/>
          <w:numId w:val="17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100% of the principal amount of the Notes of the applicable series to be redeemed,</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231F20"/>
        </w:rPr>
        <w:t>plus, in either case, accrued and unpaid interest thereon to the redemption date.</w:t>
      </w:r>
    </w:p>
    <w:p>
      <w:pPr>
        <w:spacing w:after="0" w:line="247"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22"/>
          <w:szCs w:val="22"/>
          <w:color w:val="231F20"/>
        </w:rPr>
        <w:t>On or after the applicable Par Call Date, the Issuer may redeem such series of Notes, in whole or in part, at any time and from time to time, at a redemption price equal to 100% of the principal amount of the Notes being redeemed, plus accrued and unpaid interest thereon to the redemption date.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231F20"/>
        </w:rPr>
        <w:t>The term “</w:t>
      </w:r>
      <w:r>
        <w:rPr>
          <w:rFonts w:ascii="Times New Roman" w:cs="Times New Roman" w:eastAsia="Times New Roman" w:hAnsi="Times New Roman"/>
          <w:sz w:val="21"/>
          <w:szCs w:val="21"/>
          <w:b w:val="1"/>
          <w:bCs w:val="1"/>
          <w:i w:val="1"/>
          <w:iCs w:val="1"/>
          <w:color w:val="231F20"/>
        </w:rPr>
        <w:t>comparable government bond</w:t>
      </w:r>
      <w:r>
        <w:rPr>
          <w:rFonts w:ascii="Times New Roman" w:cs="Times New Roman" w:eastAsia="Times New Roman" w:hAnsi="Times New Roman"/>
          <w:sz w:val="21"/>
          <w:szCs w:val="21"/>
          <w:color w:val="231F20"/>
        </w:rPr>
        <w:t>” means (i) with respect to the Euro Notes, in relation to any comparable government bond rate calculation, at the discretion of an independent investment banker selected by the Issuer,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 or market makers in, German government bonds selected by the Issuer, determine to be appropriate for determining the comparable government bond rate and (ii) with respect to the 2040 Sterling Notes, in relation to any comparable government bond rate calculation, at the discretion of an independent investment banker selected by the Issuer, a United Kingdom government bond whose maturity is closest to the maturity of the 2040 Sterling Notes (assuming for this purpose that the 2040 Sterling Notes matured on the 2040 Sterling Notes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the Issuer, determine to be appropriate for determining the comparable government bond rate.</w:t>
      </w:r>
    </w:p>
    <w:p>
      <w:pPr>
        <w:spacing w:after="0" w:line="19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231F20"/>
        </w:rPr>
        <w:t>The term “</w:t>
      </w:r>
      <w:r>
        <w:rPr>
          <w:rFonts w:ascii="Times New Roman" w:cs="Times New Roman" w:eastAsia="Times New Roman" w:hAnsi="Times New Roman"/>
          <w:sz w:val="21"/>
          <w:szCs w:val="21"/>
          <w:b w:val="1"/>
          <w:bCs w:val="1"/>
          <w:i w:val="1"/>
          <w:iCs w:val="1"/>
          <w:color w:val="231F20"/>
        </w:rPr>
        <w:t>comparable government bond rate</w:t>
      </w:r>
      <w:r>
        <w:rPr>
          <w:rFonts w:ascii="Times New Roman" w:cs="Times New Roman" w:eastAsia="Times New Roman" w:hAnsi="Times New Roman"/>
          <w:sz w:val="21"/>
          <w:szCs w:val="21"/>
          <w:color w:val="231F20"/>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8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231F20"/>
        </w:rPr>
        <w:t>The term “</w:t>
      </w:r>
      <w:r>
        <w:rPr>
          <w:rFonts w:ascii="Times New Roman" w:cs="Times New Roman" w:eastAsia="Times New Roman" w:hAnsi="Times New Roman"/>
          <w:sz w:val="22"/>
          <w:szCs w:val="22"/>
          <w:b w:val="1"/>
          <w:bCs w:val="1"/>
          <w:i w:val="1"/>
          <w:iCs w:val="1"/>
          <w:color w:val="231F20"/>
        </w:rPr>
        <w:t>independent investment banker</w:t>
      </w:r>
      <w:r>
        <w:rPr>
          <w:rFonts w:ascii="Times New Roman" w:cs="Times New Roman" w:eastAsia="Times New Roman" w:hAnsi="Times New Roman"/>
          <w:sz w:val="22"/>
          <w:szCs w:val="22"/>
          <w:color w:val="231F20"/>
        </w:rPr>
        <w:t>” means each of Barclays Bank PLC and BNP Paribas (or their respective successors), or if each such firm is unwilling or unable to select the</w:t>
      </w:r>
    </w:p>
    <w:p>
      <w:pPr>
        <w:sectPr>
          <w:pgSz w:w="11900" w:h="16838" w:orient="portrait"/>
          <w:cols w:equalWidth="0" w:num="1">
            <w:col w:w="11240"/>
          </w:cols>
          <w:pgMar w:left="320" w:top="1422"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2"/>
          <w:szCs w:val="22"/>
          <w:color w:val="231F20"/>
        </w:rPr>
        <w:t>comparable government bond, an independent investment banking institution of international standing appointed by the Issuer.</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231F20"/>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Issuer’s determination of the redemption price shall be conclusive and binding for all purposes, absent manifest error.</w:t>
      </w:r>
    </w:p>
    <w:p>
      <w:pPr>
        <w:spacing w:after="0" w:line="2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Notice of any redemption will be mailed or electronically delivered (or otherwise transmitted in accordance with the depositary’s procedures) at least 10 days but not more than 60 days before the redemption date to each holder of the applicable series of Notes to be redeemed.</w:t>
      </w:r>
    </w:p>
    <w:p>
      <w:pPr>
        <w:spacing w:after="0" w:line="21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the case of a partial redemption, selection of the applicable series of Notes for redemption will be made, if such series of Notes are in the form of one or more global securities, in accordance with the procedures of Clearstream and Euroclear (or another depositary) or, if such series of Notes are not in the form of one or more global securities, by lot. No Notes of any series of a principal amount of €100,000 or less with respect to the Euro Notes, or £100,000 or less with respect to the 2040 Sterling Notes, will be redeemed in part. If any Note of a series is to be redeemed in part only, the notice of redemption that relates to such Note will state the portion of the principal amount of the applicable Note to be redeemed. A new Note of any series in a principal amount equal to the unredeemed portion of the applicable Note will be issued in the name of the holder of such note upon surrender for cancellation of such original Note. For so long as any series of Notes are registered in the name of Clearstream and Euroclear (or another depositary) or such depositary’s nominee, the redemption of such series of Notes shall be done in accordance with the policies and procedures of the depositary.</w:t>
      </w:r>
    </w:p>
    <w:p>
      <w:pPr>
        <w:spacing w:after="0" w:line="21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Unless the Issuer defaults in payment of the redemption price, on and after the redemption date, interest will cease to accrue on the applicable series of Notes or portions thereof called for redemption.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Payment of Additional Amounts</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231F20"/>
        </w:rPr>
        <w:t>The Issuer will, subject to the exceptions and limitations set forth below, pay as additional interest in respect of the Notes such additional amounts as are necessary in order that the net payment by the Issuer or its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ectPr>
          <w:pgSz w:w="11900" w:h="16838" w:orient="portrait"/>
          <w:cols w:equalWidth="0" w:num="1">
            <w:col w:w="11240"/>
          </w:cols>
          <w:pgMar w:left="320" w:top="1422" w:right="339" w:bottom="1440" w:gutter="0" w:footer="0" w:header="0"/>
        </w:sectPr>
      </w:pPr>
    </w:p>
    <w:bookmarkStart w:id="188" w:name="page189"/>
    <w:bookmarkEnd w:id="188"/>
    <w:p>
      <w:pPr>
        <w:jc w:val="both"/>
        <w:ind w:left="428" w:hanging="320"/>
        <w:spacing w:after="0" w:line="272" w:lineRule="auto"/>
        <w:tabs>
          <w:tab w:leader="none" w:pos="423" w:val="left"/>
        </w:tabs>
        <w:numPr>
          <w:ilvl w:val="1"/>
          <w:numId w:val="17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87" w:lineRule="exact"/>
        <w:rPr>
          <w:rFonts w:ascii="Times New Roman" w:cs="Times New Roman" w:eastAsia="Times New Roman" w:hAnsi="Times New Roman"/>
          <w:sz w:val="21"/>
          <w:szCs w:val="21"/>
          <w:color w:val="231F20"/>
        </w:rPr>
      </w:pPr>
    </w:p>
    <w:p>
      <w:pPr>
        <w:ind w:left="868" w:hanging="364"/>
        <w:spacing w:after="0" w:line="271" w:lineRule="auto"/>
        <w:tabs>
          <w:tab w:leader="none" w:pos="1045" w:val="left"/>
        </w:tabs>
        <w:numPr>
          <w:ilvl w:val="2"/>
          <w:numId w:val="17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or having been engaged in a trade or business in the United States or having or having had a permanent establishment in the United States;</w:t>
      </w:r>
    </w:p>
    <w:p>
      <w:pPr>
        <w:spacing w:after="0" w:line="184" w:lineRule="exact"/>
        <w:rPr>
          <w:rFonts w:ascii="Times New Roman" w:cs="Times New Roman" w:eastAsia="Times New Roman" w:hAnsi="Times New Roman"/>
          <w:sz w:val="22"/>
          <w:szCs w:val="22"/>
          <w:color w:val="231F20"/>
        </w:rPr>
      </w:pPr>
    </w:p>
    <w:p>
      <w:pPr>
        <w:jc w:val="both"/>
        <w:ind w:left="868" w:hanging="364"/>
        <w:spacing w:after="0" w:line="263" w:lineRule="auto"/>
        <w:tabs>
          <w:tab w:leader="none" w:pos="1007" w:val="left"/>
        </w:tabs>
        <w:numPr>
          <w:ilvl w:val="2"/>
          <w:numId w:val="17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194" w:lineRule="exact"/>
        <w:rPr>
          <w:rFonts w:ascii="Times New Roman" w:cs="Times New Roman" w:eastAsia="Times New Roman" w:hAnsi="Times New Roman"/>
          <w:sz w:val="22"/>
          <w:szCs w:val="22"/>
          <w:color w:val="231F20"/>
        </w:rPr>
      </w:pPr>
    </w:p>
    <w:p>
      <w:pPr>
        <w:jc w:val="both"/>
        <w:ind w:left="868" w:hanging="364"/>
        <w:spacing w:after="0" w:line="257" w:lineRule="auto"/>
        <w:tabs>
          <w:tab w:leader="none" w:pos="1010" w:val="left"/>
        </w:tabs>
        <w:numPr>
          <w:ilvl w:val="2"/>
          <w:numId w:val="17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99" w:lineRule="exact"/>
        <w:rPr>
          <w:rFonts w:ascii="Times New Roman" w:cs="Times New Roman" w:eastAsia="Times New Roman" w:hAnsi="Times New Roman"/>
          <w:sz w:val="22"/>
          <w:szCs w:val="22"/>
          <w:color w:val="231F20"/>
        </w:rPr>
      </w:pPr>
    </w:p>
    <w:p>
      <w:pPr>
        <w:ind w:left="968" w:hanging="464"/>
        <w:spacing w:after="0"/>
        <w:tabs>
          <w:tab w:leader="none" w:pos="968" w:val="left"/>
        </w:tabs>
        <w:numPr>
          <w:ilvl w:val="2"/>
          <w:numId w:val="17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being or having been a “10-percent shareholder” of the Issuer or applicable Guarantor as defined in Section 871(h)</w:t>
      </w:r>
    </w:p>
    <w:p>
      <w:pPr>
        <w:spacing w:after="0" w:line="39" w:lineRule="exact"/>
        <w:rPr>
          <w:rFonts w:ascii="Times New Roman" w:cs="Times New Roman" w:eastAsia="Times New Roman" w:hAnsi="Times New Roman"/>
          <w:sz w:val="21"/>
          <w:szCs w:val="21"/>
          <w:color w:val="231F20"/>
        </w:rPr>
      </w:pPr>
    </w:p>
    <w:p>
      <w:pPr>
        <w:ind w:left="868"/>
        <w:spacing w:after="0"/>
        <w:rPr>
          <w:rFonts w:ascii="Times New Roman" w:cs="Times New Roman" w:eastAsia="Times New Roman" w:hAnsi="Times New Roman"/>
          <w:sz w:val="21"/>
          <w:szCs w:val="21"/>
          <w:color w:val="231F20"/>
        </w:rPr>
      </w:pPr>
      <w:r>
        <w:rPr>
          <w:rFonts w:ascii="Times New Roman" w:cs="Times New Roman" w:eastAsia="Times New Roman" w:hAnsi="Times New Roman"/>
          <w:sz w:val="22"/>
          <w:szCs w:val="22"/>
          <w:color w:val="231F20"/>
        </w:rPr>
        <w:t>(3) of the U.S. Internal Revenue Code of 1986, as amended (the “Code”), or any successor provision; or</w:t>
      </w:r>
    </w:p>
    <w:p>
      <w:pPr>
        <w:spacing w:after="0" w:line="236" w:lineRule="exact"/>
        <w:rPr>
          <w:rFonts w:ascii="Times New Roman" w:cs="Times New Roman" w:eastAsia="Times New Roman" w:hAnsi="Times New Roman"/>
          <w:sz w:val="21"/>
          <w:szCs w:val="21"/>
          <w:color w:val="231F20"/>
        </w:rPr>
      </w:pPr>
    </w:p>
    <w:p>
      <w:pPr>
        <w:ind w:left="868" w:hanging="364"/>
        <w:spacing w:after="0" w:line="271" w:lineRule="auto"/>
        <w:tabs>
          <w:tab w:leader="none" w:pos="1001" w:val="left"/>
        </w:tabs>
        <w:numPr>
          <w:ilvl w:val="2"/>
          <w:numId w:val="17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a bank receiving payments on an extension of credit made pursuant to a loan agreement entered into in the ordinary course of its trade or business, as described in Section 881(c)(3) of the Code or any successor provision;</w:t>
      </w:r>
    </w:p>
    <w:p>
      <w:pPr>
        <w:spacing w:after="0" w:line="184" w:lineRule="exact"/>
        <w:rPr>
          <w:rFonts w:ascii="Times New Roman" w:cs="Times New Roman" w:eastAsia="Times New Roman" w:hAnsi="Times New Roman"/>
          <w:sz w:val="22"/>
          <w:szCs w:val="22"/>
          <w:color w:val="231F20"/>
        </w:rPr>
      </w:pPr>
    </w:p>
    <w:p>
      <w:pPr>
        <w:jc w:val="both"/>
        <w:ind w:left="428" w:hanging="320"/>
        <w:spacing w:after="0" w:line="251" w:lineRule="auto"/>
        <w:tabs>
          <w:tab w:leader="none" w:pos="696" w:val="left"/>
        </w:tabs>
        <w:numPr>
          <w:ilvl w:val="1"/>
          <w:numId w:val="17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208" w:lineRule="exact"/>
        <w:rPr>
          <w:rFonts w:ascii="Times New Roman" w:cs="Times New Roman" w:eastAsia="Times New Roman" w:hAnsi="Times New Roman"/>
          <w:sz w:val="22"/>
          <w:szCs w:val="22"/>
          <w:color w:val="231F20"/>
        </w:rPr>
      </w:pPr>
    </w:p>
    <w:p>
      <w:pPr>
        <w:jc w:val="both"/>
        <w:ind w:left="328" w:hanging="328"/>
        <w:spacing w:after="0" w:line="251" w:lineRule="auto"/>
        <w:tabs>
          <w:tab w:leader="none" w:pos="323" w:val="left"/>
        </w:tabs>
        <w:numPr>
          <w:ilvl w:val="0"/>
          <w:numId w:val="17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ectPr>
          <w:pgSz w:w="11900" w:h="16838" w:orient="portrait"/>
          <w:cols w:equalWidth="0" w:num="1">
            <w:col w:w="10908"/>
          </w:cols>
          <w:pgMar w:left="652" w:top="1422" w:right="339" w:bottom="1440" w:gutter="0" w:footer="0" w:header="0"/>
        </w:sectPr>
      </w:pPr>
    </w:p>
    <w:bookmarkStart w:id="189" w:name="page190"/>
    <w:bookmarkEnd w:id="189"/>
    <w:p>
      <w:pPr>
        <w:spacing w:after="0" w:line="225" w:lineRule="exact"/>
        <w:rPr>
          <w:sz w:val="20"/>
          <w:szCs w:val="20"/>
          <w:color w:val="auto"/>
        </w:rPr>
      </w:pPr>
    </w:p>
    <w:p>
      <w:pPr>
        <w:ind w:left="760" w:hanging="320"/>
        <w:spacing w:after="0" w:line="271" w:lineRule="auto"/>
        <w:tabs>
          <w:tab w:leader="none" w:pos="923" w:val="left"/>
        </w:tabs>
        <w:numPr>
          <w:ilvl w:val="0"/>
          <w:numId w:val="1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is imposed otherwise than by withholding by the Issuer or an applicable withholding agent from the payment;</w:t>
      </w:r>
    </w:p>
    <w:p>
      <w:pPr>
        <w:spacing w:after="0" w:line="184" w:lineRule="exact"/>
        <w:rPr>
          <w:rFonts w:ascii="Times New Roman" w:cs="Times New Roman" w:eastAsia="Times New Roman" w:hAnsi="Times New Roman"/>
          <w:sz w:val="22"/>
          <w:szCs w:val="22"/>
          <w:color w:val="231F20"/>
        </w:rPr>
      </w:pPr>
    </w:p>
    <w:p>
      <w:pPr>
        <w:jc w:val="both"/>
        <w:ind w:left="760" w:hanging="320"/>
        <w:spacing w:after="0" w:line="263" w:lineRule="auto"/>
        <w:tabs>
          <w:tab w:leader="none" w:pos="1028" w:val="left"/>
        </w:tabs>
        <w:numPr>
          <w:ilvl w:val="0"/>
          <w:numId w:val="1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94" w:lineRule="exact"/>
        <w:rPr>
          <w:rFonts w:ascii="Times New Roman" w:cs="Times New Roman" w:eastAsia="Times New Roman" w:hAnsi="Times New Roman"/>
          <w:sz w:val="22"/>
          <w:szCs w:val="22"/>
          <w:color w:val="231F20"/>
        </w:rPr>
      </w:pPr>
    </w:p>
    <w:p>
      <w:pPr>
        <w:ind w:left="760" w:hanging="320"/>
        <w:spacing w:after="0" w:line="271" w:lineRule="auto"/>
        <w:tabs>
          <w:tab w:leader="none" w:pos="1014" w:val="left"/>
        </w:tabs>
        <w:numPr>
          <w:ilvl w:val="0"/>
          <w:numId w:val="1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estate, inheritance, gift, sales, excise, transfer, wealth, capital gains or personal property tax or similar tax, assessment or other governmental charge or excise tax imposed on the transfer of Notes;</w:t>
      </w:r>
    </w:p>
    <w:p>
      <w:pPr>
        <w:spacing w:after="0" w:line="184" w:lineRule="exact"/>
        <w:rPr>
          <w:rFonts w:ascii="Times New Roman" w:cs="Times New Roman" w:eastAsia="Times New Roman" w:hAnsi="Times New Roman"/>
          <w:sz w:val="22"/>
          <w:szCs w:val="22"/>
          <w:color w:val="231F20"/>
        </w:rPr>
      </w:pPr>
    </w:p>
    <w:p>
      <w:pPr>
        <w:jc w:val="both"/>
        <w:ind w:left="760" w:hanging="320"/>
        <w:spacing w:after="0" w:line="263" w:lineRule="auto"/>
        <w:tabs>
          <w:tab w:leader="none" w:pos="916" w:val="left"/>
        </w:tabs>
        <w:numPr>
          <w:ilvl w:val="0"/>
          <w:numId w:val="1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94" w:lineRule="exact"/>
        <w:rPr>
          <w:rFonts w:ascii="Times New Roman" w:cs="Times New Roman" w:eastAsia="Times New Roman" w:hAnsi="Times New Roman"/>
          <w:sz w:val="22"/>
          <w:szCs w:val="22"/>
          <w:color w:val="231F20"/>
        </w:rPr>
      </w:pPr>
    </w:p>
    <w:p>
      <w:pPr>
        <w:jc w:val="both"/>
        <w:ind w:left="760" w:hanging="320"/>
        <w:spacing w:after="0" w:line="252" w:lineRule="auto"/>
        <w:tabs>
          <w:tab w:leader="none" w:pos="1076" w:val="left"/>
        </w:tabs>
        <w:numPr>
          <w:ilvl w:val="0"/>
          <w:numId w:val="1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219" w:lineRule="exact"/>
        <w:rPr>
          <w:rFonts w:ascii="Times New Roman" w:cs="Times New Roman" w:eastAsia="Times New Roman" w:hAnsi="Times New Roman"/>
          <w:sz w:val="22"/>
          <w:szCs w:val="22"/>
          <w:color w:val="231F20"/>
        </w:rPr>
      </w:pPr>
    </w:p>
    <w:p>
      <w:pPr>
        <w:jc w:val="both"/>
        <w:ind w:left="760" w:hanging="320"/>
        <w:spacing w:after="0" w:line="252" w:lineRule="auto"/>
        <w:tabs>
          <w:tab w:leader="none" w:pos="992" w:val="left"/>
        </w:tabs>
        <w:numPr>
          <w:ilvl w:val="0"/>
          <w:numId w:val="1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206" w:lineRule="exact"/>
        <w:rPr>
          <w:rFonts w:ascii="Times New Roman" w:cs="Times New Roman" w:eastAsia="Times New Roman" w:hAnsi="Times New Roman"/>
          <w:sz w:val="22"/>
          <w:szCs w:val="22"/>
          <w:color w:val="231F20"/>
        </w:rPr>
      </w:pPr>
    </w:p>
    <w:p>
      <w:pPr>
        <w:jc w:val="both"/>
        <w:ind w:left="760" w:hanging="320"/>
        <w:spacing w:after="0" w:line="253" w:lineRule="auto"/>
        <w:tabs>
          <w:tab w:leader="none" w:pos="1039" w:val="left"/>
        </w:tabs>
        <w:numPr>
          <w:ilvl w:val="0"/>
          <w:numId w:val="1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205" w:lineRule="exact"/>
        <w:rPr>
          <w:rFonts w:ascii="Times New Roman" w:cs="Times New Roman" w:eastAsia="Times New Roman" w:hAnsi="Times New Roman"/>
          <w:sz w:val="22"/>
          <w:szCs w:val="22"/>
          <w:color w:val="231F20"/>
        </w:rPr>
      </w:pPr>
    </w:p>
    <w:p>
      <w:pPr>
        <w:ind w:left="1000" w:hanging="560"/>
        <w:spacing w:after="0"/>
        <w:tabs>
          <w:tab w:leader="none" w:pos="1000" w:val="left"/>
        </w:tabs>
        <w:numPr>
          <w:ilvl w:val="0"/>
          <w:numId w:val="1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in the case of any combination of items (1) through (10) above.</w:t>
      </w:r>
    </w:p>
    <w:p>
      <w:pPr>
        <w:spacing w:after="0" w:line="2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231F20"/>
        </w:rPr>
        <w:t>If the Issuer is required to pay additional amounts with respect to the Notes, the Issuer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231F20"/>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2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231F20"/>
        </w:rPr>
        <w:t>The Notes are subject in all cases to any tax, fiscal or other law or regulation or administrative or judicial interpretation applicable to the Notes. Except as specifically provided under this heading “—Payment of Additional Amounts,” the Issuer will not be required to make any payment for any tax, assessment or other governmental charge imposed by any government or a political subdivision or taxing authority of or in any government or political subdivision.</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231F20"/>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Redemption for Tax Reasons</w:t>
      </w:r>
    </w:p>
    <w:p>
      <w:pPr>
        <w:spacing w:after="0" w:line="26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231F20"/>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the prospectus supplement applicable to the Notes, the Issuer becomes or, based upon a written opinion of independent counsel selected by the Issuer, will become obligated to pay additional amounts as described under the heading “—Payment of Additional Amounts” with respect to the Notes, then the Issuer may at any time at its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No Mandatory Redemption or Sinking Fund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There is no mandatory redemption prior to maturity nor are there any sinking fund payments for the Notes.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Additional Debt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The Indenture does not limit the amount of debt the Issuer may issue under the Indenture or otherwise.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ectPr>
          <w:pgSz w:w="11900" w:h="16838" w:orient="portrait"/>
          <w:cols w:equalWidth="0" w:num="1">
            <w:col w:w="11240"/>
          </w:cols>
          <w:pgMar w:left="320" w:top="1440" w:right="339" w:bottom="1440" w:gutter="0" w:footer="0" w:header="0"/>
        </w:sectPr>
      </w:pPr>
    </w:p>
    <w:bookmarkStart w:id="191" w:name="page192"/>
    <w:bookmarkEnd w:id="191"/>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The Issuer and the Guarantors have agreed to some restrictions on their activities for the benefit of holders of all series of the Notes issued under the Indenture. The restrictive covenants summarized below apply, unless the covenants are waived or amended, so long as any of the Notes are outstanding.</w:t>
      </w:r>
    </w:p>
    <w:p>
      <w:pPr>
        <w:spacing w:after="0" w:line="213"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The Indenture does not contain any financial covenants other than those summarized below and does not restrict the Issuer or the Issuer’s subsidiaries from paying dividends or incurring additional debt. In addition, the Indenture does not protect holders of Notes issued under it in the event of a highly leveraged transaction or a change in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Liens Securing Indebtedness</w:t>
      </w:r>
    </w:p>
    <w:p>
      <w:pPr>
        <w:spacing w:after="0" w:line="25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With respect to the Notes of each series, each Obligor has covenanted under the Indenture not to create or incur any Lien on any of its Properties, whether owned at the time the Indenture is executed or acquired afterward, in order to secure any of its Indebtedness, without effectively providing that the Notes of such series shall be equally and ratably secured until such time as such Indebtedness is no longer secured by such Lien, except:</w:t>
      </w:r>
    </w:p>
    <w:p>
      <w:pPr>
        <w:spacing w:after="0" w:line="203" w:lineRule="exact"/>
        <w:rPr>
          <w:sz w:val="20"/>
          <w:szCs w:val="20"/>
          <w:color w:val="auto"/>
        </w:rPr>
      </w:pPr>
    </w:p>
    <w:p>
      <w:pPr>
        <w:ind w:left="780" w:hanging="448"/>
        <w:spacing w:after="0"/>
        <w:tabs>
          <w:tab w:leader="none" w:pos="7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as of the date of initial issuance of the Notes of such series;</w:t>
      </w:r>
    </w:p>
    <w:p>
      <w:pPr>
        <w:spacing w:after="0" w:line="246" w:lineRule="exact"/>
        <w:rPr>
          <w:rFonts w:ascii="Times New Roman" w:cs="Times New Roman" w:eastAsia="Times New Roman" w:hAnsi="Times New Roman"/>
          <w:sz w:val="22"/>
          <w:szCs w:val="22"/>
          <w:color w:val="auto"/>
        </w:rPr>
      </w:pPr>
    </w:p>
    <w:p>
      <w:pPr>
        <w:ind w:left="660" w:right="300" w:hanging="328"/>
        <w:spacing w:after="0" w:line="271" w:lineRule="auto"/>
        <w:tabs>
          <w:tab w:leader="none" w:pos="80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after the date of initial issuance of the Notes of such series, created in favor of the registered holders of the Notes of such series;</w:t>
      </w:r>
    </w:p>
    <w:p>
      <w:pPr>
        <w:spacing w:after="0" w:line="211" w:lineRule="exact"/>
        <w:rPr>
          <w:rFonts w:ascii="Times New Roman" w:cs="Times New Roman" w:eastAsia="Times New Roman" w:hAnsi="Times New Roman"/>
          <w:sz w:val="22"/>
          <w:szCs w:val="22"/>
          <w:color w:val="auto"/>
        </w:rPr>
      </w:pPr>
    </w:p>
    <w:p>
      <w:pPr>
        <w:ind w:left="660" w:hanging="328"/>
        <w:spacing w:after="0" w:line="253" w:lineRule="auto"/>
        <w:tabs>
          <w:tab w:leader="none" w:pos="79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205"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47"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restrictions above, any Obligor may, without securing the Notes of any series, create or incur Liens which would otherwise be subject to the restrictions set forth above, if after giving effect to those Liens, the Obligor’s Aggregate Debt together with the Aggregate Debt of each other Obligor does not exceed the greater of (i) 15% of the Issuer’s Consolidated Net Worth calculated as of the date of the creation or incurrence of the Lien and (ii) 15% of the Issuer’s Consolidated Net Worth calculated as of the date of initial issuance of the Notes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ectPr>
          <w:pgSz w:w="11900" w:h="16838" w:orient="portrait"/>
          <w:cols w:equalWidth="0" w:num="1">
            <w:col w:w="11220"/>
          </w:cols>
          <w:pgMar w:left="320" w:top="1422" w:right="359" w:bottom="1440" w:gutter="0" w:footer="0" w:header="0"/>
        </w:sectPr>
      </w:pPr>
    </w:p>
    <w:bookmarkStart w:id="192" w:name="page193"/>
    <w:bookmarkEnd w:id="192"/>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Sale and Lease-Back Transactions</w:t>
      </w:r>
    </w:p>
    <w:p>
      <w:pPr>
        <w:spacing w:after="0" w:line="253"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2"/>
          <w:szCs w:val="22"/>
          <w:color w:val="auto"/>
        </w:rPr>
        <w:t>With respect to the Notes of each series, each Obligor has covenanted under the Indenture not to enter into any sale and lease-back transaction for the sale and leasing back of any Property, whether owned at the time the Indenture is executed or acquired afterward, unless:</w:t>
      </w:r>
    </w:p>
    <w:p>
      <w:pPr>
        <w:spacing w:after="0" w:line="208" w:lineRule="exact"/>
        <w:rPr>
          <w:sz w:val="20"/>
          <w:szCs w:val="20"/>
          <w:color w:val="auto"/>
        </w:rPr>
      </w:pPr>
    </w:p>
    <w:p>
      <w:pPr>
        <w:ind w:left="620" w:hanging="288"/>
        <w:spacing w:after="0"/>
        <w:tabs>
          <w:tab w:leader="none" w:pos="62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was entered into prior to the date of the initial issuance of the Notes of such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was for the sale and leasing back to such Obligor of any Property by one of its Subsidiaries;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involves a lease for less than three years;</w:t>
      </w:r>
    </w:p>
    <w:p>
      <w:pPr>
        <w:spacing w:after="0" w:line="246" w:lineRule="exact"/>
        <w:rPr>
          <w:rFonts w:ascii="Times New Roman" w:cs="Times New Roman" w:eastAsia="Times New Roman" w:hAnsi="Times New Roman"/>
          <w:sz w:val="22"/>
          <w:szCs w:val="22"/>
          <w:color w:val="auto"/>
        </w:rPr>
      </w:pPr>
    </w:p>
    <w:p>
      <w:pPr>
        <w:ind w:left="660" w:right="180" w:hanging="328"/>
        <w:spacing w:after="0" w:line="275" w:lineRule="auto"/>
        <w:tabs>
          <w:tab w:leader="none" w:pos="628"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Obligor would be entitled to incur Indebtedness secured by a mortgage on the Property to be leased in an amount equal to the Attributable Liens with respect to such sale and lease-back transaction without equally and ratably securing the Notes of such series pursuant to the first paragraph of “—Limitation on Liens Securing Indebtedness” above; or</w:t>
      </w:r>
    </w:p>
    <w:p>
      <w:pPr>
        <w:spacing w:after="0" w:line="209" w:lineRule="exact"/>
        <w:rPr>
          <w:rFonts w:ascii="Times New Roman" w:cs="Times New Roman" w:eastAsia="Times New Roman" w:hAnsi="Times New Roman"/>
          <w:sz w:val="21"/>
          <w:szCs w:val="21"/>
          <w:color w:val="auto"/>
        </w:rPr>
      </w:pPr>
    </w:p>
    <w:p>
      <w:pPr>
        <w:ind w:left="660" w:hanging="328"/>
        <w:spacing w:after="0" w:line="252" w:lineRule="auto"/>
        <w:tabs>
          <w:tab w:leader="none" w:pos="62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the Notes to the Trustee therefor for cancellation, such Notes to be credited at the cost thereof to the Obligor.</w:t>
      </w:r>
    </w:p>
    <w:p>
      <w:pPr>
        <w:spacing w:after="0" w:line="206"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2"/>
          <w:szCs w:val="22"/>
          <w:color w:val="auto"/>
        </w:rPr>
        <w:t>Notwithstanding the previous paragraph (including the bulleted list), any Obligor may enter into any sale and lease-back transaction which would otherwise be subject to the foregoing restrictions with respect to the Notes of any series if after giving effect thereto and at the time of determination, its Aggregate Debt together with the Aggregate Debt of all other Obligors does not exceed the greater of (i) 15% of the Issuer’s Consolidated Net Worth calculated as of the closing date of the sale and lease-back transaction and (ii) 15% of the Issuer’s Consolidated Net Worth calculated as of the date of initial issuance of the Notes of such series.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Debt</w:t>
      </w:r>
      <w:r>
        <w:rPr>
          <w:rFonts w:ascii="Times New Roman" w:cs="Times New Roman" w:eastAsia="Times New Roman" w:hAnsi="Times New Roman"/>
          <w:sz w:val="22"/>
          <w:szCs w:val="22"/>
          <w:color w:val="auto"/>
        </w:rPr>
        <w:t>” means, with respect to an Obligor, the sum of the following as of the date of determination:</w:t>
      </w:r>
    </w:p>
    <w:p>
      <w:pPr>
        <w:spacing w:after="0" w:line="251" w:lineRule="exact"/>
        <w:rPr>
          <w:sz w:val="20"/>
          <w:szCs w:val="20"/>
          <w:color w:val="auto"/>
        </w:rPr>
      </w:pPr>
    </w:p>
    <w:p>
      <w:pPr>
        <w:ind w:right="160" w:firstLine="656"/>
        <w:spacing w:after="0" w:line="257" w:lineRule="auto"/>
        <w:tabs>
          <w:tab w:leader="none" w:pos="95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such Obligor’s Indebtedness incurred after the date of initial issuance of the Notes and secured by Liens not permitted by the first paragraph (including the bulleted list) under “—Limitation on Liens Securing Indebtedness” above; and</w:t>
      </w:r>
    </w:p>
    <w:p>
      <w:pPr>
        <w:spacing w:after="0" w:line="199" w:lineRule="exact"/>
        <w:rPr>
          <w:rFonts w:ascii="Times New Roman" w:cs="Times New Roman" w:eastAsia="Times New Roman" w:hAnsi="Times New Roman"/>
          <w:sz w:val="22"/>
          <w:szCs w:val="22"/>
          <w:color w:val="auto"/>
        </w:rPr>
      </w:pPr>
    </w:p>
    <w:p>
      <w:pPr>
        <w:ind w:right="20" w:firstLine="656"/>
        <w:spacing w:after="0" w:line="271" w:lineRule="auto"/>
        <w:tabs>
          <w:tab w:leader="none" w:pos="95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Obligor’s Attributable Liens in respect of sale and lease-back transactions entered into after the date of the initial issuance of the Notes pursuant to the last paragraph under “—Limitation on Sale and Lease-Back Transactions” above.</w:t>
      </w:r>
    </w:p>
    <w:p>
      <w:pPr>
        <w:sectPr>
          <w:pgSz w:w="11900" w:h="16838" w:orient="portrait"/>
          <w:cols w:equalWidth="0" w:num="1">
            <w:col w:w="11180"/>
          </w:cols>
          <w:pgMar w:left="320" w:top="1440" w:right="399" w:bottom="1440" w:gutter="0" w:footer="0" w:header="0"/>
        </w:sectPr>
      </w:pPr>
    </w:p>
    <w:bookmarkStart w:id="193" w:name="page194"/>
    <w:bookmarkEnd w:id="193"/>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Attributable Liens</w:t>
      </w:r>
      <w:r>
        <w:rPr>
          <w:rFonts w:ascii="Times New Roman" w:cs="Times New Roman" w:eastAsia="Times New Roman" w:hAnsi="Times New Roman"/>
          <w:sz w:val="22"/>
          <w:szCs w:val="22"/>
          <w:color w:val="auto"/>
        </w:rPr>
        <w:t>” means in connection with a sale and lease-back transaction of an Obligor the lesser of:</w:t>
      </w:r>
    </w:p>
    <w:p>
      <w:pPr>
        <w:spacing w:after="0" w:line="251" w:lineRule="exact"/>
        <w:rPr>
          <w:sz w:val="20"/>
          <w:szCs w:val="20"/>
          <w:color w:val="auto"/>
        </w:rPr>
      </w:pPr>
    </w:p>
    <w:p>
      <w:pPr>
        <w:ind w:right="60" w:firstLine="656"/>
        <w:spacing w:after="0" w:line="271" w:lineRule="auto"/>
        <w:tabs>
          <w:tab w:leader="none" w:pos="95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assets subject to such transaction (as determined in good faith by the board of directors (in the case of the Issuer) or the equivalent governing body (in the case of any Guarantor)); and</w:t>
      </w:r>
    </w:p>
    <w:p>
      <w:pPr>
        <w:spacing w:after="0" w:line="198" w:lineRule="exact"/>
        <w:rPr>
          <w:rFonts w:ascii="Times New Roman" w:cs="Times New Roman" w:eastAsia="Times New Roman" w:hAnsi="Times New Roman"/>
          <w:sz w:val="22"/>
          <w:szCs w:val="22"/>
          <w:color w:val="auto"/>
        </w:rPr>
      </w:pPr>
    </w:p>
    <w:p>
      <w:pPr>
        <w:jc w:val="both"/>
        <w:ind w:right="160" w:firstLine="656"/>
        <w:spacing w:after="0" w:line="257" w:lineRule="auto"/>
        <w:tabs>
          <w:tab w:leader="none" w:pos="95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(discounted at a rate per annum equal to the average interest borne by all outstanding Notes of each series issued under the Indenture determined on a weighted average basis and compounded semi-annually) of the obligations of the lessee for rental payments during the term of the related lease.</w:t>
      </w:r>
    </w:p>
    <w:p>
      <w:pPr>
        <w:spacing w:after="0" w:line="19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Lease</w:t>
      </w:r>
      <w:r>
        <w:rPr>
          <w:rFonts w:ascii="Times New Roman" w:cs="Times New Roman" w:eastAsia="Times New Roman" w:hAnsi="Times New Roman"/>
          <w:sz w:val="22"/>
          <w:szCs w:val="22"/>
          <w:color w:val="auto"/>
        </w:rPr>
        <w:t>” means any Indebtedness represented by a lease obligation of a Person incurred with respect to real property or equipment acquired or leased by such Person and used in its business that would be required to be recorded as a capital lease in accordance with GAAP as in effect as of the date of the Indenture, whether entered into before or after the date of the Indenture.</w:t>
      </w:r>
    </w:p>
    <w:p>
      <w:pPr>
        <w:spacing w:after="0" w:line="195"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Net Worth</w:t>
      </w:r>
      <w:r>
        <w:rPr>
          <w:rFonts w:ascii="Times New Roman" w:cs="Times New Roman" w:eastAsia="Times New Roman" w:hAnsi="Times New Roman"/>
          <w:sz w:val="22"/>
          <w:szCs w:val="22"/>
          <w:color w:val="auto"/>
        </w:rPr>
        <w:t>” of any Person means, as of any date of determination, the stockholders’ equity or members’ capital of such Person as reflected on the most recent consolidated balance sheet of such Person and prepared in accordance with GAAP.</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Hedging Obligations</w:t>
      </w:r>
      <w:r>
        <w:rPr>
          <w:rFonts w:ascii="Times New Roman" w:cs="Times New Roman" w:eastAsia="Times New Roman" w:hAnsi="Times New Roman"/>
          <w:sz w:val="22"/>
          <w:szCs w:val="22"/>
          <w:color w:val="auto"/>
        </w:rPr>
        <w:t>” means, with respect to any specified Person, the obligations of such Person under:</w:t>
      </w:r>
    </w:p>
    <w:p>
      <w:pPr>
        <w:spacing w:after="0" w:line="264" w:lineRule="exact"/>
        <w:rPr>
          <w:sz w:val="20"/>
          <w:szCs w:val="20"/>
          <w:color w:val="auto"/>
        </w:rPr>
      </w:pPr>
    </w:p>
    <w:p>
      <w:pPr>
        <w:ind w:right="180" w:firstLine="656"/>
        <w:spacing w:after="0" w:line="271" w:lineRule="auto"/>
        <w:tabs>
          <w:tab w:leader="none" w:pos="95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agreements (whether from fixed to floating or from floating to fixed), interest rate cap agreements, interest rate lock agreements and interest rate collar agreements;</w:t>
      </w:r>
    </w:p>
    <w:p>
      <w:pPr>
        <w:spacing w:after="0" w:line="18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manage interest rates or interest rate risk;</w:t>
      </w:r>
    </w:p>
    <w:p>
      <w:pPr>
        <w:spacing w:after="0" w:line="246" w:lineRule="exact"/>
        <w:rPr>
          <w:rFonts w:ascii="Times New Roman" w:cs="Times New Roman" w:eastAsia="Times New Roman" w:hAnsi="Times New Roman"/>
          <w:sz w:val="22"/>
          <w:szCs w:val="22"/>
          <w:color w:val="auto"/>
        </w:rPr>
      </w:pPr>
    </w:p>
    <w:p>
      <w:pPr>
        <w:ind w:right="200" w:firstLine="656"/>
        <w:spacing w:after="0" w:line="271" w:lineRule="auto"/>
        <w:tabs>
          <w:tab w:leader="none" w:pos="95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currency exchange rates or commodity prices; and</w:t>
      </w:r>
    </w:p>
    <w:p>
      <w:pPr>
        <w:sectPr>
          <w:pgSz w:w="11900" w:h="16838" w:orient="portrait"/>
          <w:cols w:equalWidth="0" w:num="1">
            <w:col w:w="11220"/>
          </w:cols>
          <w:pgMar w:left="320" w:top="1440" w:right="359" w:bottom="1440" w:gutter="0" w:footer="0" w:header="0"/>
        </w:sectPr>
      </w:pPr>
    </w:p>
    <w:bookmarkStart w:id="194" w:name="page195"/>
    <w:bookmarkEnd w:id="194"/>
    <w:p>
      <w:pPr>
        <w:ind w:left="660"/>
        <w:spacing w:after="0"/>
        <w:rPr>
          <w:sz w:val="20"/>
          <w:szCs w:val="20"/>
          <w:color w:val="auto"/>
        </w:rPr>
      </w:pPr>
      <w:r>
        <w:rPr>
          <w:rFonts w:ascii="Times New Roman" w:cs="Times New Roman" w:eastAsia="Times New Roman" w:hAnsi="Times New Roman"/>
          <w:sz w:val="22"/>
          <w:szCs w:val="22"/>
          <w:color w:val="auto"/>
        </w:rPr>
        <w:t>(4) other agreements or arrangements designed to protect such Person against fluctuations in equity prices.</w:t>
      </w:r>
    </w:p>
    <w:p>
      <w:pPr>
        <w:spacing w:after="0" w:line="243"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202" w:lineRule="exact"/>
        <w:rPr>
          <w:sz w:val="20"/>
          <w:szCs w:val="20"/>
          <w:color w:val="auto"/>
        </w:rPr>
      </w:pPr>
    </w:p>
    <w:p>
      <w:pPr>
        <w:ind w:right="14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any lien, security interest, charge or encumbrance of any kind (including any conditional sale or other title retention agreement, any lease in the nature thereof, and any agreement to give any security interest).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Obligor</w:t>
      </w:r>
      <w:r>
        <w:rPr>
          <w:rFonts w:ascii="Times New Roman" w:cs="Times New Roman" w:eastAsia="Times New Roman" w:hAnsi="Times New Roman"/>
          <w:sz w:val="22"/>
          <w:szCs w:val="22"/>
          <w:color w:val="auto"/>
        </w:rPr>
        <w:t>” means each of the Issuer and each Guarantor.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 with respect to an Obligor:</w:t>
      </w:r>
    </w:p>
    <w:p>
      <w:pPr>
        <w:spacing w:after="0" w:line="251" w:lineRule="exact"/>
        <w:rPr>
          <w:sz w:val="20"/>
          <w:szCs w:val="20"/>
          <w:color w:val="auto"/>
        </w:rPr>
      </w:pPr>
    </w:p>
    <w:p>
      <w:pPr>
        <w:ind w:right="500" w:firstLine="656"/>
        <w:spacing w:after="0" w:line="256" w:lineRule="auto"/>
        <w:tabs>
          <w:tab w:leader="none" w:pos="95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of the applicable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203"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(2)(a)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(a) the Liens shall be given within 24 months after such acquisition and shall attach solely to the Property acquired or purchased and any improvements then or thereafter placed thereon, (b)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(c) all renewals, extensions, refinancings, replacements or refundings of such obligations under this clause (2);</w:t>
      </w:r>
    </w:p>
    <w:p>
      <w:pPr>
        <w:spacing w:after="0" w:line="209" w:lineRule="exact"/>
        <w:rPr>
          <w:sz w:val="20"/>
          <w:szCs w:val="20"/>
          <w:color w:val="auto"/>
        </w:rPr>
      </w:pPr>
    </w:p>
    <w:p>
      <w:pPr>
        <w:ind w:right="360" w:firstLine="656"/>
        <w:spacing w:after="0" w:line="284" w:lineRule="auto"/>
        <w:tabs>
          <w:tab w:leader="none" w:pos="95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70" w:lineRule="exact"/>
        <w:rPr>
          <w:rFonts w:ascii="Times New Roman" w:cs="Times New Roman" w:eastAsia="Times New Roman" w:hAnsi="Times New Roman"/>
          <w:sz w:val="22"/>
          <w:szCs w:val="22"/>
          <w:color w:val="auto"/>
        </w:rPr>
      </w:pPr>
    </w:p>
    <w:p>
      <w:pPr>
        <w:ind w:firstLine="656"/>
        <w:spacing w:after="0" w:line="271" w:lineRule="auto"/>
        <w:tabs>
          <w:tab w:leader="none" w:pos="95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that are being contested in good faith by appropriate proceedings, provided that adequate reserves with respect thereto are maintained on such Obligor’s books in conformity with GAAP;</w:t>
      </w:r>
    </w:p>
    <w:p>
      <w:pPr>
        <w:sectPr>
          <w:pgSz w:w="11900" w:h="16838" w:orient="portrait"/>
          <w:cols w:equalWidth="0" w:num="1">
            <w:col w:w="11240"/>
          </w:cols>
          <w:pgMar w:left="320" w:top="1422" w:right="339" w:bottom="1440" w:gutter="0" w:footer="0" w:header="0"/>
        </w:sectPr>
      </w:pPr>
    </w:p>
    <w:bookmarkStart w:id="195" w:name="page196"/>
    <w:bookmarkEnd w:id="195"/>
    <w:p>
      <w:pPr>
        <w:ind w:right="20" w:firstLine="656"/>
        <w:spacing w:after="0" w:line="271" w:lineRule="auto"/>
        <w:tabs>
          <w:tab w:leader="none" w:pos="95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reimbursement obligations with respect to letters of credit that encumber documents and other Property relating to such letters of credit and the products and proceeds thereof;</w:t>
      </w:r>
    </w:p>
    <w:p>
      <w:pPr>
        <w:spacing w:after="0" w:line="184" w:lineRule="exact"/>
        <w:rPr>
          <w:rFonts w:ascii="Times New Roman" w:cs="Times New Roman" w:eastAsia="Times New Roman" w:hAnsi="Times New Roman"/>
          <w:sz w:val="22"/>
          <w:szCs w:val="22"/>
          <w:color w:val="auto"/>
        </w:rPr>
      </w:pPr>
    </w:p>
    <w:p>
      <w:pPr>
        <w:ind w:right="140" w:firstLine="656"/>
        <w:spacing w:after="0" w:line="256" w:lineRule="auto"/>
        <w:tabs>
          <w:tab w:leader="none" w:pos="95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customary initial deposits and margin deposits and other Liens in the ordinary course of business, in each case securing Hedging Obligations and forward contracts, options, futures contracts, futures options, swaps, equity hedges or similar agreements or arrangements designed to protect such Obligor from fluctuations in interest rates, currencies, equities or the price of commodities;</w:t>
      </w:r>
    </w:p>
    <w:p>
      <w:pPr>
        <w:spacing w:after="0" w:line="20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Issuer or any Guarantor;</w:t>
      </w:r>
    </w:p>
    <w:p>
      <w:pPr>
        <w:spacing w:after="0" w:line="246" w:lineRule="exact"/>
        <w:rPr>
          <w:rFonts w:ascii="Times New Roman" w:cs="Times New Roman" w:eastAsia="Times New Roman" w:hAnsi="Times New Roman"/>
          <w:sz w:val="22"/>
          <w:szCs w:val="22"/>
          <w:color w:val="auto"/>
        </w:rPr>
      </w:pPr>
    </w:p>
    <w:p>
      <w:pPr>
        <w:ind w:right="480" w:firstLine="656"/>
        <w:spacing w:after="0" w:line="263" w:lineRule="auto"/>
        <w:tabs>
          <w:tab w:leader="none" w:pos="95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94" w:lineRule="exact"/>
        <w:rPr>
          <w:rFonts w:ascii="Times New Roman" w:cs="Times New Roman" w:eastAsia="Times New Roman" w:hAnsi="Times New Roman"/>
          <w:sz w:val="22"/>
          <w:szCs w:val="22"/>
          <w:color w:val="auto"/>
        </w:rPr>
      </w:pPr>
    </w:p>
    <w:p>
      <w:pPr>
        <w:jc w:val="both"/>
        <w:ind w:right="300" w:firstLine="656"/>
        <w:spacing w:after="0" w:line="257" w:lineRule="auto"/>
        <w:tabs>
          <w:tab w:leader="none" w:pos="95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99" w:lineRule="exact"/>
        <w:rPr>
          <w:rFonts w:ascii="Times New Roman" w:cs="Times New Roman" w:eastAsia="Times New Roman" w:hAnsi="Times New Roman"/>
          <w:sz w:val="22"/>
          <w:szCs w:val="22"/>
          <w:color w:val="auto"/>
        </w:rPr>
      </w:pPr>
    </w:p>
    <w:p>
      <w:pPr>
        <w:ind w:firstLine="656"/>
        <w:spacing w:after="0" w:line="284" w:lineRule="auto"/>
        <w:tabs>
          <w:tab w:leader="none" w:pos="106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to secure obligations under workers’ compensation laws or similar legislation, including Liens of judgments thereunder which are not currently dischargeable;</w:t>
      </w:r>
    </w:p>
    <w:p>
      <w:pPr>
        <w:spacing w:after="0" w:line="170" w:lineRule="exact"/>
        <w:rPr>
          <w:rFonts w:ascii="Times New Roman" w:cs="Times New Roman" w:eastAsia="Times New Roman" w:hAnsi="Times New Roman"/>
          <w:sz w:val="22"/>
          <w:szCs w:val="22"/>
          <w:color w:val="auto"/>
        </w:rPr>
      </w:pPr>
    </w:p>
    <w:p>
      <w:pPr>
        <w:ind w:right="60" w:firstLine="656"/>
        <w:spacing w:after="0" w:line="252" w:lineRule="auto"/>
        <w:tabs>
          <w:tab w:leader="none" w:pos="105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21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such Obligor’s statutory obligations in the ordinary course of its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222" w:lineRule="exact"/>
        <w:rPr>
          <w:rFonts w:ascii="Times New Roman" w:cs="Times New Roman" w:eastAsia="Times New Roman" w:hAnsi="Times New Roman"/>
          <w:sz w:val="22"/>
          <w:szCs w:val="22"/>
          <w:color w:val="auto"/>
        </w:rPr>
      </w:pPr>
    </w:p>
    <w:p>
      <w:pPr>
        <w:ind w:right="340" w:firstLine="656"/>
        <w:spacing w:after="0" w:line="254" w:lineRule="auto"/>
        <w:tabs>
          <w:tab w:leader="none" w:pos="106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(or in lieu of) surety, appeal or customs bonds in proceedings to which such Obligor is a party in the ordinary course of its business, but not in excess of $25,000,000;</w:t>
      </w:r>
    </w:p>
    <w:p>
      <w:pPr>
        <w:spacing w:after="0" w:line="1"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“margin stock” (as defined in Regulation U of the Board of Governors of the Federal Reserve System);</w:t>
      </w:r>
    </w:p>
    <w:p>
      <w:pPr>
        <w:spacing w:after="0" w:line="236" w:lineRule="exact"/>
        <w:rPr>
          <w:rFonts w:ascii="Times New Roman" w:cs="Times New Roman" w:eastAsia="Times New Roman" w:hAnsi="Times New Roman"/>
          <w:sz w:val="22"/>
          <w:szCs w:val="22"/>
          <w:color w:val="auto"/>
        </w:rPr>
      </w:pPr>
    </w:p>
    <w:p>
      <w:pPr>
        <w:ind w:right="700" w:firstLine="656"/>
        <w:spacing w:after="0" w:line="271" w:lineRule="auto"/>
        <w:tabs>
          <w:tab w:leader="none" w:pos="106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permitted under sale and lease-back transactions, and any renewals or extensions thereof, so long as the Indebtedness secured thereby does not exceed $300,000,000 in the aggregate;</w:t>
      </w:r>
    </w:p>
    <w:p>
      <w:pPr>
        <w:sectPr>
          <w:pgSz w:w="11900" w:h="16838" w:orient="portrait"/>
          <w:cols w:equalWidth="0" w:num="1">
            <w:col w:w="11240"/>
          </w:cols>
          <w:pgMar w:left="320" w:top="1422" w:right="339" w:bottom="1440" w:gutter="0" w:footer="0" w:header="0"/>
        </w:sectPr>
      </w:pPr>
    </w:p>
    <w:bookmarkStart w:id="196" w:name="page197"/>
    <w:bookmarkEnd w:id="196"/>
    <w:p>
      <w:pPr>
        <w:ind w:right="540" w:firstLine="656"/>
        <w:spacing w:after="0" w:line="271" w:lineRule="auto"/>
        <w:tabs>
          <w:tab w:leader="none" w:pos="106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connection with asset securitization transactions, so long as the aggregate outstanding principal amount of the obligations of all Obligors secured thereby does not exceed $300,000,000 at any one time;</w:t>
      </w:r>
    </w:p>
    <w:p>
      <w:pPr>
        <w:spacing w:after="0" w:line="184"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Specified Non-Recourse Debt;</w:t>
      </w:r>
    </w:p>
    <w:p>
      <w:pPr>
        <w:spacing w:after="0" w:line="260" w:lineRule="exact"/>
        <w:rPr>
          <w:rFonts w:ascii="Times New Roman" w:cs="Times New Roman" w:eastAsia="Times New Roman" w:hAnsi="Times New Roman"/>
          <w:sz w:val="22"/>
          <w:szCs w:val="22"/>
          <w:color w:val="auto"/>
        </w:rPr>
      </w:pPr>
    </w:p>
    <w:p>
      <w:pPr>
        <w:ind w:right="320" w:firstLine="656"/>
        <w:spacing w:after="0" w:line="252" w:lineRule="auto"/>
        <w:tabs>
          <w:tab w:leader="none" w:pos="106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206"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Take-or-pay obligations arising in the ordinary course of business.</w:t>
      </w:r>
    </w:p>
    <w:p>
      <w:pPr>
        <w:spacing w:after="0" w:line="256"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 w:lineRule="exact"/>
        <w:rPr>
          <w:sz w:val="20"/>
          <w:szCs w:val="20"/>
          <w:color w:val="auto"/>
        </w:rPr>
      </w:pPr>
    </w:p>
    <w:p>
      <w:pPr>
        <w:ind w:right="64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means with respect to any Person any property or asset, whether real, personal or mixed, or tangible or intangible, including shares of capital stock.</w:t>
      </w:r>
    </w:p>
    <w:p>
      <w:pPr>
        <w:spacing w:after="0" w:line="205" w:lineRule="exact"/>
        <w:rPr>
          <w:sz w:val="20"/>
          <w:szCs w:val="20"/>
          <w:color w:val="auto"/>
        </w:rPr>
      </w:pPr>
    </w:p>
    <w:p>
      <w:pPr>
        <w:ind w:right="26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Non-Recourse Debt</w:t>
      </w:r>
      <w:r>
        <w:rPr>
          <w:rFonts w:ascii="Times New Roman" w:cs="Times New Roman" w:eastAsia="Times New Roman" w:hAnsi="Times New Roman"/>
          <w:sz w:val="22"/>
          <w:szCs w:val="22"/>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88"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Consolidation, Merger and Sale of Assets</w:t>
      </w:r>
    </w:p>
    <w:p>
      <w:pPr>
        <w:spacing w:after="0" w:line="25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The Issuer may not consolidate or combine with or merge with or into or, directly or indirectly, sell, assign, convey, lease, transfer or otherwise dispose of all or substantially all of the Issuer’s assets to any Person or Persons (other than a transfer or other disposition of assets to any of the Issuer’s wholly owned Subsidiaries), in a single transaction or through a series of transactions, unless:</w:t>
      </w:r>
    </w:p>
    <w:p>
      <w:pPr>
        <w:spacing w:after="0" w:line="217" w:lineRule="exact"/>
        <w:rPr>
          <w:sz w:val="20"/>
          <w:szCs w:val="20"/>
          <w:color w:val="auto"/>
        </w:rPr>
      </w:pPr>
    </w:p>
    <w:p>
      <w:pPr>
        <w:ind w:left="660" w:right="60" w:hanging="328"/>
        <w:spacing w:after="0" w:line="257" w:lineRule="auto"/>
        <w:tabs>
          <w:tab w:leader="none" w:pos="628"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be the continuing Person or, if the Issuer is not the continuing Person, the resulting, surviving or transferee Person (the “surviving entity”) is a company or limited liability company organized (or formed in the case of a limited liability company) and</w:t>
      </w:r>
    </w:p>
    <w:p>
      <w:pPr>
        <w:sectPr>
          <w:pgSz w:w="11900" w:h="16838" w:orient="portrait"/>
          <w:cols w:equalWidth="0" w:num="1">
            <w:col w:w="11240"/>
          </w:cols>
          <w:pgMar w:left="320" w:top="1422" w:right="33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22"/>
          <w:szCs w:val="22"/>
          <w:color w:val="auto"/>
        </w:rPr>
        <w:t>existing under the laws of the United States or any State or territory thereof or the District of Columbia;</w:t>
      </w:r>
    </w:p>
    <w:p>
      <w:pPr>
        <w:spacing w:after="0" w:line="260" w:lineRule="exact"/>
        <w:rPr>
          <w:sz w:val="20"/>
          <w:szCs w:val="20"/>
          <w:color w:val="auto"/>
        </w:rPr>
      </w:pPr>
    </w:p>
    <w:p>
      <w:pPr>
        <w:ind w:left="660" w:right="660" w:hanging="328"/>
        <w:spacing w:after="0" w:line="309" w:lineRule="auto"/>
        <w:tabs>
          <w:tab w:leader="none" w:pos="628"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surviving entity will expressly assume all of the Issuer’s obligations under the Notes and the Indenture and will execute a supplemental indenture, in a form satisfactory to the Trustee, which will be delivered to the Trustee;</w:t>
      </w:r>
    </w:p>
    <w:p>
      <w:pPr>
        <w:spacing w:after="0" w:line="161" w:lineRule="exact"/>
        <w:rPr>
          <w:rFonts w:ascii="Times New Roman" w:cs="Times New Roman" w:eastAsia="Times New Roman" w:hAnsi="Times New Roman"/>
          <w:sz w:val="21"/>
          <w:szCs w:val="21"/>
          <w:color w:val="auto"/>
        </w:rPr>
      </w:pPr>
    </w:p>
    <w:p>
      <w:pPr>
        <w:ind w:left="660" w:right="200" w:hanging="328"/>
        <w:spacing w:after="0" w:line="271" w:lineRule="auto"/>
        <w:tabs>
          <w:tab w:leader="none" w:pos="62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or series of transactions on a pro forma basis, no default has occurred and is continuing; and</w:t>
      </w:r>
    </w:p>
    <w:p>
      <w:pPr>
        <w:spacing w:after="0" w:line="211" w:lineRule="exact"/>
        <w:rPr>
          <w:rFonts w:ascii="Times New Roman" w:cs="Times New Roman" w:eastAsia="Times New Roman" w:hAnsi="Times New Roman"/>
          <w:sz w:val="22"/>
          <w:szCs w:val="22"/>
          <w:color w:val="auto"/>
        </w:rPr>
      </w:pPr>
    </w:p>
    <w:p>
      <w:pPr>
        <w:ind w:left="660" w:right="100" w:hanging="328"/>
        <w:spacing w:after="0" w:line="275" w:lineRule="auto"/>
        <w:tabs>
          <w:tab w:leader="none" w:pos="628"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restrictions in the third bullet above shall not be applicable to:</w:t>
      </w:r>
    </w:p>
    <w:p>
      <w:pPr>
        <w:spacing w:after="0" w:line="260" w:lineRule="exact"/>
        <w:rPr>
          <w:sz w:val="20"/>
          <w:szCs w:val="20"/>
          <w:color w:val="auto"/>
        </w:rPr>
      </w:pPr>
    </w:p>
    <w:p>
      <w:pPr>
        <w:ind w:left="660" w:right="180" w:hanging="328"/>
        <w:spacing w:after="0" w:line="263" w:lineRule="auto"/>
        <w:tabs>
          <w:tab w:leader="none" w:pos="628"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Issuer with an affiliate if the Issuer’s board of directors, determines in good faith that the purpose of such transaction is principally to change the Issuer’s state of incorporation or convert the Issuer’s form of organization to another form; or</w:t>
      </w:r>
    </w:p>
    <w:p>
      <w:pPr>
        <w:spacing w:after="0" w:line="207" w:lineRule="exact"/>
        <w:rPr>
          <w:rFonts w:ascii="Times New Roman" w:cs="Times New Roman" w:eastAsia="Times New Roman" w:hAnsi="Times New Roman"/>
          <w:sz w:val="22"/>
          <w:szCs w:val="22"/>
          <w:color w:val="auto"/>
        </w:rPr>
      </w:pPr>
    </w:p>
    <w:p>
      <w:pPr>
        <w:ind w:left="660" w:right="20" w:hanging="328"/>
        <w:spacing w:after="0" w:line="256" w:lineRule="auto"/>
        <w:tabs>
          <w:tab w:leader="none" w:pos="628"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of the Issuer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the Issuer’s state of incorporation).</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If any consolidation or merger or any sale, assignment, conveyance, lease, transfer or other disposition of all or substantially all of the Issuer’s assets occurs in accordance with the Indenture, the successor person will succeed to, and be substituted for, and may exercise every right and power of ours under the Indenture with the same effect as if such successor person had been named in the Issuer’s place in the Indenture. The Issuer will (except in the case of a lease) be discharged from all obligations and covenants under the Indenture and any debt securities issued thereunder (including the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Existence</w:t>
      </w:r>
    </w:p>
    <w:p>
      <w:pPr>
        <w:spacing w:after="0" w:line="253"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Except as permitted under “—Consolidation, Merger and Sale of Assets,” the Indenture requires the Issuer to do or cause to be done all things necessary to preserve and keep in full force and effect the Issuer’s existence, rights and franchises; provided, however, that the Issuer shall not be required to preserve any right or franchise if the Issuer determines that its preservation is no longer desirable in the conduct of business.</w:t>
      </w:r>
    </w:p>
    <w:p>
      <w:pPr>
        <w:sectPr>
          <w:pgSz w:w="11900" w:h="16838" w:orient="portrait"/>
          <w:cols w:equalWidth="0" w:num="1">
            <w:col w:w="11220"/>
          </w:cols>
          <w:pgMar w:left="320" w:top="1422" w:right="3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b w:val="1"/>
          <w:bCs w:val="1"/>
          <w:i w:val="1"/>
          <w:iCs w:val="1"/>
          <w:color w:val="auto"/>
        </w:rPr>
        <w:t>Information</w:t>
      </w:r>
    </w:p>
    <w:p>
      <w:pPr>
        <w:spacing w:after="0" w:line="25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Issuer is required to furnish to the Trustee any document or report the Issuer is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51"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The Issuer, the Guarantors and the Trustee may amend or modify the Indenture or the Notes of any series without notice to or the consent of any holder in order to:</w:t>
      </w:r>
    </w:p>
    <w:p>
      <w:pPr>
        <w:spacing w:after="0" w:line="198" w:lineRule="exact"/>
        <w:rPr>
          <w:sz w:val="20"/>
          <w:szCs w:val="20"/>
          <w:color w:val="auto"/>
        </w:rPr>
      </w:pPr>
    </w:p>
    <w:p>
      <w:pPr>
        <w:ind w:left="660" w:right="140" w:hanging="328"/>
        <w:spacing w:after="0" w:line="271" w:lineRule="auto"/>
        <w:tabs>
          <w:tab w:leader="none" w:pos="62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any ambiguities, omissions, defects or inconsistencies in the Indenture in a manner that does not adversely affect the interests of the holders in any material respect;</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would provide any additional rights or benefits to the holders of the Notes;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or add guarantors with respect to the Notes;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the Notes of any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form or terms of Notes of any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uncertificated Notes in addition to or in place of certificated Notes;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and provide for the acceptance of appointment by a successor trustee;</w:t>
      </w:r>
    </w:p>
    <w:p>
      <w:pPr>
        <w:spacing w:after="0" w:line="260" w:lineRule="exact"/>
        <w:rPr>
          <w:rFonts w:ascii="Times New Roman" w:cs="Times New Roman" w:eastAsia="Times New Roman" w:hAnsi="Times New Roman"/>
          <w:sz w:val="22"/>
          <w:szCs w:val="22"/>
          <w:color w:val="auto"/>
        </w:rPr>
      </w:pPr>
    </w:p>
    <w:p>
      <w:pPr>
        <w:ind w:left="660" w:right="1000" w:hanging="328"/>
        <w:spacing w:after="0" w:line="271" w:lineRule="auto"/>
        <w:tabs>
          <w:tab w:leader="none" w:pos="62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the assumption by the Issuer’s successor, if any, to the Issuer’s or their obligations to holders of any outstanding Notes in compliance with the applicable provisions of the Indenture;</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 the Indenture under the Trust Indenture Act;</w:t>
      </w:r>
    </w:p>
    <w:p>
      <w:pPr>
        <w:spacing w:after="0" w:line="260" w:lineRule="exact"/>
        <w:rPr>
          <w:rFonts w:ascii="Times New Roman" w:cs="Times New Roman" w:eastAsia="Times New Roman" w:hAnsi="Times New Roman"/>
          <w:sz w:val="22"/>
          <w:szCs w:val="22"/>
          <w:color w:val="auto"/>
        </w:rPr>
      </w:pPr>
    </w:p>
    <w:p>
      <w:pPr>
        <w:ind w:left="660" w:right="400" w:hanging="328"/>
        <w:spacing w:after="0" w:line="295" w:lineRule="auto"/>
        <w:tabs>
          <w:tab w:leader="none" w:pos="628"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conform any provision in the Indenture or the terms of the securities of any series to the prospectus, offering memorandum, offering circular or any other document pursuant to which the securities of such series were offered; or</w:t>
      </w:r>
    </w:p>
    <w:p>
      <w:pPr>
        <w:spacing w:after="0" w:line="162" w:lineRule="exact"/>
        <w:rPr>
          <w:rFonts w:ascii="Times New Roman" w:cs="Times New Roman" w:eastAsia="Times New Roman" w:hAnsi="Times New Roman"/>
          <w:sz w:val="21"/>
          <w:szCs w:val="21"/>
          <w:color w:val="auto"/>
        </w:rPr>
      </w:pPr>
    </w:p>
    <w:p>
      <w:pPr>
        <w:ind w:left="620" w:hanging="288"/>
        <w:spacing w:after="0"/>
        <w:tabs>
          <w:tab w:leader="none" w:pos="6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does not adversely affect the rights of any holder in any material respect.</w:t>
      </w:r>
    </w:p>
    <w:p>
      <w:pPr>
        <w:sectPr>
          <w:pgSz w:w="11900" w:h="16838" w:orient="portrait"/>
          <w:cols w:equalWidth="0" w:num="1">
            <w:col w:w="11240"/>
          </w:cols>
          <w:pgMar w:left="320" w:top="1416" w:right="339" w:bottom="1440" w:gutter="0" w:footer="0" w:header="0"/>
        </w:sectPr>
      </w:pPr>
    </w:p>
    <w:bookmarkStart w:id="199" w:name="page200"/>
    <w:bookmarkEnd w:id="199"/>
    <w:p>
      <w:pPr>
        <w:spacing w:after="0" w:line="225"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Other amendments and modifications of the Indenture or the Notes of any series may be made with the consent of the holders of not less than a majority in aggregate principal amount of the Notes of all series and the debt securities of all other series outstanding under the Indenture that are affected by the amendment or modification (voting together as a single class), and the Issuer’s compliance with any provision of the Indenture with respect to the debt securities of any series issued under the Indenture (including the Notes) may be waived by written notice to the Issuer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236" w:lineRule="exact"/>
        <w:rPr>
          <w:sz w:val="20"/>
          <w:szCs w:val="20"/>
          <w:color w:val="auto"/>
        </w:rPr>
      </w:pPr>
    </w:p>
    <w:p>
      <w:pPr>
        <w:ind w:left="660" w:right="460" w:hanging="328"/>
        <w:spacing w:after="0" w:line="271" w:lineRule="auto"/>
        <w:tabs>
          <w:tab w:leader="none" w:pos="62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or extend the fixed maturity, of the Notes of such series or alter or waive the redemption provisions of the Notes of such series;</w:t>
      </w:r>
    </w:p>
    <w:p>
      <w:pPr>
        <w:spacing w:after="0" w:line="198" w:lineRule="exact"/>
        <w:rPr>
          <w:rFonts w:ascii="Times New Roman" w:cs="Times New Roman" w:eastAsia="Times New Roman" w:hAnsi="Times New Roman"/>
          <w:sz w:val="22"/>
          <w:szCs w:val="22"/>
          <w:color w:val="auto"/>
        </w:rPr>
      </w:pPr>
    </w:p>
    <w:p>
      <w:pPr>
        <w:ind w:left="660" w:right="220" w:hanging="328"/>
        <w:spacing w:after="0" w:line="271" w:lineRule="auto"/>
        <w:tabs>
          <w:tab w:leader="none" w:pos="62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of any holder of the Notes of such series to receive payment of principal or interest on the Notes of such series on and after the due dates for such principal or interest;</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currency in which principal, any premium or interest is paid;</w:t>
      </w:r>
    </w:p>
    <w:p>
      <w:pPr>
        <w:spacing w:after="0" w:line="260" w:lineRule="exact"/>
        <w:rPr>
          <w:rFonts w:ascii="Times New Roman" w:cs="Times New Roman" w:eastAsia="Times New Roman" w:hAnsi="Times New Roman"/>
          <w:sz w:val="22"/>
          <w:szCs w:val="22"/>
          <w:color w:val="auto"/>
        </w:rPr>
      </w:pPr>
    </w:p>
    <w:p>
      <w:pPr>
        <w:ind w:left="660" w:right="540" w:hanging="328"/>
        <w:spacing w:after="0" w:line="271" w:lineRule="auto"/>
        <w:tabs>
          <w:tab w:leader="none" w:pos="62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outstanding of Notes of such series which must consent to an amendment, supplement or waiver or consent to take any action;</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payment on the Notes of such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payment default with respect to the Notes of such series;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interest rate or extend the time for payment of interest on the Notes of such series; or</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the ranking of the Notes of such series.</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 amendment, supplemental indenture or waiver which changes, eliminates or waives any covenant or other provision of the Indenture which has expressly been included solely for the benefit of one or more particular series of the Notes, or which modifies the rights of the holders of the Notes of such series with respect to such covenant or other provision, shall be deemed not to affect the rights under the Indenture of the holders of debt securities of any other series.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of the following constitutes an event of default in the Indenture with respect to the Notes of any series:</w:t>
      </w:r>
    </w:p>
    <w:p>
      <w:pPr>
        <w:sectPr>
          <w:pgSz w:w="11900" w:h="16838" w:orient="portrait"/>
          <w:cols w:equalWidth="0" w:num="1">
            <w:col w:w="11240"/>
          </w:cols>
          <w:pgMar w:left="320" w:top="1440" w:right="339" w:bottom="1440" w:gutter="0" w:footer="0" w:header="0"/>
        </w:sectPr>
      </w:pPr>
    </w:p>
    <w:bookmarkStart w:id="200" w:name="page201"/>
    <w:bookmarkEnd w:id="200"/>
    <w:p>
      <w:pPr>
        <w:ind w:left="660" w:right="240" w:hanging="328"/>
        <w:spacing w:after="0" w:line="254" w:lineRule="auto"/>
        <w:tabs>
          <w:tab w:leader="none" w:pos="79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interest on the Notes of such series when it becomes due and the default continues for a period of 30 days or more;</w:t>
      </w:r>
    </w:p>
    <w:p>
      <w:pPr>
        <w:spacing w:after="0" w:line="2" w:lineRule="exact"/>
        <w:rPr>
          <w:sz w:val="20"/>
          <w:szCs w:val="20"/>
          <w:color w:val="auto"/>
        </w:rPr>
      </w:pPr>
    </w:p>
    <w:p>
      <w:pPr>
        <w:ind w:left="780" w:hanging="448"/>
        <w:spacing w:after="0"/>
        <w:tabs>
          <w:tab w:leader="none" w:pos="7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principal on the Notes of such series when due;</w:t>
      </w:r>
    </w:p>
    <w:p>
      <w:pPr>
        <w:spacing w:after="0" w:line="5" w:lineRule="exact"/>
        <w:rPr>
          <w:rFonts w:ascii="Times New Roman" w:cs="Times New Roman" w:eastAsia="Times New Roman" w:hAnsi="Times New Roman"/>
          <w:sz w:val="22"/>
          <w:szCs w:val="22"/>
          <w:color w:val="auto"/>
        </w:rPr>
      </w:pPr>
    </w:p>
    <w:p>
      <w:pPr>
        <w:ind w:left="660" w:hanging="328"/>
        <w:spacing w:after="0" w:line="245" w:lineRule="auto"/>
        <w:tabs>
          <w:tab w:leader="none" w:pos="768"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by any Obligor in the performance, or breach, of any covenant in the Indenture (other than defaults specified in clause (a) or (b) above) and the default or breach continues for a period of 90 days or more after the Issuer receives written notice from the Trustee or the Issuer and the Trustee receive notice from the holders of at least 25% in aggregate principal amount of the Notes of all affected series and the debt securities of all other affected series outstanding under the Indenture (voting together as a single class);</w:t>
      </w:r>
    </w:p>
    <w:p>
      <w:pPr>
        <w:spacing w:after="0" w:line="4" w:lineRule="exact"/>
        <w:rPr>
          <w:rFonts w:ascii="Times New Roman" w:cs="Times New Roman" w:eastAsia="Times New Roman" w:hAnsi="Times New Roman"/>
          <w:sz w:val="22"/>
          <w:szCs w:val="22"/>
          <w:color w:val="auto"/>
        </w:rPr>
      </w:pPr>
    </w:p>
    <w:p>
      <w:pPr>
        <w:ind w:left="660" w:right="40" w:hanging="328"/>
        <w:spacing w:after="0" w:line="248" w:lineRule="auto"/>
        <w:tabs>
          <w:tab w:leader="none" w:pos="80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events of bankruptcy, insolvency, reorganization, administration or similar proceedings with respect to the Issuer or any Obligor have occurred; or</w:t>
      </w:r>
    </w:p>
    <w:p>
      <w:pPr>
        <w:spacing w:after="0" w:line="1"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shall not be (or shall be claimed by the relevant Guarantor not to be) in full force and effect.</w:t>
      </w:r>
    </w:p>
    <w:p>
      <w:pPr>
        <w:spacing w:after="0" w:line="22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clause (d) above) under the Indenture occurs and is continuing, then the Trustee may and, at the direction of the holders of at least 25% in aggregate principal amount of the Notes of all affected series and the debt securities of all other affected series outstanding under the Indenture (voting together as a single class), will by written notice, require the Issuer to repay immediately the entire principal amount of the outstanding debt securities of each affected series, together with all accrued and unpaid interest.</w:t>
      </w:r>
    </w:p>
    <w:p>
      <w:pPr>
        <w:spacing w:after="0" w:line="20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If an event of default under the Indenture specified in clause (d) occurs and is continuing, then the entire principal amount of the outstanding Notes will automatically become due immediately and payable without any declaration or other act on the part of the Trustee or any holder.</w:t>
      </w:r>
    </w:p>
    <w:p>
      <w:pPr>
        <w:spacing w:after="0" w:line="21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After a declaration of acceleration or any automatic acceleration under clause (d) described above, the holders of a majority in principal amount of the outstanding Notes of any series (each such series voting as a separate class) may rescind this accelerated payment requirement with respect to the Notes of such series if all existing events of default with respect to the Notes of such series, except for nonpayment of the principal and interest on the Notes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holders of a majority in principal amount of the Notes of all affected series and the debt securities of all other affected series outstanding under the Indenture (voting together as a single class) may, by written notice to the Issuer and the Trustee, also waive past defaults, except</w:t>
      </w:r>
    </w:p>
    <w:p>
      <w:pPr>
        <w:sectPr>
          <w:pgSz w:w="11900" w:h="16838" w:orient="portrait"/>
          <w:cols w:equalWidth="0" w:num="1">
            <w:col w:w="11220"/>
          </w:cols>
          <w:pgMar w:left="320" w:top="1422" w:right="359" w:bottom="1440" w:gutter="0" w:footer="0" w:header="0"/>
        </w:sectPr>
      </w:pPr>
    </w:p>
    <w:bookmarkStart w:id="201" w:name="page202"/>
    <w:bookmarkEnd w:id="201"/>
    <w:p>
      <w:pPr>
        <w:ind w:right="380"/>
        <w:spacing w:after="0" w:line="271" w:lineRule="auto"/>
        <w:rPr>
          <w:sz w:val="20"/>
          <w:szCs w:val="20"/>
          <w:color w:val="auto"/>
        </w:rPr>
      </w:pPr>
      <w:r>
        <w:rPr>
          <w:rFonts w:ascii="Times New Roman" w:cs="Times New Roman" w:eastAsia="Times New Roman" w:hAnsi="Times New Roman"/>
          <w:sz w:val="22"/>
          <w:szCs w:val="22"/>
          <w:color w:val="auto"/>
        </w:rPr>
        <w:t>a default in paying principal or interest on any outstanding senior debt security of such series, or in respect of a covenant or a provision that cannot be modified or amended without the consent of all affected holders of the Notes of such series.</w:t>
      </w:r>
    </w:p>
    <w:p>
      <w:pPr>
        <w:spacing w:after="0" w:line="18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holders of at least 25% in aggregate principal amount of the Notes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Notes of all affected series and the debt securities of all other affected series then outstanding. These limitations do not apply, however, to a suit instituted by a holder of the Notes of any affected series for the enforcement of the payment of principal or interest on or after the due dates for such payment.</w:t>
      </w:r>
    </w:p>
    <w:p>
      <w:pPr>
        <w:spacing w:after="0" w:line="2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1"/>
          <w:szCs w:val="21"/>
          <w:color w:val="auto"/>
        </w:rPr>
        <w:t>During the existence of an event of default of which a responsible officer of the Trustee has actual knowledge or has received written notice from the Issuer or any holder of the Notes,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Notes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21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The Trustee will, within 90 days after any default occurs with respect to the Notes of any series, give notice of the default to the holders of the Notes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06"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22"/>
          <w:szCs w:val="22"/>
          <w:color w:val="auto"/>
        </w:rPr>
        <w:t>The Issuer is required to furnish to the Trustee an annual statement as to compliance with all conditions and covenants under the Indenture within 120 days of the end of each fiscal year.</w:t>
      </w:r>
    </w:p>
    <w:p>
      <w:pPr>
        <w:sectPr>
          <w:pgSz w:w="11900" w:h="16838" w:orient="portrait"/>
          <w:cols w:equalWidth="0" w:num="1">
            <w:col w:w="11200"/>
          </w:cols>
          <w:pgMar w:left="320" w:top="1422" w:right="37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2005 DEFERRED COMPENSATION PLAN</w:t>
      </w:r>
    </w:p>
    <w:p>
      <w:pPr>
        <w:spacing w:after="0" w:line="205" w:lineRule="exact"/>
        <w:rPr>
          <w:sz w:val="20"/>
          <w:szCs w:val="20"/>
          <w:color w:val="auto"/>
        </w:rPr>
      </w:pPr>
    </w:p>
    <w:p>
      <w:pPr>
        <w:ind w:left="1300" w:right="2820" w:firstLine="1531"/>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ARTICLE 1 </w:t>
      </w:r>
      <w:r>
        <w:rPr>
          <w:rFonts w:ascii="Times New Roman" w:cs="Times New Roman" w:eastAsia="Times New Roman" w:hAnsi="Times New Roman"/>
          <w:sz w:val="22"/>
          <w:szCs w:val="22"/>
          <w:color w:val="auto"/>
        </w:rPr>
        <w:t>– BACKGROUND AND COVERAGE OF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Background and Adoption of Plan</w:t>
      </w:r>
      <w:r>
        <w:rPr>
          <w:rFonts w:ascii="Times New Roman" w:cs="Times New Roman" w:eastAsia="Times New Roman" w:hAnsi="Times New Roman"/>
          <w:sz w:val="22"/>
          <w:szCs w:val="22"/>
          <w:color w:val="auto"/>
        </w:rPr>
        <w:t>.</w:t>
      </w:r>
    </w:p>
    <w:p>
      <w:pPr>
        <w:ind w:right="80" w:firstLine="1944"/>
        <w:spacing w:after="0" w:line="253"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Amendment and Restatement of the Plan</w:t>
      </w:r>
      <w:r>
        <w:rPr>
          <w:rFonts w:ascii="Times New Roman" w:cs="Times New Roman" w:eastAsia="Times New Roman" w:hAnsi="Times New Roman"/>
          <w:sz w:val="22"/>
          <w:szCs w:val="22"/>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effective May 14, 2024 (the “Restatement Effective Date”).</w:t>
      </w:r>
    </w:p>
    <w:p>
      <w:pPr>
        <w:spacing w:after="0" w:line="179" w:lineRule="exact"/>
        <w:rPr>
          <w:sz w:val="20"/>
          <w:szCs w:val="20"/>
          <w:color w:val="auto"/>
        </w:rPr>
      </w:pPr>
    </w:p>
    <w:p>
      <w:pPr>
        <w:ind w:right="200" w:firstLine="1944"/>
        <w:spacing w:after="0" w:line="250"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Prior Deferred Compensation Plan</w:t>
      </w:r>
      <w:r>
        <w:rPr>
          <w:rFonts w:ascii="Times New Roman" w:cs="Times New Roman" w:eastAsia="Times New Roman" w:hAnsi="Times New Roman"/>
          <w:sz w:val="22"/>
          <w:szCs w:val="22"/>
          <w:color w:val="auto"/>
        </w:rPr>
        <w:t>. The Comcast Corporation 2002 Deferred Compensation Plan (the “Prior DC Plan”) holds deferred compensation amounts credited before January 1, 2005 and income, gains, and losses credited with respect to such amounts. To preserve the favorable tax treatment available to deferrals under the Prior DC Plan in light of the enactment of Section 409A, the Board has amended the Prior DC Plan to suspend deferrals under the Prior DC Plan of deferred compensation amounts earned and vested on and after January 1, 2005. Amounts earned and vested prior to January 1, 2005 are and will remain subject to the terms of the Prior DC Plan. Amounts earned and vested on and after January 1, 2005 will be available to be deferred pursuant to the Plan, subject to its terms and conditions.</w:t>
      </w:r>
    </w:p>
    <w:p>
      <w:pPr>
        <w:spacing w:after="0" w:line="180"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Prior Equity Plan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00" w:firstLine="1952"/>
        <w:spacing w:after="0" w:line="250" w:lineRule="auto"/>
        <w:tabs>
          <w:tab w:leader="none" w:pos="267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compensation amounts attributable to Restricted Stock Units granted before the Restatement Effective Date, and income, gains, and losses credited with respect to such amounts, are outstanding under the Comcast Corporation 2022 Restricted Stock Plan (the “Prior Equity Plan”) and, to the extent a diversification election was made with respect thereto in accordance with the Prior Equity Plan, outstanding under the Plan (as in effect immediately prior to the Restatement Effective Date), and will remain subject to the terms of the Prior Equity Plan (and, to the extent a diversification election was made with respect thereto, the terms of the Plan, as in effect immediately prior to the Restatement Effective Date). Restricted Stock Units granted on or after the Restatement Effective Date (and income, gains and losses thereon) shall be subject to initial deferral elections and subsequent deferral elections as provided in this Plan.</w:t>
      </w:r>
    </w:p>
    <w:p>
      <w:pPr>
        <w:spacing w:after="0" w:line="186" w:lineRule="exact"/>
        <w:rPr>
          <w:rFonts w:ascii="Times New Roman" w:cs="Times New Roman" w:eastAsia="Times New Roman" w:hAnsi="Times New Roman"/>
          <w:sz w:val="22"/>
          <w:szCs w:val="22"/>
          <w:color w:val="auto"/>
        </w:rPr>
      </w:pPr>
    </w:p>
    <w:p>
      <w:pPr>
        <w:jc w:val="both"/>
        <w:ind w:right="80" w:firstLine="1952"/>
        <w:spacing w:after="0" w:line="295" w:lineRule="auto"/>
        <w:tabs>
          <w:tab w:leader="none" w:pos="2682"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Participants who are RSU Deferral Eligible Employees and Non-Employee Directors may elect to defer the receipt of Restricted Stock Units granted on and after the Restatement Effective Date as provided in Part B of Article 3.</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18" w:right="339" w:bottom="1440" w:gutter="0" w:footer="0" w:header="0"/>
        </w:sectPr>
      </w:pPr>
    </w:p>
    <w:bookmarkStart w:id="203" w:name="page204"/>
    <w:bookmarkEnd w:id="203"/>
    <w:p>
      <w:pPr>
        <w:ind w:right="60" w:firstLine="1944"/>
        <w:spacing w:after="0" w:line="259" w:lineRule="auto"/>
        <w:rPr>
          <w:sz w:val="20"/>
          <w:szCs w:val="20"/>
          <w:color w:val="auto"/>
        </w:rPr>
      </w:pPr>
      <w:r>
        <w:rPr>
          <w:rFonts w:ascii="Times New Roman" w:cs="Times New Roman" w:eastAsia="Times New Roman" w:hAnsi="Times New Roman"/>
          <w:sz w:val="21"/>
          <w:szCs w:val="21"/>
          <w:color w:val="auto"/>
        </w:rPr>
        <w:t>1.2.1. With respect to amounts held under the Plan that subject to Section 409A of the Code, the Plan is intended to comply with the requirements of Section 409A of the Code, and the provisions of the Plan shall be interpreted in a manner that satisfies the requirements of Section 409A of the Code, and the Plan shall be operated accordingly. If any provision of the Plan or otherwise would otherwise frustrate or conflict with this intent, the provision, term, or condition shall be interpreted and deemed amended so as to avoid this conflict. If any amount payable to a Participant under the Plan includes a “series of installment payments” (within the meaning of Treasury Regulations § 1.409A-2(b)(2)(iii)), a Participant’s right to such series of installment payments shall be treated as a right to a series of separate payments and not as a right to a single payment, and if any Award or other amount under the Plan includes “dividend equivalents” (within the meaning of Treasury Regulations</w:t>
      </w:r>
    </w:p>
    <w:p>
      <w:pPr>
        <w:spacing w:after="0" w:line="7" w:lineRule="exact"/>
        <w:rPr>
          <w:sz w:val="20"/>
          <w:szCs w:val="20"/>
          <w:color w:val="auto"/>
        </w:rPr>
      </w:pPr>
    </w:p>
    <w:p>
      <w:pPr>
        <w:ind w:firstLine="8"/>
        <w:spacing w:after="0" w:line="247" w:lineRule="auto"/>
        <w:tabs>
          <w:tab w:leader="none" w:pos="16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1.409A-3(e)), a Participant’s right to such dividend equivalents shall be treated separately from the right to other amounts under the Award or other such amount. Notwithstanding the foregoing, the tax treatment of the benefits provided under the Plan or any applicable Award Agreement is not warranted or guaranteed, and in no event shall the Company be liable for all or any portion of any taxes, penalties, interest or other expenses that may be incurred by a Participant on account of non-compliance with Section 409A of the Code.</w:t>
      </w:r>
    </w:p>
    <w:p>
      <w:pPr>
        <w:spacing w:after="0" w:line="184" w:lineRule="exact"/>
        <w:rPr>
          <w:sz w:val="20"/>
          <w:szCs w:val="20"/>
          <w:color w:val="auto"/>
        </w:rPr>
      </w:pPr>
    </w:p>
    <w:p>
      <w:pPr>
        <w:ind w:right="40" w:firstLine="1944"/>
        <w:spacing w:after="0" w:line="263" w:lineRule="auto"/>
        <w:rPr>
          <w:sz w:val="20"/>
          <w:szCs w:val="20"/>
          <w:color w:val="auto"/>
        </w:rPr>
      </w:pPr>
      <w:r>
        <w:rPr>
          <w:rFonts w:ascii="Times New Roman" w:cs="Times New Roman" w:eastAsia="Times New Roman" w:hAnsi="Times New Roman"/>
          <w:sz w:val="22"/>
          <w:szCs w:val="22"/>
          <w:color w:val="auto"/>
        </w:rPr>
        <w:t>1.2.2. In addition to the powers reserved to the Board and the Administrator under Article 10 of the Plan, the Board and the Administrator reserve the right to amend the Plan, either retroactively or prospectively, in whatever respect is required to achieve and maintain compliance with the requirements of Section 409A.</w:t>
      </w:r>
    </w:p>
    <w:p>
      <w:pPr>
        <w:spacing w:after="0" w:line="167" w:lineRule="exact"/>
        <w:rPr>
          <w:sz w:val="20"/>
          <w:szCs w:val="20"/>
          <w:color w:val="auto"/>
        </w:rPr>
      </w:pPr>
    </w:p>
    <w:p>
      <w:pPr>
        <w:ind w:right="10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Plan Unfunded and Limited to Non-Employee Directors, Directors Emeriti and Select Group of Management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 Highly Compensated Employees</w:t>
      </w:r>
      <w:r>
        <w:rPr>
          <w:rFonts w:ascii="Times New Roman" w:cs="Times New Roman" w:eastAsia="Times New Roman" w:hAnsi="Times New Roman"/>
          <w:sz w:val="22"/>
          <w:szCs w:val="22"/>
          <w:color w:val="auto"/>
        </w:rPr>
        <w:t>. The Plan, including the deferral provisions of Article 3 and the other provisions of the Plan relating to the deferral of Restricted Stock Units, is unfunded and is maintained primarily for the purpose of providing Non-Employee Directors, Directors Emeriti and a select group of management or highly compensated employees the opportunity to defer the receipt of compensation otherwise payable to such Non-Employee Directors, Directors Emeriti and eligible employees in accordance with the terms of the Plan.</w:t>
      </w:r>
    </w:p>
    <w:p>
      <w:pPr>
        <w:spacing w:after="0" w:line="181" w:lineRule="exact"/>
        <w:rPr>
          <w:sz w:val="20"/>
          <w:szCs w:val="20"/>
          <w:color w:val="auto"/>
        </w:rPr>
      </w:pPr>
    </w:p>
    <w:p>
      <w:pPr>
        <w:ind w:right="4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References to Written Forms, Elections and Notices</w:t>
      </w:r>
      <w:r>
        <w:rPr>
          <w:rFonts w:ascii="Times New Roman" w:cs="Times New Roman" w:eastAsia="Times New Roman" w:hAnsi="Times New Roman"/>
          <w:sz w:val="22"/>
          <w:szCs w:val="22"/>
          <w:color w:val="auto"/>
        </w:rPr>
        <w:t>. Any action under the Plan that requires a written form, election, notice or other action shall be treated as completed if taken via electronic or other means, to the extent authorized by the Administrator.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ARTICLE 2 </w:t>
      </w:r>
      <w:r>
        <w:rPr>
          <w:rFonts w:ascii="Times New Roman" w:cs="Times New Roman" w:eastAsia="Times New Roman" w:hAnsi="Times New Roman"/>
          <w:sz w:val="22"/>
          <w:szCs w:val="22"/>
          <w:color w:val="auto"/>
        </w:rPr>
        <w:t>– DEFINITIONS</w:t>
      </w:r>
    </w:p>
    <w:p>
      <w:pPr>
        <w:spacing w:after="0" w:line="224" w:lineRule="exact"/>
        <w:rPr>
          <w:sz w:val="20"/>
          <w:szCs w:val="20"/>
          <w:color w:val="auto"/>
        </w:rPr>
      </w:pPr>
    </w:p>
    <w:p>
      <w:pPr>
        <w:ind w:right="260" w:firstLine="1296"/>
        <w:spacing w:after="0" w:line="257"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22" w:right="359" w:bottom="1440" w:gutter="0" w:footer="0" w:header="0"/>
        </w:sectPr>
      </w:pPr>
    </w:p>
    <w:bookmarkStart w:id="204" w:name="page205"/>
    <w:bookmarkEnd w:id="204"/>
    <w:p>
      <w:pPr>
        <w:ind w:left="1300"/>
        <w:spacing w:after="0"/>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u w:val="single" w:color="auto"/>
          <w:color w:val="auto"/>
        </w:rPr>
        <w:t>Active Participant</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color w:val="auto"/>
        </w:rPr>
        <w:t>Each Participant who is in active service as a Non-Employee Director or a Director Emeritus; and</w:t>
      </w:r>
    </w:p>
    <w:p>
      <w:pPr>
        <w:spacing w:after="0" w:line="220"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Each Participant who is actively employed by a Participating Company as an Eligible Employee.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Committee or its delegate.</w:t>
      </w:r>
    </w:p>
    <w:p>
      <w:pPr>
        <w:spacing w:after="0" w:line="22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9" w:lineRule="exact"/>
        <w:rPr>
          <w:sz w:val="20"/>
          <w:szCs w:val="20"/>
          <w:color w:val="auto"/>
        </w:rPr>
      </w:pPr>
    </w:p>
    <w:p>
      <w:pPr>
        <w:jc w:val="both"/>
        <w:ind w:right="60" w:firstLine="1296"/>
        <w:spacing w:after="0" w:line="257"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u w:val="single" w:color="auto"/>
          <w:color w:val="auto"/>
        </w:rPr>
        <w:t>Annual Rate of Pay</w:t>
      </w:r>
      <w:r>
        <w:rPr>
          <w:rFonts w:ascii="Times New Roman" w:cs="Times New Roman" w:eastAsia="Times New Roman" w:hAnsi="Times New Roman"/>
          <w:sz w:val="22"/>
          <w:szCs w:val="22"/>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 “</w:t>
      </w:r>
      <w:r>
        <w:rPr>
          <w:rFonts w:ascii="Times New Roman" w:cs="Times New Roman" w:eastAsia="Times New Roman" w:hAnsi="Times New Roman"/>
          <w:sz w:val="22"/>
          <w:szCs w:val="22"/>
          <w:u w:val="single" w:color="auto"/>
          <w:color w:val="auto"/>
        </w:rPr>
        <w:t>Applicable Interest Rate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22"/>
          <w:szCs w:val="22"/>
          <w:color w:val="auto"/>
        </w:rPr>
        <w:t>2.6.1.</w:t>
      </w:r>
      <w:r>
        <w:rPr>
          <w:sz w:val="20"/>
          <w:szCs w:val="20"/>
          <w:color w:val="auto"/>
        </w:rPr>
        <w:tab/>
      </w:r>
      <w:r>
        <w:rPr>
          <w:rFonts w:ascii="Times New Roman" w:cs="Times New Roman" w:eastAsia="Times New Roman" w:hAnsi="Times New Roman"/>
          <w:sz w:val="21"/>
          <w:szCs w:val="21"/>
          <w:u w:val="single" w:color="auto"/>
          <w:color w:val="auto"/>
        </w:rPr>
        <w:t>Active Participants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0" w:firstLine="1952"/>
        <w:spacing w:after="0" w:line="252" w:lineRule="auto"/>
        <w:tabs>
          <w:tab w:leader="none" w:pos="24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Account Balances</w:t>
      </w:r>
      <w:r>
        <w:rPr>
          <w:rFonts w:ascii="Times New Roman" w:cs="Times New Roman" w:eastAsia="Times New Roman" w:hAnsi="Times New Roman"/>
          <w:sz w:val="22"/>
          <w:szCs w:val="22"/>
          <w:color w:val="auto"/>
        </w:rPr>
        <w:t>. Except as otherwise provided in Section 2.6.2,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79" w:lineRule="exact"/>
        <w:rPr>
          <w:rFonts w:ascii="Times New Roman" w:cs="Times New Roman" w:eastAsia="Times New Roman" w:hAnsi="Times New Roman"/>
          <w:sz w:val="22"/>
          <w:szCs w:val="22"/>
          <w:color w:val="auto"/>
        </w:rPr>
      </w:pPr>
    </w:p>
    <w:p>
      <w:pPr>
        <w:ind w:right="380" w:firstLine="1952"/>
        <w:spacing w:after="0" w:line="253" w:lineRule="auto"/>
        <w:tabs>
          <w:tab w:leader="none" w:pos="2412"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Rate</w:t>
      </w:r>
      <w:r>
        <w:rPr>
          <w:rFonts w:ascii="Times New Roman" w:cs="Times New Roman" w:eastAsia="Times New Roman" w:hAnsi="Times New Roman"/>
          <w:sz w:val="22"/>
          <w:szCs w:val="22"/>
          <w:color w:val="auto"/>
        </w:rPr>
        <w:t>. Except as otherwise provided in Section 2.6.2, for amounts (other than Protected Account Balances) credited with respect to Initial Deferral Elections or with respect to Company Credits, and for amounts credited pursuant to Subsequent Deferral Elections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79" w:lineRule="exact"/>
        <w:rPr>
          <w:sz w:val="20"/>
          <w:szCs w:val="20"/>
          <w:color w:val="auto"/>
        </w:rPr>
      </w:pPr>
    </w:p>
    <w:p>
      <w:pPr>
        <w:ind w:right="60" w:firstLine="1944"/>
        <w:spacing w:after="0" w:line="251" w:lineRule="auto"/>
        <w:rPr>
          <w:sz w:val="20"/>
          <w:szCs w:val="20"/>
          <w:color w:val="auto"/>
        </w:rPr>
      </w:pPr>
      <w:r>
        <w:rPr>
          <w:rFonts w:ascii="Times New Roman" w:cs="Times New Roman" w:eastAsia="Times New Roman" w:hAnsi="Times New Roman"/>
          <w:sz w:val="22"/>
          <w:szCs w:val="22"/>
          <w:color w:val="auto"/>
        </w:rPr>
        <w:t xml:space="preserve">2.6.2. </w:t>
      </w:r>
      <w:r>
        <w:rPr>
          <w:rFonts w:ascii="Times New Roman" w:cs="Times New Roman" w:eastAsia="Times New Roman" w:hAnsi="Times New Roman"/>
          <w:sz w:val="22"/>
          <w:szCs w:val="22"/>
          <w:u w:val="single" w:color="auto"/>
          <w:color w:val="auto"/>
        </w:rPr>
        <w:t>Termination or Transition of Service</w:t>
      </w:r>
      <w:r>
        <w:rPr>
          <w:rFonts w:ascii="Times New Roman" w:cs="Times New Roman" w:eastAsia="Times New Roman" w:hAnsi="Times New Roman"/>
          <w:sz w:val="22"/>
          <w:szCs w:val="22"/>
          <w:color w:val="auto"/>
        </w:rPr>
        <w:t>. Effective for the period beginning as soon as administratively practicable following (i) a significant reduction in a Participant’s compensation and services to the Company, as determined by the Administrator in its sole discretion, and (ii) a Participant’s employment termination date, in each case, to the date the Participant’s Account is distributed in full, the Administrator, in its sole discretion, may designate the term “Applicable Interest Rate” for such Participant’s Account to mean the lesser of (x) the rate in effect under Section 2.6.1 or (y) the Prime Rate plus one percent.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22" w:right="379" w:bottom="1440" w:gutter="0" w:footer="0" w:header="0"/>
        </w:sectPr>
      </w:pPr>
    </w:p>
    <w:bookmarkStart w:id="205" w:name="page206"/>
    <w:bookmarkEnd w:id="205"/>
    <w:p>
      <w:pPr>
        <w:ind w:right="80"/>
        <w:spacing w:after="0" w:line="253" w:lineRule="auto"/>
        <w:rPr>
          <w:sz w:val="20"/>
          <w:szCs w:val="20"/>
          <w:color w:val="auto"/>
        </w:rPr>
      </w:pPr>
      <w:r>
        <w:rPr>
          <w:rFonts w:ascii="Times New Roman" w:cs="Times New Roman" w:eastAsia="Times New Roman" w:hAnsi="Times New Roman"/>
          <w:sz w:val="22"/>
          <w:szCs w:val="22"/>
          <w:color w:val="auto"/>
        </w:rPr>
        <w:t>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2.6.2 to an officer of the Company or committee of two or more officers of the Company.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an award of Restricted Stock Units granted under the Equity Plan.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2.8.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means the grant document that includes the specific terms and conditions of an Award.</w:t>
      </w:r>
    </w:p>
    <w:p>
      <w:pPr>
        <w:spacing w:after="0" w:line="231" w:lineRule="exact"/>
        <w:rPr>
          <w:sz w:val="20"/>
          <w:szCs w:val="20"/>
          <w:color w:val="auto"/>
        </w:rPr>
      </w:pPr>
    </w:p>
    <w:p>
      <w:pPr>
        <w:ind w:right="120" w:firstLine="1296"/>
        <w:spacing w:after="0" w:line="250"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20" w:lineRule="exact"/>
        <w:rPr>
          <w:sz w:val="20"/>
          <w:szCs w:val="20"/>
          <w:color w:val="auto"/>
        </w:rPr>
      </w:pPr>
    </w:p>
    <w:p>
      <w:pPr>
        <w:ind w:right="460" w:firstLine="1296"/>
        <w:spacing w:after="0" w:line="257"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u w:val="single" w:color="auto"/>
          <w:color w:val="auto"/>
        </w:rPr>
        <w:t>Comcast Spectacor</w:t>
      </w:r>
      <w:r>
        <w:rPr>
          <w:rFonts w:ascii="Times New Roman" w:cs="Times New Roman" w:eastAsia="Times New Roman" w:hAnsi="Times New Roman"/>
          <w:sz w:val="22"/>
          <w:szCs w:val="22"/>
          <w:color w:val="auto"/>
        </w:rPr>
        <w:t>” means Comcast Spectacor, LLC.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of Directors of the Company.</w:t>
      </w:r>
    </w:p>
    <w:p>
      <w:pPr>
        <w:spacing w:after="0" w:line="220" w:lineRule="exact"/>
        <w:rPr>
          <w:sz w:val="20"/>
          <w:szCs w:val="20"/>
          <w:color w:val="auto"/>
        </w:rPr>
      </w:pPr>
    </w:p>
    <w:p>
      <w:pPr>
        <w:ind w:right="280" w:firstLine="1296"/>
        <w:spacing w:after="0" w:line="271"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Comcast Corporation, a Pennsylvania corporation, including any successor thereto by merger, consolidation, acquisition of all or substantially all the assets thereof, or otherwise.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2.16. “</w:t>
      </w:r>
      <w:r>
        <w:rPr>
          <w:rFonts w:ascii="Times New Roman" w:cs="Times New Roman" w:eastAsia="Times New Roman" w:hAnsi="Times New Roman"/>
          <w:sz w:val="21"/>
          <w:szCs w:val="21"/>
          <w:u w:val="single" w:color="auto"/>
          <w:color w:val="auto"/>
        </w:rPr>
        <w:t>Company Credits</w:t>
      </w:r>
      <w:r>
        <w:rPr>
          <w:rFonts w:ascii="Times New Roman" w:cs="Times New Roman" w:eastAsia="Times New Roman" w:hAnsi="Times New Roman"/>
          <w:sz w:val="21"/>
          <w:szCs w:val="21"/>
          <w:color w:val="auto"/>
        </w:rPr>
        <w:t>” means amounts credited to a Participant’s Account that were approved before March 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pursuant to provisions of the Plan relating to Company Credits that were in effect before the Restatement Effective Date.</w:t>
      </w:r>
    </w:p>
    <w:p>
      <w:pPr>
        <w:spacing w:after="0" w:line="207"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u w:val="single" w:color="auto"/>
          <w:color w:val="auto"/>
        </w:rPr>
        <w:t>Company Stock</w:t>
      </w:r>
      <w:r>
        <w:rPr>
          <w:rFonts w:ascii="Times New Roman" w:cs="Times New Roman" w:eastAsia="Times New Roman" w:hAnsi="Times New Roman"/>
          <w:sz w:val="22"/>
          <w:szCs w:val="22"/>
          <w:color w:val="auto"/>
        </w:rPr>
        <w:t>” means with respect to amounts credited to the Company Stock Fund (i) as Deferred Stock Units, (ii) pursuant to deferral elections by Non-Employee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22" w:right="399" w:bottom="1440" w:gutter="0" w:footer="0" w:header="0"/>
        </w:sectPr>
      </w:pPr>
    </w:p>
    <w:bookmarkStart w:id="206" w:name="page207"/>
    <w:bookmarkEnd w:id="206"/>
    <w:p>
      <w:pPr>
        <w:spacing w:after="0" w:line="248" w:lineRule="auto"/>
        <w:rPr>
          <w:sz w:val="20"/>
          <w:szCs w:val="20"/>
          <w:color w:val="auto"/>
        </w:rPr>
      </w:pPr>
      <w:r>
        <w:rPr>
          <w:rFonts w:ascii="Times New Roman" w:cs="Times New Roman" w:eastAsia="Times New Roman" w:hAnsi="Times New Roman"/>
          <w:sz w:val="22"/>
          <w:szCs w:val="22"/>
          <w:color w:val="auto"/>
        </w:rPr>
        <w:t>Directors or Directors Emeriti made pursuant to Section 3.1(a), and (iii) pursuant to deemed transfers pursuant to Article 5, Class A Common Stock, par value $0.01, of the Company and such other securities issued by the Company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Administrator shall make appropriate equitable anti-dilution adjustments to the number and class of hypothetical shares of Company Stock credited to Participants’ Accounts under the Company Stock Fund. The number of hypothetical shares of Company Stock credited to a Participant’s Account shall be rounded down to the next lower share, and the value of fractional shares that otherwise have been credited to the Company Stock Fund shall be credited to the Income Fund. Any reference to the term “Company Stock” in the Plan shall be a reference to the appropriate number and class of shares of stock as adjusted pursuant to this Section 2.17. The Administrator’s adjustment shall be effective and binding for all purposes of the Plan.</w:t>
      </w:r>
    </w:p>
    <w:p>
      <w:pPr>
        <w:spacing w:after="0" w:line="189" w:lineRule="exact"/>
        <w:rPr>
          <w:sz w:val="20"/>
          <w:szCs w:val="20"/>
          <w:color w:val="auto"/>
        </w:rPr>
      </w:pPr>
    </w:p>
    <w:p>
      <w:pPr>
        <w:ind w:right="40" w:firstLine="1296"/>
        <w:spacing w:after="0" w:line="259" w:lineRule="auto"/>
        <w:rPr>
          <w:sz w:val="20"/>
          <w:szCs w:val="20"/>
          <w:color w:val="auto"/>
        </w:rPr>
      </w:pPr>
      <w:r>
        <w:rPr>
          <w:rFonts w:ascii="Times New Roman" w:cs="Times New Roman" w:eastAsia="Times New Roman" w:hAnsi="Times New Roman"/>
          <w:sz w:val="21"/>
          <w:szCs w:val="21"/>
          <w:color w:val="auto"/>
        </w:rPr>
        <w:t>2.18. “</w:t>
      </w:r>
      <w:r>
        <w:rPr>
          <w:rFonts w:ascii="Times New Roman" w:cs="Times New Roman" w:eastAsia="Times New Roman" w:hAnsi="Times New Roman"/>
          <w:sz w:val="21"/>
          <w:szCs w:val="21"/>
          <w:u w:val="single" w:color="auto"/>
          <w:color w:val="auto"/>
        </w:rPr>
        <w:t>Company Stock Fund</w:t>
      </w:r>
      <w:r>
        <w:rPr>
          <w:rFonts w:ascii="Times New Roman" w:cs="Times New Roman" w:eastAsia="Times New Roman" w:hAnsi="Times New Roman"/>
          <w:sz w:val="21"/>
          <w:szCs w:val="21"/>
          <w:color w:val="auto"/>
        </w:rPr>
        <w:t xml:space="preserve">” means a hypothetical investment fund pursuant to which income, gains, and losses are credited to a Participant’s Account as if the Account, to the extent deemed invested in the Company Stock Fund, were invested in hypothetical shares of Company Stock, and, except as otherwise provided in Section 2.17 with respect to fractional shares, all dividends and other distributions paid with respect to Company Stock shall be credited to an Other Investment Fund as a hypothetical purchase on the applicable dividend or distribution payment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(a) Deferred Stock Units, including Company Stock credited to the Accounts of Non-Employee Directors, dividends and other distributions shall be credited to the Company Stock Fund as a hypothetical purchase of Company Stock at Fair Market Value on the applicable dividend or distribution payment date and (b) with respect to Company Stock credited to the Accounts of Covered Participants, dividends and other distributions shall be credited to one or more Other Investment Funds as a hypothetical purchase on the applicable dividend or distribution payment date. Except to the extent provided by Section 5.2(b)(i)(C) with respect to Section 16 Officers or by the Administrator with respect to Participants who are not Section 16 Officers, amounts credited to the Company Stock Fund may not thereafter be transferred to the Income Fund or another Other Investment Fund, provided further that dividends and other distributions paid with respect to Deferred Stock Units shall be credited to the Company Stock Fund as a hypothetical purchase of shares of Company Stock at Fair Market Value on the applicable dividend or distribution payment date, and dividends and other distributions paid with respect to the Accounts of Covered Participants shall be credited to Other Investment Funds as a hypothetical purchase of one or more Other Investment Funds on the applicable dividend or distribution payment date; provided that any such dividends and other distributions shall be subject to the same vesting terms and conditions (including performance goals) as are applicable to the Deferred Stock Units (if any) in accordance with the terms of the Equity Plan and the applicable Award Agreement. To the extent a distribution of a Participant’s Account is attributable to amounts credited to the Company Stock Fund (i) as Deferred Stock Units that have never been the subject of a completed Diversification Election or (ii) under circumstances described in Section 3.15.2,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2"/>
          <w:szCs w:val="22"/>
          <w:color w:val="auto"/>
        </w:rPr>
        <w:t>shall be made in the form of shares of Company Stock. All other distributions of Account balances shall be made in cash.</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180" w:firstLine="1944"/>
        <w:spacing w:after="0" w:line="256" w:lineRule="auto"/>
        <w:rPr>
          <w:sz w:val="20"/>
          <w:szCs w:val="20"/>
          <w:color w:val="auto"/>
        </w:rPr>
      </w:pPr>
      <w:r>
        <w:rPr>
          <w:rFonts w:ascii="Times New Roman" w:cs="Times New Roman" w:eastAsia="Times New Roman" w:hAnsi="Times New Roman"/>
          <w:sz w:val="22"/>
          <w:szCs w:val="22"/>
          <w:color w:val="auto"/>
        </w:rPr>
        <w:t>2.19.1. In the case of a Non-Employee Director, the total remuneration payable in cash or payable in Company Stock (as elected by a Non-Employee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76"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22"/>
          <w:szCs w:val="22"/>
          <w:color w:val="auto"/>
        </w:rPr>
        <w:t>2.19.2. In the case of an Eligible Employee, the total cash remuneration for services payable by a Participating Company, excluding (i) Severance Pay, (ii) sales commissions or other similar payments or awards other than cash bonus arrangements described in Section 2.19.3, (iii) bonuses earned under any program designated by the Company’s Programming Division as a “long-term incentive plan” and (iv) cash bonuses earned under any long-term incentive plan for employees of NBCUniversal, provided that the term “Compensation” shall not include cash remuneration for services payable by a Participating Company for services performed outside of the United States or the United Kingdom.</w:t>
      </w:r>
    </w:p>
    <w:p>
      <w:pPr>
        <w:spacing w:after="0" w:line="181"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22"/>
          <w:szCs w:val="22"/>
          <w:color w:val="auto"/>
        </w:rPr>
        <w:t>2.19.3. 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 arrangement for employees of NBCUniversal, provided that such cash bonus arrangement is the exclusive cash bonus arrangement in which such Eligible Employee is eligible to participate and provided further that such cash bonus is attributable to services performed by an Eligible Employee in the United States or the United Kingdom.</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u w:val="single" w:color="auto"/>
          <w:color w:val="auto"/>
        </w:rPr>
        <w:t>Contribution Limit</w:t>
      </w:r>
      <w:r>
        <w:rPr>
          <w:rFonts w:ascii="Times New Roman" w:cs="Times New Roman" w:eastAsia="Times New Roman" w:hAnsi="Times New Roman"/>
          <w:sz w:val="22"/>
          <w:szCs w:val="22"/>
          <w:color w:val="auto"/>
        </w:rPr>
        <w:t>” means the product of (i) five (5) times (ii) Total Compensation.</w:t>
      </w:r>
    </w:p>
    <w:p>
      <w:pPr>
        <w:spacing w:after="0" w:line="22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1"/>
          <w:szCs w:val="21"/>
          <w:color w:val="auto"/>
        </w:rPr>
        <w:t>2.21. “</w:t>
      </w:r>
      <w:r>
        <w:rPr>
          <w:rFonts w:ascii="Times New Roman" w:cs="Times New Roman" w:eastAsia="Times New Roman" w:hAnsi="Times New Roman"/>
          <w:sz w:val="21"/>
          <w:szCs w:val="21"/>
          <w:u w:val="single" w:color="auto"/>
          <w:color w:val="auto"/>
        </w:rPr>
        <w:t>Covered Participant</w:t>
      </w:r>
      <w:r>
        <w:rPr>
          <w:rFonts w:ascii="Times New Roman" w:cs="Times New Roman" w:eastAsia="Times New Roman" w:hAnsi="Times New Roman"/>
          <w:sz w:val="21"/>
          <w:szCs w:val="21"/>
          <w:color w:val="auto"/>
        </w:rPr>
        <w:t>” means, as of any relevant date of determination, (i) any Section 16 Officer for whom disclosure was required pursuant to Item 402 of SEC Regulation S-K in the Company’s most recent filing with the SEC under the Securities Exchange Act of 1934, as amended, and (ii) any individual, as determined by the Administrator in its discretion.</w:t>
      </w:r>
    </w:p>
    <w:p>
      <w:pPr>
        <w:spacing w:after="0" w:line="155" w:lineRule="exact"/>
        <w:rPr>
          <w:sz w:val="20"/>
          <w:szCs w:val="20"/>
          <w:color w:val="auto"/>
        </w:rPr>
      </w:pPr>
    </w:p>
    <w:p>
      <w:pPr>
        <w:ind w:right="160" w:firstLine="1296"/>
        <w:spacing w:after="0" w:line="263"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u w:val="single" w:color="auto"/>
          <w:color w:val="auto"/>
        </w:rPr>
        <w:t>Deceased Participant</w:t>
      </w:r>
      <w:r>
        <w:rPr>
          <w:rFonts w:ascii="Times New Roman" w:cs="Times New Roman" w:eastAsia="Times New Roman" w:hAnsi="Times New Roman"/>
          <w:sz w:val="22"/>
          <w:szCs w:val="22"/>
          <w:color w:val="auto"/>
        </w:rPr>
        <w:t>” means a Participant whose employment, or, in the case of a Participant who was a Non-Employee Director or Director Emeritus, a Participant whose service as a Non-Employee Director or Director Emeritus, is terminated by death.</w:t>
      </w:r>
    </w:p>
    <w:p>
      <w:pPr>
        <w:spacing w:after="0" w:line="167"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u w:val="single" w:color="auto"/>
          <w:color w:val="auto"/>
        </w:rPr>
        <w:t>Deferred Stock Units</w:t>
      </w:r>
      <w:r>
        <w:rPr>
          <w:rFonts w:ascii="Times New Roman" w:cs="Times New Roman" w:eastAsia="Times New Roman" w:hAnsi="Times New Roman"/>
          <w:sz w:val="22"/>
          <w:szCs w:val="22"/>
          <w:color w:val="auto"/>
        </w:rPr>
        <w:t>” means the number of hypothetical Shares subject to the portion of an Award covered by an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22" w:right="379" w:bottom="1440" w:gutter="0" w:footer="0" w:header="0"/>
        </w:sectPr>
      </w:pPr>
    </w:p>
    <w:bookmarkStart w:id="208" w:name="page209"/>
    <w:bookmarkEnd w:id="208"/>
    <w:p>
      <w:pPr>
        <w:ind w:right="860" w:firstLine="1296"/>
        <w:spacing w:after="0" w:line="271" w:lineRule="auto"/>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u w:val="single" w:color="auto"/>
          <w:color w:val="auto"/>
        </w:rPr>
        <w:t>Director Emeritus</w:t>
      </w:r>
      <w:r>
        <w:rPr>
          <w:rFonts w:ascii="Times New Roman" w:cs="Times New Roman" w:eastAsia="Times New Roman" w:hAnsi="Times New Roman"/>
          <w:sz w:val="22"/>
          <w:szCs w:val="22"/>
          <w:color w:val="auto"/>
        </w:rPr>
        <w:t>” means an individual designated by the Board, in its sole discretion, as Director Emeritus, pursuant to the Board’s Director Emeritus Policy.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jc w:val="both"/>
        <w:ind w:right="160" w:firstLine="1944"/>
        <w:spacing w:after="0" w:line="257" w:lineRule="auto"/>
        <w:rPr>
          <w:sz w:val="20"/>
          <w:szCs w:val="20"/>
          <w:color w:val="auto"/>
        </w:rPr>
      </w:pPr>
      <w:r>
        <w:rPr>
          <w:rFonts w:ascii="Times New Roman" w:cs="Times New Roman" w:eastAsia="Times New Roman" w:hAnsi="Times New Roman"/>
          <w:sz w:val="22"/>
          <w:szCs w:val="22"/>
          <w:color w:val="auto"/>
        </w:rPr>
        <w:t>2.25.1. 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73" w:lineRule="exact"/>
        <w:rPr>
          <w:sz w:val="20"/>
          <w:szCs w:val="20"/>
          <w:color w:val="auto"/>
        </w:rPr>
      </w:pPr>
    </w:p>
    <w:p>
      <w:pPr>
        <w:ind w:right="40" w:firstLine="1944"/>
        <w:spacing w:after="0" w:line="256" w:lineRule="auto"/>
        <w:rPr>
          <w:sz w:val="20"/>
          <w:szCs w:val="20"/>
          <w:color w:val="auto"/>
        </w:rPr>
      </w:pPr>
      <w:r>
        <w:rPr>
          <w:rFonts w:ascii="Times New Roman" w:cs="Times New Roman" w:eastAsia="Times New Roman" w:hAnsi="Times New Roman"/>
          <w:sz w:val="22"/>
          <w:szCs w:val="22"/>
          <w:color w:val="auto"/>
        </w:rPr>
        <w:t>2.25.2. 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76" w:lineRule="exact"/>
        <w:rPr>
          <w:sz w:val="20"/>
          <w:szCs w:val="20"/>
          <w:color w:val="auto"/>
        </w:rPr>
      </w:pPr>
    </w:p>
    <w:p>
      <w:pPr>
        <w:ind w:right="260" w:firstLine="1944"/>
        <w:spacing w:after="0" w:line="295" w:lineRule="auto"/>
        <w:rPr>
          <w:sz w:val="20"/>
          <w:szCs w:val="20"/>
          <w:color w:val="auto"/>
        </w:rPr>
      </w:pPr>
      <w:r>
        <w:rPr>
          <w:rFonts w:ascii="Times New Roman" w:cs="Times New Roman" w:eastAsia="Times New Roman" w:hAnsi="Times New Roman"/>
          <w:sz w:val="21"/>
          <w:szCs w:val="21"/>
          <w:color w:val="auto"/>
        </w:rPr>
        <w:t>2.25.3. If different from the definition in Section 2.25.1 or Section 2.25.2 above, “Disability” as it may be defined in such Participant’s employment agreement between the Participant and the Company or an Affiliate, if any.</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u w:val="single" w:color="auto"/>
          <w:color w:val="auto"/>
        </w:rPr>
        <w:t>Disabled Participant</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60" w:firstLine="1944"/>
        <w:spacing w:after="0" w:line="263" w:lineRule="auto"/>
        <w:rPr>
          <w:sz w:val="20"/>
          <w:szCs w:val="20"/>
          <w:color w:val="auto"/>
        </w:rPr>
      </w:pPr>
      <w:r>
        <w:rPr>
          <w:rFonts w:ascii="Times New Roman" w:cs="Times New Roman" w:eastAsia="Times New Roman" w:hAnsi="Times New Roman"/>
          <w:sz w:val="22"/>
          <w:szCs w:val="22"/>
          <w:color w:val="auto"/>
        </w:rPr>
        <w:t>2.26.1. A Participant whose employment or, in the case of a Participant who is a Non-Employee Director or Director Emeritus, a Participant whose service as a Non-Employee Director or Director Emeritus, is terminated by reason of Disability;</w:t>
      </w:r>
    </w:p>
    <w:p>
      <w:pPr>
        <w:spacing w:after="0" w:line="167" w:lineRule="exact"/>
        <w:rPr>
          <w:sz w:val="20"/>
          <w:szCs w:val="20"/>
          <w:color w:val="auto"/>
        </w:rPr>
      </w:pPr>
    </w:p>
    <w:p>
      <w:pPr>
        <w:jc w:val="right"/>
        <w:spacing w:after="0"/>
        <w:tabs>
          <w:tab w:leader="none" w:pos="8460" w:val="left"/>
        </w:tabs>
        <w:rPr>
          <w:sz w:val="20"/>
          <w:szCs w:val="20"/>
          <w:color w:val="auto"/>
        </w:rPr>
      </w:pPr>
      <w:r>
        <w:rPr>
          <w:rFonts w:ascii="Times New Roman" w:cs="Times New Roman" w:eastAsia="Times New Roman" w:hAnsi="Times New Roman"/>
          <w:sz w:val="22"/>
          <w:szCs w:val="22"/>
          <w:color w:val="auto"/>
        </w:rPr>
        <w:t>2.26.2.</w:t>
      </w:r>
      <w:r>
        <w:rPr>
          <w:sz w:val="20"/>
          <w:szCs w:val="20"/>
          <w:color w:val="auto"/>
        </w:rPr>
        <w:tab/>
      </w:r>
      <w:r>
        <w:rPr>
          <w:rFonts w:ascii="Times New Roman" w:cs="Times New Roman" w:eastAsia="Times New Roman" w:hAnsi="Times New Roman"/>
          <w:sz w:val="21"/>
          <w:szCs w:val="21"/>
          <w:color w:val="auto"/>
        </w:rPr>
        <w:t>The duly-appointed legal guardian of an individual described in Section 2.26.1 acting on behalf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individual.</w:t>
      </w:r>
    </w:p>
    <w:p>
      <w:pPr>
        <w:spacing w:after="0" w:line="196" w:lineRule="exact"/>
        <w:rPr>
          <w:sz w:val="20"/>
          <w:szCs w:val="20"/>
          <w:color w:val="auto"/>
        </w:rPr>
      </w:pPr>
    </w:p>
    <w:p>
      <w:pPr>
        <w:ind w:right="820" w:firstLine="1296"/>
        <w:spacing w:after="0" w:line="284" w:lineRule="auto"/>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u w:val="single" w:color="auto"/>
          <w:color w:val="auto"/>
        </w:rPr>
        <w:t>Domestic Relations Order</w:t>
      </w:r>
      <w:r>
        <w:rPr>
          <w:rFonts w:ascii="Times New Roman" w:cs="Times New Roman" w:eastAsia="Times New Roman" w:hAnsi="Times New Roman"/>
          <w:sz w:val="22"/>
          <w:szCs w:val="22"/>
          <w:color w:val="auto"/>
        </w:rPr>
        <w:t>” means any judgment, decree or order (including approval of a property settlement agreement) which:</w:t>
      </w:r>
    </w:p>
    <w:p>
      <w:pPr>
        <w:spacing w:after="0" w:line="144" w:lineRule="exact"/>
        <w:rPr>
          <w:sz w:val="20"/>
          <w:szCs w:val="20"/>
          <w:color w:val="auto"/>
        </w:rPr>
      </w:pPr>
    </w:p>
    <w:p>
      <w:pPr>
        <w:ind w:right="60" w:firstLine="1944"/>
        <w:spacing w:after="0" w:line="271" w:lineRule="auto"/>
        <w:rPr>
          <w:sz w:val="20"/>
          <w:szCs w:val="20"/>
          <w:color w:val="auto"/>
        </w:rPr>
      </w:pPr>
      <w:r>
        <w:rPr>
          <w:rFonts w:ascii="Times New Roman" w:cs="Times New Roman" w:eastAsia="Times New Roman" w:hAnsi="Times New Roman"/>
          <w:sz w:val="22"/>
          <w:szCs w:val="22"/>
          <w:color w:val="auto"/>
        </w:rPr>
        <w:t>2.27.1. Relates to the provision of child support, alimony payments or marital property rights to a spouse or former spouse of a Participant; and</w:t>
      </w:r>
    </w:p>
    <w:p>
      <w:pPr>
        <w:spacing w:after="0" w:line="158" w:lineRule="exact"/>
        <w:rPr>
          <w:sz w:val="20"/>
          <w:szCs w:val="20"/>
          <w:color w:val="auto"/>
        </w:rPr>
      </w:pPr>
    </w:p>
    <w:p>
      <w:pPr>
        <w:jc w:val="center"/>
        <w:ind w:left="1200"/>
        <w:spacing w:after="0"/>
        <w:tabs>
          <w:tab w:leader="none" w:pos="200" w:val="left"/>
        </w:tabs>
        <w:rPr>
          <w:sz w:val="20"/>
          <w:szCs w:val="20"/>
          <w:color w:val="auto"/>
        </w:rPr>
      </w:pPr>
      <w:r>
        <w:rPr>
          <w:rFonts w:ascii="Times New Roman" w:cs="Times New Roman" w:eastAsia="Times New Roman" w:hAnsi="Times New Roman"/>
          <w:sz w:val="22"/>
          <w:szCs w:val="22"/>
          <w:color w:val="auto"/>
        </w:rPr>
        <w:t>2.27.2.</w:t>
      </w:r>
      <w:r>
        <w:rPr>
          <w:sz w:val="20"/>
          <w:szCs w:val="20"/>
          <w:color w:val="auto"/>
        </w:rPr>
        <w:tab/>
      </w:r>
      <w:r>
        <w:rPr>
          <w:rFonts w:ascii="Times New Roman" w:cs="Times New Roman" w:eastAsia="Times New Roman" w:hAnsi="Times New Roman"/>
          <w:sz w:val="21"/>
          <w:szCs w:val="21"/>
          <w:color w:val="auto"/>
        </w:rPr>
        <w:t>Is made pursuant to a State domestic relations law (including a community property law).</w:t>
      </w:r>
    </w:p>
    <w:p>
      <w:pPr>
        <w:spacing w:after="0" w:line="220" w:lineRule="exact"/>
        <w:rPr>
          <w:sz w:val="20"/>
          <w:szCs w:val="20"/>
          <w:color w:val="auto"/>
        </w:rPr>
      </w:pPr>
    </w:p>
    <w:p>
      <w:pPr>
        <w:ind w:right="40" w:firstLine="1296"/>
        <w:spacing w:after="0" w:line="272" w:lineRule="auto"/>
        <w:rPr>
          <w:sz w:val="20"/>
          <w:szCs w:val="20"/>
          <w:color w:val="auto"/>
        </w:rPr>
      </w:pPr>
      <w:r>
        <w:rPr>
          <w:rFonts w:ascii="Times New Roman" w:cs="Times New Roman" w:eastAsia="Times New Roman" w:hAnsi="Times New Roman"/>
          <w:sz w:val="21"/>
          <w:szCs w:val="21"/>
          <w:color w:val="auto"/>
        </w:rPr>
        <w:t>2.28. “</w:t>
      </w:r>
      <w:r>
        <w:rPr>
          <w:rFonts w:ascii="Times New Roman" w:cs="Times New Roman" w:eastAsia="Times New Roman" w:hAnsi="Times New Roman"/>
          <w:sz w:val="21"/>
          <w:szCs w:val="21"/>
          <w:u w:val="single" w:color="auto"/>
          <w:color w:val="auto"/>
        </w:rPr>
        <w:t>Diversification Election</w:t>
      </w:r>
      <w:r>
        <w:rPr>
          <w:rFonts w:ascii="Times New Roman" w:cs="Times New Roman" w:eastAsia="Times New Roman" w:hAnsi="Times New Roman"/>
          <w:sz w:val="21"/>
          <w:szCs w:val="21"/>
          <w:color w:val="auto"/>
        </w:rPr>
        <w:t>” means an election by a Participant other than a Non-Employee Director to have a portion of the Participant’s Account credited in the form of Deferred Stock Units and attributable to any grant of Restricted Stock or Restricted Stock Units deemed liquidated and credited thereafter under the Income Fund or an Other Investment Fund, as provided in Section 3.15.1, if (and to the extent that) it is approved by the Administrator in accordance with Section 3.15.2.</w:t>
      </w:r>
    </w:p>
    <w:p>
      <w:pPr>
        <w:spacing w:after="0" w:line="161" w:lineRule="exact"/>
        <w:rPr>
          <w:sz w:val="20"/>
          <w:szCs w:val="20"/>
          <w:color w:val="auto"/>
        </w:rPr>
      </w:pPr>
    </w:p>
    <w:p>
      <w:pPr>
        <w:ind w:right="300" w:firstLine="1296"/>
        <w:spacing w:after="0" w:line="271" w:lineRule="auto"/>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means, as applicable, an Initial Deferral Election, a Regular Deferral Election, or a Subsequent Deferral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209" w:name="page210"/>
    <w:bookmarkEnd w:id="209"/>
    <w:p>
      <w:pPr>
        <w:ind w:left="1300"/>
        <w:spacing w:after="0"/>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u w:val="single" w:color="auto"/>
          <w:color w:val="auto"/>
        </w:rPr>
        <w:t>Eligible Comcast Employee</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340" w:firstLine="1944"/>
        <w:spacing w:after="0" w:line="263" w:lineRule="auto"/>
        <w:rPr>
          <w:sz w:val="20"/>
          <w:szCs w:val="20"/>
          <w:color w:val="auto"/>
        </w:rPr>
      </w:pPr>
      <w:r>
        <w:rPr>
          <w:rFonts w:ascii="Times New Roman" w:cs="Times New Roman" w:eastAsia="Times New Roman" w:hAnsi="Times New Roman"/>
          <w:sz w:val="22"/>
          <w:szCs w:val="22"/>
          <w:color w:val="auto"/>
        </w:rPr>
        <w:t>2.30.1. Each employee of a Participating Company other than NBCUniversal, provided that such employee has an Annual Rate of Pay of $350,000 or more as of the date on which an Initial Deferral Election is filed with the Administrator; and</w:t>
      </w:r>
    </w:p>
    <w:p>
      <w:pPr>
        <w:spacing w:after="0" w:line="167"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2.30.2.</w:t>
      </w:r>
      <w:r>
        <w:rPr>
          <w:sz w:val="20"/>
          <w:szCs w:val="20"/>
          <w:color w:val="auto"/>
        </w:rPr>
        <w:tab/>
      </w:r>
      <w:r>
        <w:rPr>
          <w:rFonts w:ascii="Times New Roman" w:cs="Times New Roman" w:eastAsia="Times New Roman" w:hAnsi="Times New Roman"/>
          <w:sz w:val="21"/>
          <w:szCs w:val="21"/>
          <w:color w:val="auto"/>
        </w:rPr>
        <w:t>Each New Key Employee who is an employee of a Participating Company other than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NBCUniversal.</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u w:val="single" w:color="auto"/>
          <w:color w:val="auto"/>
        </w:rPr>
        <w:t>Eligible Comcast Spectacor Employee</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620" w:firstLine="1944"/>
        <w:spacing w:after="0" w:line="284" w:lineRule="auto"/>
        <w:rPr>
          <w:sz w:val="20"/>
          <w:szCs w:val="20"/>
          <w:color w:val="auto"/>
        </w:rPr>
      </w:pPr>
      <w:r>
        <w:rPr>
          <w:rFonts w:ascii="Times New Roman" w:cs="Times New Roman" w:eastAsia="Times New Roman" w:hAnsi="Times New Roman"/>
          <w:sz w:val="22"/>
          <w:szCs w:val="22"/>
          <w:color w:val="auto"/>
        </w:rPr>
        <w:t>2.31.1. Each Eligible Comcast Employee who is providing services to Comcast Spectacor under a secondment arrangement between the Company and Comcast Spectacor.</w:t>
      </w:r>
    </w:p>
    <w:p>
      <w:pPr>
        <w:spacing w:after="0" w:line="144" w:lineRule="exact"/>
        <w:rPr>
          <w:sz w:val="20"/>
          <w:szCs w:val="20"/>
          <w:color w:val="auto"/>
        </w:rPr>
      </w:pPr>
    </w:p>
    <w:p>
      <w:pPr>
        <w:ind w:firstLine="1944"/>
        <w:spacing w:after="0" w:line="257" w:lineRule="auto"/>
        <w:rPr>
          <w:sz w:val="20"/>
          <w:szCs w:val="20"/>
          <w:color w:val="auto"/>
        </w:rPr>
      </w:pPr>
      <w:r>
        <w:rPr>
          <w:rFonts w:ascii="Times New Roman" w:cs="Times New Roman" w:eastAsia="Times New Roman" w:hAnsi="Times New Roman"/>
          <w:sz w:val="22"/>
          <w:szCs w:val="22"/>
          <w:color w:val="auto"/>
        </w:rPr>
        <w:t>2.31.2. Each employee of Comcast Spectacor, provided that such employee (a) has been designated as an Eligible Comcast Spectacor Employee by the Administrator and (b) has an Annual Rate of Pay of $350,000 or more as of the date on which an Initial Election is filed with the Administrator.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2.32.1.</w:t>
      </w:r>
      <w:r>
        <w:rPr>
          <w:sz w:val="20"/>
          <w:szCs w:val="20"/>
          <w:color w:val="auto"/>
        </w:rPr>
        <w:tab/>
      </w:r>
      <w:r>
        <w:rPr>
          <w:rFonts w:ascii="Times New Roman" w:cs="Times New Roman" w:eastAsia="Times New Roman" w:hAnsi="Times New Roman"/>
          <w:sz w:val="21"/>
          <w:szCs w:val="21"/>
          <w:color w:val="auto"/>
        </w:rPr>
        <w:t>Each Eligible Comcast Employee;</w:t>
      </w:r>
    </w:p>
    <w:p>
      <w:pPr>
        <w:spacing w:after="0" w:line="233"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2.32.2.</w:t>
      </w:r>
      <w:r>
        <w:rPr>
          <w:sz w:val="20"/>
          <w:szCs w:val="20"/>
          <w:color w:val="auto"/>
        </w:rPr>
        <w:tab/>
      </w:r>
      <w:r>
        <w:rPr>
          <w:rFonts w:ascii="Times New Roman" w:cs="Times New Roman" w:eastAsia="Times New Roman" w:hAnsi="Times New Roman"/>
          <w:sz w:val="21"/>
          <w:szCs w:val="21"/>
          <w:color w:val="auto"/>
        </w:rPr>
        <w:t>Each Eligible NBCU Employee;</w:t>
      </w:r>
    </w:p>
    <w:p>
      <w:pPr>
        <w:spacing w:after="0" w:line="22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2.32.3.</w:t>
      </w:r>
      <w:r>
        <w:rPr>
          <w:sz w:val="20"/>
          <w:szCs w:val="20"/>
          <w:color w:val="auto"/>
        </w:rPr>
        <w:tab/>
      </w:r>
      <w:r>
        <w:rPr>
          <w:rFonts w:ascii="Times New Roman" w:cs="Times New Roman" w:eastAsia="Times New Roman" w:hAnsi="Times New Roman"/>
          <w:sz w:val="21"/>
          <w:szCs w:val="21"/>
          <w:color w:val="auto"/>
        </w:rPr>
        <w:t>Each Eligible Comcast Spectacor Employee; and</w:t>
      </w:r>
    </w:p>
    <w:p>
      <w:pPr>
        <w:spacing w:after="0" w:line="220" w:lineRule="exact"/>
        <w:rPr>
          <w:sz w:val="20"/>
          <w:szCs w:val="20"/>
          <w:color w:val="auto"/>
        </w:rPr>
      </w:pPr>
    </w:p>
    <w:p>
      <w:pPr>
        <w:ind w:right="200" w:firstLine="1944"/>
        <w:spacing w:after="0" w:line="271" w:lineRule="auto"/>
        <w:rPr>
          <w:sz w:val="20"/>
          <w:szCs w:val="20"/>
          <w:color w:val="auto"/>
        </w:rPr>
      </w:pPr>
      <w:r>
        <w:rPr>
          <w:rFonts w:ascii="Times New Roman" w:cs="Times New Roman" w:eastAsia="Times New Roman" w:hAnsi="Times New Roman"/>
          <w:sz w:val="22"/>
          <w:szCs w:val="22"/>
          <w:color w:val="auto"/>
        </w:rPr>
        <w:t>2.32.4. Each other employee of a Participating Company who is designated by the Administrator, in its discretion, as an Eligible Employee.</w:t>
      </w:r>
    </w:p>
    <w:p>
      <w:pPr>
        <w:spacing w:after="0" w:line="158" w:lineRule="exact"/>
        <w:rPr>
          <w:sz w:val="20"/>
          <w:szCs w:val="20"/>
          <w:color w:val="auto"/>
        </w:rPr>
      </w:pPr>
    </w:p>
    <w:p>
      <w:pPr>
        <w:ind w:right="260" w:firstLine="1296"/>
        <w:spacing w:after="0" w:line="263" w:lineRule="auto"/>
        <w:rPr>
          <w:sz w:val="20"/>
          <w:szCs w:val="20"/>
          <w:color w:val="auto"/>
        </w:rPr>
      </w:pPr>
      <w:r>
        <w:rPr>
          <w:rFonts w:ascii="Times New Roman" w:cs="Times New Roman" w:eastAsia="Times New Roman" w:hAnsi="Times New Roman"/>
          <w:sz w:val="22"/>
          <w:szCs w:val="22"/>
          <w:color w:val="auto"/>
        </w:rPr>
        <w:t>2.33. “</w:t>
      </w:r>
      <w:r>
        <w:rPr>
          <w:rFonts w:ascii="Times New Roman" w:cs="Times New Roman" w:eastAsia="Times New Roman" w:hAnsi="Times New Roman"/>
          <w:sz w:val="22"/>
          <w:szCs w:val="22"/>
          <w:u w:val="single" w:color="auto"/>
          <w:color w:val="auto"/>
        </w:rPr>
        <w:t>Eligible NBCU Employee</w:t>
      </w:r>
      <w:r>
        <w:rPr>
          <w:rFonts w:ascii="Times New Roman" w:cs="Times New Roman" w:eastAsia="Times New Roman" w:hAnsi="Times New Roman"/>
          <w:sz w:val="22"/>
          <w:szCs w:val="22"/>
          <w:color w:val="auto"/>
        </w:rPr>
        <w:t>” means individuals described in this Section 2.33, provided that, in each case, except as otherwise designated by the Administrator, such individual’s Compensation is administered under NBCUniversal’s common payroll system.</w:t>
      </w:r>
    </w:p>
    <w:p>
      <w:pPr>
        <w:spacing w:after="0" w:line="167"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2.33.1.</w:t>
      </w:r>
      <w:r>
        <w:rPr>
          <w:sz w:val="20"/>
          <w:szCs w:val="20"/>
          <w:color w:val="auto"/>
        </w:rPr>
        <w:tab/>
      </w:r>
      <w:r>
        <w:rPr>
          <w:rFonts w:ascii="Times New Roman" w:cs="Times New Roman" w:eastAsia="Times New Roman" w:hAnsi="Times New Roman"/>
          <w:sz w:val="21"/>
          <w:szCs w:val="21"/>
          <w:color w:val="auto"/>
        </w:rPr>
        <w:t>Each New Key Employee who is an employee of NBCUniversal.</w:t>
      </w:r>
    </w:p>
    <w:p>
      <w:pPr>
        <w:spacing w:after="0" w:line="220" w:lineRule="exact"/>
        <w:rPr>
          <w:sz w:val="20"/>
          <w:szCs w:val="20"/>
          <w:color w:val="auto"/>
        </w:rPr>
      </w:pPr>
    </w:p>
    <w:p>
      <w:pPr>
        <w:ind w:right="480" w:firstLine="1944"/>
        <w:spacing w:after="0" w:line="263" w:lineRule="auto"/>
        <w:rPr>
          <w:sz w:val="20"/>
          <w:szCs w:val="20"/>
          <w:color w:val="auto"/>
        </w:rPr>
      </w:pPr>
      <w:r>
        <w:rPr>
          <w:rFonts w:ascii="Times New Roman" w:cs="Times New Roman" w:eastAsia="Times New Roman" w:hAnsi="Times New Roman"/>
          <w:sz w:val="22"/>
          <w:szCs w:val="22"/>
          <w:color w:val="auto"/>
        </w:rPr>
        <w:t>2.33.2. Each employee of NBCUniversal who has been designated as a member of NBCUniversal’s Executive Committee or Management Committee by the Chief Executive Officer of NBCUniversal and approved by the Administrator.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2.34. “</w:t>
      </w:r>
      <w:r>
        <w:rPr>
          <w:rFonts w:ascii="Times New Roman" w:cs="Times New Roman" w:eastAsia="Times New Roman" w:hAnsi="Times New Roman"/>
          <w:sz w:val="21"/>
          <w:szCs w:val="21"/>
          <w:u w:val="single" w:color="auto"/>
          <w:color w:val="auto"/>
        </w:rPr>
        <w:t>Equity Plan</w:t>
      </w:r>
      <w:r>
        <w:rPr>
          <w:rFonts w:ascii="Times New Roman" w:cs="Times New Roman" w:eastAsia="Times New Roman" w:hAnsi="Times New Roman"/>
          <w:sz w:val="21"/>
          <w:szCs w:val="21"/>
          <w:color w:val="auto"/>
        </w:rPr>
        <w:t>” means the Comcast Corporation 2023 Omnibus Equity Incentive Plan and any successor plan.</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22" w:right="379" w:bottom="1440" w:gutter="0" w:footer="0" w:header="0"/>
        </w:sectPr>
      </w:pPr>
    </w:p>
    <w:bookmarkStart w:id="210" w:name="page211"/>
    <w:bookmarkEnd w:id="210"/>
    <w:p>
      <w:pPr>
        <w:ind w:firstLine="1944"/>
        <w:spacing w:after="0" w:line="257" w:lineRule="auto"/>
        <w:rPr>
          <w:sz w:val="20"/>
          <w:szCs w:val="20"/>
          <w:color w:val="auto"/>
        </w:rPr>
      </w:pPr>
      <w:r>
        <w:rPr>
          <w:rFonts w:ascii="Times New Roman" w:cs="Times New Roman" w:eastAsia="Times New Roman" w:hAnsi="Times New Roman"/>
          <w:sz w:val="22"/>
          <w:szCs w:val="22"/>
          <w:color w:val="auto"/>
        </w:rPr>
        <w:t>2.35.1. If Shares, or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86" w:lineRule="exact"/>
        <w:rPr>
          <w:sz w:val="20"/>
          <w:szCs w:val="20"/>
          <w:color w:val="auto"/>
        </w:rPr>
      </w:pPr>
    </w:p>
    <w:p>
      <w:pPr>
        <w:jc w:val="both"/>
        <w:ind w:right="520" w:firstLine="1944"/>
        <w:spacing w:after="0" w:line="257" w:lineRule="auto"/>
        <w:rPr>
          <w:sz w:val="20"/>
          <w:szCs w:val="20"/>
          <w:color w:val="auto"/>
        </w:rPr>
      </w:pPr>
      <w:r>
        <w:rPr>
          <w:rFonts w:ascii="Times New Roman" w:cs="Times New Roman" w:eastAsia="Times New Roman" w:hAnsi="Times New Roman"/>
          <w:sz w:val="22"/>
          <w:szCs w:val="22"/>
          <w:color w:val="auto"/>
        </w:rPr>
        <w:t>2.35.2. If Shares, or shares of any Other Investment Fund are not so listed, but trades of shares are reported on a quotation system, Fair Market Value shall be determined based on the last quoted sale price of a share on the quotation system on the date of determination, or if such date is not a trading day, the next trading date.</w:t>
      </w:r>
    </w:p>
    <w:p>
      <w:pPr>
        <w:spacing w:after="0" w:line="173" w:lineRule="exact"/>
        <w:rPr>
          <w:sz w:val="20"/>
          <w:szCs w:val="20"/>
          <w:color w:val="auto"/>
        </w:rPr>
      </w:pPr>
    </w:p>
    <w:p>
      <w:pPr>
        <w:ind w:right="640" w:firstLine="1944"/>
        <w:spacing w:after="0" w:line="271" w:lineRule="auto"/>
        <w:rPr>
          <w:sz w:val="20"/>
          <w:szCs w:val="20"/>
          <w:color w:val="auto"/>
        </w:rPr>
      </w:pPr>
      <w:r>
        <w:rPr>
          <w:rFonts w:ascii="Times New Roman" w:cs="Times New Roman" w:eastAsia="Times New Roman" w:hAnsi="Times New Roman"/>
          <w:sz w:val="22"/>
          <w:szCs w:val="22"/>
          <w:color w:val="auto"/>
        </w:rPr>
        <w:t>2.35.3. If Shares, or shares of any Other Investment Fund are not so listed nor trades of shares so reported, Fair Market Value shall be determined by the Administrator in good faith.</w:t>
      </w:r>
    </w:p>
    <w:p>
      <w:pPr>
        <w:spacing w:after="0" w:line="171" w:lineRule="exact"/>
        <w:rPr>
          <w:sz w:val="20"/>
          <w:szCs w:val="20"/>
          <w:color w:val="auto"/>
        </w:rPr>
      </w:pPr>
    </w:p>
    <w:p>
      <w:pPr>
        <w:ind w:right="80" w:firstLine="1296"/>
        <w:spacing w:after="0" w:line="271" w:lineRule="auto"/>
        <w:rPr>
          <w:sz w:val="20"/>
          <w:szCs w:val="20"/>
          <w:color w:val="auto"/>
        </w:rPr>
      </w:pPr>
      <w:r>
        <w:rPr>
          <w:rFonts w:ascii="Times New Roman" w:cs="Times New Roman" w:eastAsia="Times New Roman" w:hAnsi="Times New Roman"/>
          <w:sz w:val="22"/>
          <w:szCs w:val="22"/>
          <w:color w:val="auto"/>
        </w:rPr>
        <w:t>2.36. “</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has the meaning given to such term in General Instructions A.1(a)(5) to Form S-8 under the Securities Act of 1933, as amended, and any successor thereto.</w:t>
      </w:r>
    </w:p>
    <w:p>
      <w:pPr>
        <w:spacing w:after="0" w:line="158" w:lineRule="exact"/>
        <w:rPr>
          <w:sz w:val="20"/>
          <w:szCs w:val="20"/>
          <w:color w:val="auto"/>
        </w:rPr>
      </w:pPr>
    </w:p>
    <w:p>
      <w:pPr>
        <w:ind w:right="40" w:firstLine="1296"/>
        <w:spacing w:after="0" w:line="263" w:lineRule="auto"/>
        <w:rPr>
          <w:sz w:val="20"/>
          <w:szCs w:val="20"/>
          <w:color w:val="auto"/>
        </w:rPr>
      </w:pPr>
      <w:r>
        <w:rPr>
          <w:rFonts w:ascii="Times New Roman" w:cs="Times New Roman" w:eastAsia="Times New Roman" w:hAnsi="Times New Roman"/>
          <w:sz w:val="21"/>
          <w:szCs w:val="21"/>
          <w:color w:val="auto"/>
        </w:rPr>
        <w:t>2.37. “</w:t>
      </w:r>
      <w:r>
        <w:rPr>
          <w:rFonts w:ascii="Times New Roman" w:cs="Times New Roman" w:eastAsia="Times New Roman" w:hAnsi="Times New Roman"/>
          <w:sz w:val="21"/>
          <w:szCs w:val="21"/>
          <w:u w:val="single" w:color="auto"/>
          <w:color w:val="auto"/>
        </w:rPr>
        <w:t>Hardship</w:t>
      </w:r>
      <w:r>
        <w:rPr>
          <w:rFonts w:ascii="Times New Roman" w:cs="Times New Roman" w:eastAsia="Times New Roman" w:hAnsi="Times New Roman"/>
          <w:sz w:val="21"/>
          <w:szCs w:val="21"/>
          <w:color w:val="auto"/>
        </w:rPr>
        <w:t>” means an “unforeseeable emergency,” as defined in Section 409A. The Administrator shall determine whether the circumstances of the Participant constitute an unforeseeable emergency and thus a Hardship within the meaning of this Section 2.37. Following a uniform procedure, the Administrator’s determination shall consider any facts or conditions deemed necessary or advisable by the Administrator, and the Participant shall be required to submit any evidence of the Participant’s circumstances that the Administrator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2.37 for all Participants in similar circumstances.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u w:val="single" w:color="auto"/>
          <w:color w:val="auto"/>
        </w:rPr>
        <w:t>High Balance Participant</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140" w:firstLine="1944"/>
        <w:spacing w:after="0" w:line="284" w:lineRule="auto"/>
        <w:rPr>
          <w:sz w:val="20"/>
          <w:szCs w:val="20"/>
          <w:color w:val="auto"/>
        </w:rPr>
      </w:pPr>
      <w:r>
        <w:rPr>
          <w:rFonts w:ascii="Times New Roman" w:cs="Times New Roman" w:eastAsia="Times New Roman" w:hAnsi="Times New Roman"/>
          <w:sz w:val="22"/>
          <w:szCs w:val="22"/>
          <w:color w:val="auto"/>
        </w:rPr>
        <w:t>2.38.1. a Participant the value of whose Account that is deemed invested in the Income Fund is greater than or equal to the Income Fund Limit, as determined by the Administrator;</w:t>
      </w:r>
    </w:p>
    <w:p>
      <w:pPr>
        <w:spacing w:after="0" w:line="144"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2.38.2.</w:t>
      </w:r>
      <w:r>
        <w:rPr>
          <w:sz w:val="20"/>
          <w:szCs w:val="20"/>
          <w:color w:val="auto"/>
        </w:rPr>
        <w:tab/>
      </w:r>
      <w:r>
        <w:rPr>
          <w:rFonts w:ascii="Times New Roman" w:cs="Times New Roman" w:eastAsia="Times New Roman" w:hAnsi="Times New Roman"/>
          <w:sz w:val="21"/>
          <w:szCs w:val="21"/>
          <w:color w:val="auto"/>
        </w:rPr>
        <w:t>a Participant who is a Non-Employee Director; and</w:t>
      </w:r>
    </w:p>
    <w:p>
      <w:pPr>
        <w:spacing w:after="0" w:line="22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2.38.3.</w:t>
      </w:r>
      <w:r>
        <w:rPr>
          <w:sz w:val="20"/>
          <w:szCs w:val="20"/>
          <w:color w:val="auto"/>
        </w:rPr>
        <w:tab/>
      </w:r>
      <w:r>
        <w:rPr>
          <w:rFonts w:ascii="Times New Roman" w:cs="Times New Roman" w:eastAsia="Times New Roman" w:hAnsi="Times New Roman"/>
          <w:sz w:val="21"/>
          <w:szCs w:val="21"/>
          <w:color w:val="auto"/>
        </w:rPr>
        <w:t>a Participant who is a Covered Participant.</w:t>
      </w:r>
    </w:p>
    <w:p>
      <w:pPr>
        <w:spacing w:after="0" w:line="220" w:lineRule="exact"/>
        <w:rPr>
          <w:sz w:val="20"/>
          <w:szCs w:val="20"/>
          <w:color w:val="auto"/>
        </w:rPr>
      </w:pPr>
    </w:p>
    <w:p>
      <w:pPr>
        <w:jc w:val="both"/>
        <w:ind w:right="220" w:firstLine="1296"/>
        <w:spacing w:after="0" w:line="263" w:lineRule="auto"/>
        <w:rPr>
          <w:sz w:val="20"/>
          <w:szCs w:val="20"/>
          <w:color w:val="auto"/>
        </w:rPr>
      </w:pPr>
      <w:r>
        <w:rPr>
          <w:rFonts w:ascii="Times New Roman" w:cs="Times New Roman" w:eastAsia="Times New Roman" w:hAnsi="Times New Roman"/>
          <w:sz w:val="22"/>
          <w:szCs w:val="22"/>
          <w:color w:val="auto"/>
        </w:rPr>
        <w:t>2.39. “</w:t>
      </w:r>
      <w:r>
        <w:rPr>
          <w:rFonts w:ascii="Times New Roman" w:cs="Times New Roman" w:eastAsia="Times New Roman" w:hAnsi="Times New Roman"/>
          <w:sz w:val="22"/>
          <w:szCs w:val="22"/>
          <w:u w:val="single" w:color="auto"/>
          <w:color w:val="auto"/>
        </w:rPr>
        <w:t>Inactive Participant</w:t>
      </w:r>
      <w:r>
        <w:rPr>
          <w:rFonts w:ascii="Times New Roman" w:cs="Times New Roman" w:eastAsia="Times New Roman" w:hAnsi="Times New Roman"/>
          <w:sz w:val="22"/>
          <w:szCs w:val="22"/>
          <w:color w:val="auto"/>
        </w:rPr>
        <w:t>” means each Participant (other than a Non-Employee Director or Section 16 Officer described in Section 3.5(a), Retired Participant, Deceased Participant or Disabled Participant) who is not in active service as a Non-Employee Director or Director Emeritus and is not actively employed by a Participating Company.</w:t>
      </w:r>
    </w:p>
    <w:p>
      <w:pPr>
        <w:spacing w:after="0" w:line="167" w:lineRule="exact"/>
        <w:rPr>
          <w:sz w:val="20"/>
          <w:szCs w:val="20"/>
          <w:color w:val="auto"/>
        </w:rPr>
      </w:pPr>
    </w:p>
    <w:p>
      <w:pPr>
        <w:ind w:right="560" w:firstLine="1296"/>
        <w:spacing w:after="0" w:line="271" w:lineRule="auto"/>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u w:val="single" w:color="auto"/>
          <w:color w:val="auto"/>
        </w:rPr>
        <w:t>Income Fund</w:t>
      </w:r>
      <w:r>
        <w:rPr>
          <w:rFonts w:ascii="Times New Roman" w:cs="Times New Roman" w:eastAsia="Times New Roman" w:hAnsi="Times New Roman"/>
          <w:sz w:val="22"/>
          <w:szCs w:val="22"/>
          <w:color w:val="auto"/>
        </w:rPr>
        <w:t>” means a hypothetical investment fund pursuant to which income, gains and losses are credited to a Participant’s Account as if the Account,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20"/>
          </w:cols>
          <w:pgMar w:left="320" w:top="1422" w:right="459" w:bottom="1440" w:gutter="0" w:footer="0" w:header="0"/>
        </w:sectPr>
      </w:pPr>
    </w:p>
    <w:bookmarkStart w:id="211" w:name="page212"/>
    <w:bookmarkEnd w:id="211"/>
    <w:p>
      <w:pPr>
        <w:ind w:right="240"/>
        <w:spacing w:after="0" w:line="253" w:lineRule="auto"/>
        <w:rPr>
          <w:sz w:val="20"/>
          <w:szCs w:val="20"/>
          <w:color w:val="auto"/>
        </w:rPr>
      </w:pPr>
      <w:r>
        <w:rPr>
          <w:rFonts w:ascii="Times New Roman" w:cs="Times New Roman" w:eastAsia="Times New Roman" w:hAnsi="Times New Roman"/>
          <w:sz w:val="22"/>
          <w:szCs w:val="22"/>
          <w:color w:val="auto"/>
        </w:rPr>
        <w:t>deemed invested in the Income Fund, including an amount equal to the Fair Market Value of Deferred Stock Units subject to a Diversification Election is credited as of the effective date of such Diversification Election, were credited with interest at the Applicable Interest Rate. In addition, the Income Fund shall also be deemed to hold dividend equivalents and earnings on dividend equivalents credited with respect to Deferred Stock Units. For purposes of this Section 2.40, the Income Fund shall include amounts credited to the Income Fund under the Prior DC Plan and the Prior Equity Plan.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2.41. “</w:t>
      </w:r>
      <w:r>
        <w:rPr>
          <w:rFonts w:ascii="Times New Roman" w:cs="Times New Roman" w:eastAsia="Times New Roman" w:hAnsi="Times New Roman"/>
          <w:sz w:val="22"/>
          <w:szCs w:val="22"/>
          <w:u w:val="single" w:color="auto"/>
          <w:color w:val="auto"/>
        </w:rPr>
        <w:t>Income Fund Limit</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80" w:firstLine="1944"/>
        <w:spacing w:after="0" w:line="253" w:lineRule="auto"/>
        <w:rPr>
          <w:sz w:val="20"/>
          <w:szCs w:val="20"/>
          <w:color w:val="auto"/>
        </w:rPr>
      </w:pPr>
      <w:r>
        <w:rPr>
          <w:rFonts w:ascii="Times New Roman" w:cs="Times New Roman" w:eastAsia="Times New Roman" w:hAnsi="Times New Roman"/>
          <w:sz w:val="22"/>
          <w:szCs w:val="22"/>
          <w:color w:val="auto"/>
        </w:rPr>
        <w:t>2.41.1. With respect to Participants other than Participants described in Section 2.41.2, Section 2.41.3, and Section 2.41.4, $100 million, provided that if the amount credited to a Participant’s Income Fund is greater than $100 million, the Income Fund Limit applicable to such Participant for any applicable Plan Year shall be equal to the amount credited to a Participant’s Income Fund as of the December 31 immediately preceding such applicable Plan Year until such balance is equal to or less than $100 million.</w:t>
      </w:r>
    </w:p>
    <w:p>
      <w:pPr>
        <w:spacing w:after="0" w:line="179"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2.41.2.</w:t>
      </w:r>
      <w:r>
        <w:rPr>
          <w:sz w:val="20"/>
          <w:szCs w:val="20"/>
          <w:color w:val="auto"/>
        </w:rPr>
        <w:tab/>
      </w:r>
      <w:r>
        <w:rPr>
          <w:rFonts w:ascii="Times New Roman" w:cs="Times New Roman" w:eastAsia="Times New Roman" w:hAnsi="Times New Roman"/>
          <w:sz w:val="21"/>
          <w:szCs w:val="21"/>
          <w:color w:val="auto"/>
        </w:rPr>
        <w:t>With respect to Participants who are Non-Employee Directors, $0 (zero dollars).</w:t>
      </w:r>
    </w:p>
    <w:p>
      <w:pPr>
        <w:spacing w:after="0" w:line="22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2.41.3.</w:t>
      </w:r>
      <w:r>
        <w:rPr>
          <w:sz w:val="20"/>
          <w:szCs w:val="20"/>
          <w:color w:val="auto"/>
        </w:rPr>
        <w:tab/>
      </w:r>
      <w:r>
        <w:rPr>
          <w:rFonts w:ascii="Times New Roman" w:cs="Times New Roman" w:eastAsia="Times New Roman" w:hAnsi="Times New Roman"/>
          <w:sz w:val="21"/>
          <w:szCs w:val="21"/>
          <w:color w:val="auto"/>
        </w:rPr>
        <w:t>With respect to Participants who are Covered Participants as of such date, $0 (zero dollars).</w:t>
      </w:r>
    </w:p>
    <w:p>
      <w:pPr>
        <w:spacing w:after="0" w:line="220" w:lineRule="exact"/>
        <w:rPr>
          <w:sz w:val="20"/>
          <w:szCs w:val="20"/>
          <w:color w:val="auto"/>
        </w:rPr>
      </w:pPr>
    </w:p>
    <w:p>
      <w:pPr>
        <w:ind w:right="320" w:firstLine="1944"/>
        <w:spacing w:after="0" w:line="284" w:lineRule="auto"/>
        <w:rPr>
          <w:sz w:val="20"/>
          <w:szCs w:val="20"/>
          <w:color w:val="auto"/>
        </w:rPr>
      </w:pPr>
      <w:r>
        <w:rPr>
          <w:rFonts w:ascii="Times New Roman" w:cs="Times New Roman" w:eastAsia="Times New Roman" w:hAnsi="Times New Roman"/>
          <w:sz w:val="22"/>
          <w:szCs w:val="22"/>
          <w:color w:val="auto"/>
        </w:rPr>
        <w:t>2.41.4. Effective as of the last day of the month following the date a Participant first becomes a Non-Employee Director or a Covered Participant, $0 (zero dollars).</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Administrator may waive or modify downward the Income Fund Limit applicable to one or more High Balance Participants in its discretion. For purposes of this Section 2.41, the Income Fund shall include amounts credited to the Income Fund under the Prior DC Plan and the Prior Equity Plan.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2.42. “</w:t>
      </w:r>
      <w:r>
        <w:rPr>
          <w:rFonts w:ascii="Times New Roman" w:cs="Times New Roman" w:eastAsia="Times New Roman" w:hAnsi="Times New Roman"/>
          <w:sz w:val="22"/>
          <w:szCs w:val="22"/>
          <w:u w:val="single" w:color="auto"/>
          <w:color w:val="auto"/>
        </w:rPr>
        <w:t>Initial Deferral Election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80" w:firstLine="1944"/>
        <w:spacing w:after="0" w:line="252" w:lineRule="auto"/>
        <w:rPr>
          <w:sz w:val="20"/>
          <w:szCs w:val="20"/>
          <w:color w:val="auto"/>
        </w:rPr>
      </w:pPr>
      <w:r>
        <w:rPr>
          <w:rFonts w:ascii="Times New Roman" w:cs="Times New Roman" w:eastAsia="Times New Roman" w:hAnsi="Times New Roman"/>
          <w:sz w:val="22"/>
          <w:szCs w:val="22"/>
          <w:color w:val="auto"/>
        </w:rPr>
        <w:t xml:space="preserve">2.42.1. </w:t>
      </w:r>
      <w:r>
        <w:rPr>
          <w:rFonts w:ascii="Times New Roman" w:cs="Times New Roman" w:eastAsia="Times New Roman" w:hAnsi="Times New Roman"/>
          <w:sz w:val="22"/>
          <w:szCs w:val="22"/>
          <w:u w:val="single" w:color="auto"/>
          <w:color w:val="auto"/>
        </w:rPr>
        <w:t>Non-Employee Directors and Directors Emeriti</w:t>
      </w:r>
      <w:r>
        <w:rPr>
          <w:rFonts w:ascii="Times New Roman" w:cs="Times New Roman" w:eastAsia="Times New Roman" w:hAnsi="Times New Roman"/>
          <w:sz w:val="22"/>
          <w:szCs w:val="22"/>
          <w:color w:val="auto"/>
        </w:rPr>
        <w:t>. With respect to Non-Employee Directors and Directors Emeriti, the term “Initial Deferral Election” means one or more written elections on a form provided by the Administrator and filed with the Administrator in accordance with Article 3, pursuant to which a Non-Employee Director or Director Emeritus may:</w:t>
      </w:r>
    </w:p>
    <w:p>
      <w:pPr>
        <w:spacing w:after="0" w:line="179" w:lineRule="exact"/>
        <w:rPr>
          <w:sz w:val="20"/>
          <w:szCs w:val="20"/>
          <w:color w:val="auto"/>
        </w:rPr>
      </w:pPr>
    </w:p>
    <w:p>
      <w:pPr>
        <w:ind w:right="20" w:firstLine="1952"/>
        <w:spacing w:after="0" w:line="263" w:lineRule="auto"/>
        <w:tabs>
          <w:tab w:leader="none" w:pos="24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 to defer the receipt of any portion of the Compensation payable for the performance of services as a Non-Employee Director or a Director Emeritus, net of required withholdings and deductions as determined by the Administrator in its sole discretion;</w:t>
      </w:r>
    </w:p>
    <w:p>
      <w:pPr>
        <w:spacing w:after="0" w:line="16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 to defer the receipt of Restricted Stock Units; and</w:t>
      </w:r>
    </w:p>
    <w:p>
      <w:pPr>
        <w:spacing w:after="0" w:line="219" w:lineRule="exact"/>
        <w:rPr>
          <w:rFonts w:ascii="Times New Roman" w:cs="Times New Roman" w:eastAsia="Times New Roman" w:hAnsi="Times New Roman"/>
          <w:sz w:val="22"/>
          <w:szCs w:val="22"/>
          <w:color w:val="auto"/>
        </w:rPr>
      </w:pPr>
    </w:p>
    <w:p>
      <w:pPr>
        <w:ind w:right="60" w:firstLine="1952"/>
        <w:spacing w:after="0" w:line="271" w:lineRule="auto"/>
        <w:tabs>
          <w:tab w:leader="none" w:pos="24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the time of payment of the amount of deferred Compensation and Deferred Stock Units to which the Initial Deferral Election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60"/>
          </w:cols>
          <w:pgMar w:left="320" w:top="1422" w:right="419" w:bottom="1440" w:gutter="0" w:footer="0" w:header="0"/>
        </w:sectPr>
      </w:pPr>
    </w:p>
    <w:bookmarkStart w:id="212" w:name="page213"/>
    <w:bookmarkEnd w:id="212"/>
    <w:p>
      <w:pPr>
        <w:ind w:right="320" w:firstLine="1944"/>
        <w:spacing w:after="0" w:line="257" w:lineRule="auto"/>
        <w:rPr>
          <w:sz w:val="20"/>
          <w:szCs w:val="20"/>
          <w:color w:val="auto"/>
        </w:rPr>
      </w:pPr>
      <w:r>
        <w:rPr>
          <w:rFonts w:ascii="Times New Roman" w:cs="Times New Roman" w:eastAsia="Times New Roman" w:hAnsi="Times New Roman"/>
          <w:sz w:val="22"/>
          <w:szCs w:val="22"/>
          <w:color w:val="auto"/>
        </w:rPr>
        <w:t xml:space="preserve">2.42.2. </w:t>
      </w:r>
      <w:r>
        <w:rPr>
          <w:rFonts w:ascii="Times New Roman" w:cs="Times New Roman" w:eastAsia="Times New Roman" w:hAnsi="Times New Roman"/>
          <w:sz w:val="22"/>
          <w:szCs w:val="22"/>
          <w:u w:val="single" w:color="auto"/>
          <w:color w:val="auto"/>
        </w:rPr>
        <w:t>Eligible Employees</w:t>
      </w:r>
      <w:r>
        <w:rPr>
          <w:rFonts w:ascii="Times New Roman" w:cs="Times New Roman" w:eastAsia="Times New Roman" w:hAnsi="Times New Roman"/>
          <w:sz w:val="22"/>
          <w:szCs w:val="22"/>
          <w:color w:val="auto"/>
        </w:rPr>
        <w:t>. The term “Initial Deferral Election” means one or more written elections provided by the Administrator and filed with the Administrator in accordance with Article 3 pursuant to which an Eligible Employee may:</w:t>
      </w:r>
    </w:p>
    <w:p>
      <w:pPr>
        <w:spacing w:after="0" w:line="186" w:lineRule="exact"/>
        <w:rPr>
          <w:sz w:val="20"/>
          <w:szCs w:val="20"/>
          <w:color w:val="auto"/>
        </w:rPr>
      </w:pPr>
    </w:p>
    <w:p>
      <w:pPr>
        <w:ind w:left="2400" w:hanging="448"/>
        <w:spacing w:after="0"/>
        <w:tabs>
          <w:tab w:leader="none" w:pos="240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described in Section 2.42.3,</w:t>
      </w:r>
    </w:p>
    <w:p>
      <w:pPr>
        <w:spacing w:after="0" w:line="219" w:lineRule="exact"/>
        <w:rPr>
          <w:rFonts w:ascii="Times New Roman" w:cs="Times New Roman" w:eastAsia="Times New Roman" w:hAnsi="Times New Roman"/>
          <w:sz w:val="22"/>
          <w:szCs w:val="22"/>
          <w:color w:val="auto"/>
        </w:rPr>
      </w:pPr>
    </w:p>
    <w:p>
      <w:pPr>
        <w:ind w:right="100" w:firstLine="2600"/>
        <w:spacing w:after="0" w:line="271" w:lineRule="auto"/>
        <w:tabs>
          <w:tab w:leader="none" w:pos="3012"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 to defer Compensation payable for the performance of services as an Eligible Employee following the time that such election is filed; and</w:t>
      </w:r>
    </w:p>
    <w:p>
      <w:pPr>
        <w:spacing w:after="0" w:line="157" w:lineRule="exact"/>
        <w:rPr>
          <w:rFonts w:ascii="Times New Roman" w:cs="Times New Roman" w:eastAsia="Times New Roman" w:hAnsi="Times New Roman"/>
          <w:sz w:val="22"/>
          <w:szCs w:val="22"/>
          <w:color w:val="auto"/>
        </w:rPr>
      </w:pPr>
    </w:p>
    <w:p>
      <w:pPr>
        <w:ind w:right="480" w:firstLine="2600"/>
        <w:spacing w:after="0" w:line="271" w:lineRule="auto"/>
        <w:tabs>
          <w:tab w:leader="none" w:pos="3072"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Participant who is an RSU Deferral Eligible Employee, elect to defer the receipt of Restricted Stock Units that qualify as Performance-Based Compensation;</w:t>
      </w:r>
    </w:p>
    <w:p>
      <w:pPr>
        <w:spacing w:after="0" w:line="171" w:lineRule="exact"/>
        <w:rPr>
          <w:rFonts w:ascii="Times New Roman" w:cs="Times New Roman" w:eastAsia="Times New Roman" w:hAnsi="Times New Roman"/>
          <w:sz w:val="22"/>
          <w:szCs w:val="22"/>
          <w:color w:val="auto"/>
        </w:rPr>
      </w:pPr>
    </w:p>
    <w:p>
      <w:pPr>
        <w:ind w:right="60" w:firstLine="1952"/>
        <w:spacing w:after="0" w:line="271" w:lineRule="auto"/>
        <w:tabs>
          <w:tab w:leader="none" w:pos="241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the time of payment of the amount of deferred Compensation and Deferred Stock Units to which the Initial Deferral Election relates.</w:t>
      </w:r>
    </w:p>
    <w:p>
      <w:pPr>
        <w:spacing w:after="0" w:line="158" w:lineRule="exact"/>
        <w:rPr>
          <w:sz w:val="20"/>
          <w:szCs w:val="20"/>
          <w:color w:val="auto"/>
        </w:rPr>
      </w:pPr>
    </w:p>
    <w:p>
      <w:pPr>
        <w:ind w:right="180" w:firstLine="1944"/>
        <w:spacing w:after="0" w:line="271" w:lineRule="auto"/>
        <w:rPr>
          <w:sz w:val="20"/>
          <w:szCs w:val="20"/>
          <w:color w:val="auto"/>
        </w:rPr>
      </w:pPr>
      <w:r>
        <w:rPr>
          <w:rFonts w:ascii="Times New Roman" w:cs="Times New Roman" w:eastAsia="Times New Roman" w:hAnsi="Times New Roman"/>
          <w:sz w:val="22"/>
          <w:szCs w:val="22"/>
          <w:color w:val="auto"/>
        </w:rPr>
        <w:t>2.42.3. The following rules shall apply to Initial Deferral Elections other than Initial Deferral Elections described in Section 2.42.2(a)(ii):</w:t>
      </w:r>
    </w:p>
    <w:p>
      <w:pPr>
        <w:spacing w:after="0" w:line="158" w:lineRule="exact"/>
        <w:rPr>
          <w:sz w:val="20"/>
          <w:szCs w:val="20"/>
          <w:color w:val="auto"/>
        </w:rPr>
      </w:pPr>
    </w:p>
    <w:p>
      <w:pPr>
        <w:ind w:left="2400" w:hanging="448"/>
        <w:spacing w:after="0"/>
        <w:tabs>
          <w:tab w:leader="none" w:pos="240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limits on deferrals of Compensation described in Section 2.42.3(b) and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2.42.3(c):</w:t>
      </w:r>
    </w:p>
    <w:p>
      <w:pPr>
        <w:spacing w:after="0" w:line="209" w:lineRule="exact"/>
        <w:rPr>
          <w:sz w:val="20"/>
          <w:szCs w:val="20"/>
          <w:color w:val="auto"/>
        </w:rPr>
      </w:pPr>
    </w:p>
    <w:p>
      <w:pPr>
        <w:ind w:right="80" w:firstLine="2600"/>
        <w:spacing w:after="0" w:line="257" w:lineRule="auto"/>
        <w:tabs>
          <w:tab w:leader="none" w:pos="3012" w:val="left"/>
        </w:tabs>
        <w:numPr>
          <w:ilvl w:val="2"/>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72" w:lineRule="exact"/>
        <w:rPr>
          <w:rFonts w:ascii="Times New Roman" w:cs="Times New Roman" w:eastAsia="Times New Roman" w:hAnsi="Times New Roman"/>
          <w:sz w:val="22"/>
          <w:szCs w:val="22"/>
          <w:color w:val="auto"/>
        </w:rPr>
      </w:pPr>
    </w:p>
    <w:p>
      <w:pPr>
        <w:ind w:firstLine="2600"/>
        <w:spacing w:after="0" w:line="263" w:lineRule="auto"/>
        <w:tabs>
          <w:tab w:leader="none" w:pos="3072" w:val="left"/>
        </w:tabs>
        <w:numPr>
          <w:ilvl w:val="2"/>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of a Signing Bonus available for deferral pursuant to an Initial Deferral Election shall not exceed 50%, except as otherwise determined by the Administrator in its discretion on an exceptions basis for Participants who are not Section 16 Officers.</w:t>
      </w:r>
    </w:p>
    <w:p>
      <w:pPr>
        <w:spacing w:after="0" w:line="16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08"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subject to Initial Deferral Elections for any Plan Year shall not exceed 35% of Total Compensation, except as otherwise determined by the Administrator in its discretion on an exceptions basis for Participants who are not Section 16 Officers.</w:t>
      </w:r>
    </w:p>
    <w:p>
      <w:pPr>
        <w:spacing w:after="0" w:line="172" w:lineRule="exact"/>
        <w:rPr>
          <w:rFonts w:ascii="Times New Roman" w:cs="Times New Roman" w:eastAsia="Times New Roman" w:hAnsi="Times New Roman"/>
          <w:sz w:val="22"/>
          <w:szCs w:val="22"/>
          <w:color w:val="auto"/>
        </w:rPr>
      </w:pPr>
    </w:p>
    <w:p>
      <w:pPr>
        <w:ind w:right="120" w:firstLine="1952"/>
        <w:spacing w:after="0" w:line="273" w:lineRule="auto"/>
        <w:tabs>
          <w:tab w:leader="none" w:pos="2400"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Initial Deferral Election with respect to Compensation expected to be earned in a Plan Year and credited to the “Income Fund” shall be effective if the sum of (x) the value of the Eligible Employee’s Account in the Plan, plus</w:t>
      </w:r>
    </w:p>
    <w:p>
      <w:pPr>
        <w:spacing w:after="0" w:line="1" w:lineRule="exact"/>
        <w:rPr>
          <w:rFonts w:ascii="Times New Roman" w:cs="Times New Roman" w:eastAsia="Times New Roman" w:hAnsi="Times New Roman"/>
          <w:sz w:val="21"/>
          <w:szCs w:val="21"/>
          <w:color w:val="auto"/>
        </w:rPr>
      </w:pPr>
    </w:p>
    <w:p>
      <w:pPr>
        <w:ind w:right="140" w:firstLine="8"/>
        <w:spacing w:after="0" w:line="250" w:lineRule="auto"/>
        <w:tabs>
          <w:tab w:leader="none" w:pos="30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the Eligible Employee’s Account in the Prior DC Plan, plus (z) the value of the Eligible Employee’s Account in the Prior Equity Plan to the extent such Account is credited to the “Income Fund” thereunder, exceeds the Contribution Limit with respect to such Plan Year, determined as of September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immediately preceding such Plan Year.</w:t>
      </w:r>
    </w:p>
    <w:p>
      <w:pPr>
        <w:spacing w:after="0" w:line="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2.43. “</w:t>
      </w:r>
      <w:r>
        <w:rPr>
          <w:rFonts w:ascii="Times New Roman" w:cs="Times New Roman" w:eastAsia="Times New Roman" w:hAnsi="Times New Roman"/>
          <w:sz w:val="22"/>
          <w:szCs w:val="22"/>
          <w:u w:val="single" w:color="auto"/>
          <w:color w:val="auto"/>
        </w:rPr>
        <w:t>NBCUniversal</w:t>
      </w:r>
      <w:r>
        <w:rPr>
          <w:rFonts w:ascii="Times New Roman" w:cs="Times New Roman" w:eastAsia="Times New Roman" w:hAnsi="Times New Roman"/>
          <w:sz w:val="22"/>
          <w:szCs w:val="22"/>
          <w:color w:val="auto"/>
        </w:rPr>
        <w:t>” means NBCUniversal, LLC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80"/>
          </w:cols>
          <w:pgMar w:left="320" w:top="1422" w:right="399" w:bottom="1440" w:gutter="0" w:footer="0" w:header="0"/>
        </w:sectPr>
      </w:pPr>
    </w:p>
    <w:bookmarkStart w:id="213" w:name="page214"/>
    <w:bookmarkEnd w:id="213"/>
    <w:p>
      <w:pPr>
        <w:ind w:left="1300"/>
        <w:spacing w:after="0"/>
        <w:rPr>
          <w:sz w:val="20"/>
          <w:szCs w:val="20"/>
          <w:color w:val="auto"/>
        </w:rPr>
      </w:pPr>
      <w:r>
        <w:rPr>
          <w:rFonts w:ascii="Times New Roman" w:cs="Times New Roman" w:eastAsia="Times New Roman" w:hAnsi="Times New Roman"/>
          <w:sz w:val="22"/>
          <w:szCs w:val="22"/>
          <w:color w:val="auto"/>
        </w:rPr>
        <w:t>2.44. “</w:t>
      </w:r>
      <w:r>
        <w:rPr>
          <w:rFonts w:ascii="Times New Roman" w:cs="Times New Roman" w:eastAsia="Times New Roman" w:hAnsi="Times New Roman"/>
          <w:sz w:val="22"/>
          <w:szCs w:val="22"/>
          <w:u w:val="single" w:color="auto"/>
          <w:color w:val="auto"/>
        </w:rPr>
        <w:t>New Key Employee</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2.44.1.</w:t>
      </w:r>
      <w:r>
        <w:rPr>
          <w:sz w:val="20"/>
          <w:szCs w:val="20"/>
          <w:color w:val="auto"/>
        </w:rPr>
        <w:tab/>
      </w:r>
      <w:r>
        <w:rPr>
          <w:rFonts w:ascii="Times New Roman" w:cs="Times New Roman" w:eastAsia="Times New Roman" w:hAnsi="Times New Roman"/>
          <w:sz w:val="21"/>
          <w:szCs w:val="21"/>
          <w:u w:val="single" w:color="auto"/>
          <w:color w:val="auto"/>
        </w:rPr>
        <w:t>Employees of Comcast.</w:t>
      </w:r>
    </w:p>
    <w:p>
      <w:pPr>
        <w:spacing w:after="0" w:line="220" w:lineRule="exact"/>
        <w:rPr>
          <w:sz w:val="20"/>
          <w:szCs w:val="20"/>
          <w:color w:val="auto"/>
        </w:rPr>
      </w:pPr>
    </w:p>
    <w:p>
      <w:pPr>
        <w:ind w:left="2400" w:hanging="448"/>
        <w:spacing w:after="0"/>
        <w:tabs>
          <w:tab w:leader="none" w:pos="240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2.44.4, each employee of a Participating Company other than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NBCUniversal:</w:t>
      </w:r>
    </w:p>
    <w:p>
      <w:pPr>
        <w:spacing w:after="0" w:line="207" w:lineRule="exact"/>
        <w:rPr>
          <w:sz w:val="20"/>
          <w:szCs w:val="20"/>
          <w:color w:val="auto"/>
        </w:rPr>
      </w:pPr>
    </w:p>
    <w:p>
      <w:pPr>
        <w:ind w:right="100" w:firstLine="2600"/>
        <w:spacing w:after="0" w:line="271" w:lineRule="auto"/>
        <w:tabs>
          <w:tab w:leader="none" w:pos="301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(x) becomes an employee of a Participating Company and (y) has an Annual Rate of Pay of $350,000 or more as of his employment commencement date, or</w:t>
      </w:r>
    </w:p>
    <w:p>
      <w:pPr>
        <w:spacing w:after="0" w:line="157" w:lineRule="exact"/>
        <w:rPr>
          <w:rFonts w:ascii="Times New Roman" w:cs="Times New Roman" w:eastAsia="Times New Roman" w:hAnsi="Times New Roman"/>
          <w:sz w:val="22"/>
          <w:szCs w:val="22"/>
          <w:color w:val="auto"/>
        </w:rPr>
      </w:pPr>
    </w:p>
    <w:p>
      <w:pPr>
        <w:ind w:right="40" w:firstLine="2600"/>
        <w:spacing w:after="0" w:line="271" w:lineRule="auto"/>
        <w:tabs>
          <w:tab w:leader="none" w:pos="307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(x) has an Annual Rate of Pay that is increased to $350,000 or more and (y) immediately preceding such increase, was not an Eligible Employee.</w:t>
      </w:r>
    </w:p>
    <w:p>
      <w:pPr>
        <w:spacing w:after="0" w:line="171" w:lineRule="exact"/>
        <w:rPr>
          <w:sz w:val="20"/>
          <w:szCs w:val="20"/>
          <w:color w:val="auto"/>
        </w:rPr>
      </w:pPr>
    </w:p>
    <w:p>
      <w:pPr>
        <w:ind w:right="180" w:firstLine="1944"/>
        <w:spacing w:after="0" w:line="252" w:lineRule="auto"/>
        <w:rPr>
          <w:sz w:val="20"/>
          <w:szCs w:val="20"/>
          <w:color w:val="auto"/>
        </w:rPr>
      </w:pPr>
      <w:r>
        <w:rPr>
          <w:rFonts w:ascii="Times New Roman" w:cs="Times New Roman" w:eastAsia="Times New Roman" w:hAnsi="Times New Roman"/>
          <w:sz w:val="22"/>
          <w:szCs w:val="22"/>
          <w:color w:val="auto"/>
        </w:rPr>
        <w:t xml:space="preserve">2.44.2. </w:t>
      </w:r>
      <w:r>
        <w:rPr>
          <w:rFonts w:ascii="Times New Roman" w:cs="Times New Roman" w:eastAsia="Times New Roman" w:hAnsi="Times New Roman"/>
          <w:sz w:val="22"/>
          <w:szCs w:val="22"/>
          <w:u w:val="single" w:color="auto"/>
          <w:color w:val="auto"/>
        </w:rPr>
        <w:t>Employees of NBCUniversal</w:t>
      </w:r>
      <w:r>
        <w:rPr>
          <w:rFonts w:ascii="Times New Roman" w:cs="Times New Roman" w:eastAsia="Times New Roman" w:hAnsi="Times New Roman"/>
          <w:sz w:val="22"/>
          <w:szCs w:val="22"/>
          <w:color w:val="auto"/>
        </w:rPr>
        <w:t>. Except as provided in Section 2.44.4, each employee of NBCUniversal who (x) first becomes a member of the NBCUniversal Executive Committee or the NBCUniversal Management Committee and approved by the Administrator during a Plan Year and (y) immediately preceding the effective date of such membership, was not an Eligible Employee.</w:t>
      </w:r>
    </w:p>
    <w:p>
      <w:pPr>
        <w:spacing w:after="0" w:line="179"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2.44.3.</w:t>
      </w:r>
      <w:r>
        <w:rPr>
          <w:sz w:val="20"/>
          <w:szCs w:val="20"/>
          <w:color w:val="auto"/>
        </w:rPr>
        <w:tab/>
      </w:r>
      <w:r>
        <w:rPr>
          <w:rFonts w:ascii="Times New Roman" w:cs="Times New Roman" w:eastAsia="Times New Roman" w:hAnsi="Times New Roman"/>
          <w:sz w:val="21"/>
          <w:szCs w:val="21"/>
          <w:u w:val="single" w:color="auto"/>
          <w:color w:val="auto"/>
        </w:rPr>
        <w:t>Employees of Comcast Spectacor</w:t>
      </w:r>
      <w:r>
        <w:rPr>
          <w:rFonts w:ascii="Times New Roman" w:cs="Times New Roman" w:eastAsia="Times New Roman" w:hAnsi="Times New Roman"/>
          <w:sz w:val="21"/>
          <w:szCs w:val="21"/>
          <w:color w:val="auto"/>
        </w:rPr>
        <w:t>. Except as provided in Section 2.44.4, each employee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 Spectacor:</w:t>
      </w:r>
    </w:p>
    <w:p>
      <w:pPr>
        <w:spacing w:after="0" w:line="209" w:lineRule="exact"/>
        <w:rPr>
          <w:sz w:val="20"/>
          <w:szCs w:val="20"/>
          <w:color w:val="auto"/>
        </w:rPr>
      </w:pPr>
    </w:p>
    <w:p>
      <w:pPr>
        <w:ind w:right="180" w:firstLine="1952"/>
        <w:spacing w:after="0" w:line="257" w:lineRule="auto"/>
        <w:tabs>
          <w:tab w:leader="none" w:pos="267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 becomes an employee of Comcast Spectacor, (ii) has an Annual Rate of Pay of $350,000 or more as of his employment commencement date and (iii) is designated as an Eligible Comcast Spectacor Employee by the Administrator, or</w:t>
      </w:r>
    </w:p>
    <w:p>
      <w:pPr>
        <w:spacing w:after="0" w:line="172" w:lineRule="exact"/>
        <w:rPr>
          <w:rFonts w:ascii="Times New Roman" w:cs="Times New Roman" w:eastAsia="Times New Roman" w:hAnsi="Times New Roman"/>
          <w:sz w:val="22"/>
          <w:szCs w:val="22"/>
          <w:color w:val="auto"/>
        </w:rPr>
      </w:pPr>
    </w:p>
    <w:p>
      <w:pPr>
        <w:ind w:firstLine="1952"/>
        <w:spacing w:after="0" w:line="263" w:lineRule="auto"/>
        <w:tabs>
          <w:tab w:leader="none" w:pos="268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(x) is designated as an Eligible Comcast Spectacor Employee by the Administrator, (y) has an Annual Rate of Pay that is increased to $350,000 or more and (z) immediately preceding such increase, was not an Eligible Employee.</w:t>
      </w:r>
    </w:p>
    <w:p>
      <w:pPr>
        <w:spacing w:after="0" w:line="167" w:lineRule="exact"/>
        <w:rPr>
          <w:sz w:val="20"/>
          <w:szCs w:val="20"/>
          <w:color w:val="auto"/>
        </w:rPr>
      </w:pPr>
    </w:p>
    <w:p>
      <w:pPr>
        <w:ind w:right="340" w:firstLine="1944"/>
        <w:spacing w:after="0" w:line="271" w:lineRule="auto"/>
        <w:rPr>
          <w:sz w:val="20"/>
          <w:szCs w:val="20"/>
          <w:color w:val="auto"/>
        </w:rPr>
      </w:pPr>
      <w:r>
        <w:rPr>
          <w:rFonts w:ascii="Times New Roman" w:cs="Times New Roman" w:eastAsia="Times New Roman" w:hAnsi="Times New Roman"/>
          <w:sz w:val="22"/>
          <w:szCs w:val="22"/>
          <w:color w:val="auto"/>
        </w:rPr>
        <w:t>2.44.4. Notwithstanding Section 2.44.1, 2.44.2, 2.44.3 or 3.3(b) to the contrary, no individual shall be treated as a New Key Employee or a New Non-Employee Director with respect to any Plan Year if:</w:t>
      </w:r>
    </w:p>
    <w:p>
      <w:pPr>
        <w:spacing w:after="0" w:line="158" w:lineRule="exact"/>
        <w:rPr>
          <w:sz w:val="20"/>
          <w:szCs w:val="20"/>
          <w:color w:val="auto"/>
        </w:rPr>
      </w:pPr>
    </w:p>
    <w:p>
      <w:pPr>
        <w:ind w:right="280" w:firstLine="1952"/>
        <w:spacing w:after="0" w:line="263" w:lineRule="auto"/>
        <w:tabs>
          <w:tab w:leader="none" w:pos="24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employee or Non-Employee Director was eligible to participate in another plan sponsored by the Company or an Affiliate of the Company which is considered to be of a similar type as defined in Treasury Regulation Section 1.409A-1(c)(2)(i)(A) or (B) with respect to such Plan Year; or</w:t>
      </w:r>
    </w:p>
    <w:p>
      <w:pPr>
        <w:spacing w:after="0" w:line="167" w:lineRule="exact"/>
        <w:rPr>
          <w:rFonts w:ascii="Times New Roman" w:cs="Times New Roman" w:eastAsia="Times New Roman" w:hAnsi="Times New Roman"/>
          <w:sz w:val="22"/>
          <w:szCs w:val="22"/>
          <w:color w:val="auto"/>
        </w:rPr>
      </w:pPr>
    </w:p>
    <w:p>
      <w:pPr>
        <w:jc w:val="both"/>
        <w:ind w:right="260" w:firstLine="1952"/>
        <w:spacing w:after="0" w:line="275" w:lineRule="auto"/>
        <w:tabs>
          <w:tab w:leader="none" w:pos="2412"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employee or Non-Employee Director has been eligible to participate in the Plan or any other plan referenced in Section 2.44.4(a) (other than with respect to the accrual of earnings) at any time during the 24-month period ending on the date such employee would, but for this Section 2.44.4, otherwise become a New Key Employee.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2.45. “</w:t>
      </w:r>
      <w:r>
        <w:rPr>
          <w:rFonts w:ascii="Times New Roman" w:cs="Times New Roman" w:eastAsia="Times New Roman" w:hAnsi="Times New Roman"/>
          <w:sz w:val="21"/>
          <w:szCs w:val="21"/>
          <w:u w:val="single" w:color="auto"/>
          <w:color w:val="auto"/>
        </w:rPr>
        <w:t>Non-Employee Director</w:t>
      </w:r>
      <w:r>
        <w:rPr>
          <w:rFonts w:ascii="Times New Roman" w:cs="Times New Roman" w:eastAsia="Times New Roman" w:hAnsi="Times New Roman"/>
          <w:sz w:val="21"/>
          <w:szCs w:val="21"/>
          <w:color w:val="auto"/>
        </w:rPr>
        <w:t>” means a member of the Board who is not an Eligible Employee of a Participating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22" w:right="359" w:bottom="1440" w:gutter="0" w:footer="0" w:header="0"/>
        </w:sectPr>
      </w:pPr>
    </w:p>
    <w:bookmarkStart w:id="214" w:name="page215"/>
    <w:bookmarkEnd w:id="214"/>
    <w:p>
      <w:pPr>
        <w:ind w:left="1300"/>
        <w:spacing w:after="0"/>
        <w:rPr>
          <w:sz w:val="20"/>
          <w:szCs w:val="20"/>
          <w:color w:val="auto"/>
        </w:rPr>
      </w:pPr>
      <w:r>
        <w:rPr>
          <w:rFonts w:ascii="Times New Roman" w:cs="Times New Roman" w:eastAsia="Times New Roman" w:hAnsi="Times New Roman"/>
          <w:sz w:val="22"/>
          <w:szCs w:val="22"/>
          <w:color w:val="auto"/>
        </w:rPr>
        <w:t>2.46. “</w:t>
      </w:r>
      <w:r>
        <w:rPr>
          <w:rFonts w:ascii="Times New Roman" w:cs="Times New Roman" w:eastAsia="Times New Roman" w:hAnsi="Times New Roman"/>
          <w:sz w:val="22"/>
          <w:szCs w:val="22"/>
          <w:u w:val="single" w:color="auto"/>
          <w:color w:val="auto"/>
        </w:rPr>
        <w:t>Normal Retirement</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220" w:firstLine="1944"/>
        <w:spacing w:after="0" w:line="263" w:lineRule="auto"/>
        <w:rPr>
          <w:sz w:val="20"/>
          <w:szCs w:val="20"/>
          <w:color w:val="auto"/>
        </w:rPr>
      </w:pPr>
      <w:r>
        <w:rPr>
          <w:rFonts w:ascii="Times New Roman" w:cs="Times New Roman" w:eastAsia="Times New Roman" w:hAnsi="Times New Roman"/>
          <w:sz w:val="22"/>
          <w:szCs w:val="22"/>
          <w:color w:val="auto"/>
        </w:rPr>
        <w:t>2.46.1. 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67" w:lineRule="exact"/>
        <w:rPr>
          <w:sz w:val="20"/>
          <w:szCs w:val="20"/>
          <w:color w:val="auto"/>
        </w:rPr>
      </w:pPr>
    </w:p>
    <w:p>
      <w:pPr>
        <w:ind w:right="200" w:firstLine="1944"/>
        <w:spacing w:after="0" w:line="271" w:lineRule="auto"/>
        <w:rPr>
          <w:sz w:val="20"/>
          <w:szCs w:val="20"/>
          <w:color w:val="auto"/>
        </w:rPr>
      </w:pPr>
      <w:r>
        <w:rPr>
          <w:rFonts w:ascii="Times New Roman" w:cs="Times New Roman" w:eastAsia="Times New Roman" w:hAnsi="Times New Roman"/>
          <w:sz w:val="22"/>
          <w:szCs w:val="22"/>
          <w:color w:val="auto"/>
        </w:rPr>
        <w:t>2.46.2. For a Participant who is a Non-Employee Director or Director Emeritus immediately preceding his termination of service, the Participant’s normal retirement from the Board.</w:t>
      </w:r>
    </w:p>
    <w:p>
      <w:pPr>
        <w:spacing w:after="0" w:line="158"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21"/>
          <w:szCs w:val="21"/>
          <w:color w:val="auto"/>
        </w:rPr>
        <w:t>2.47. “</w:t>
      </w:r>
      <w:r>
        <w:rPr>
          <w:rFonts w:ascii="Times New Roman" w:cs="Times New Roman" w:eastAsia="Times New Roman" w:hAnsi="Times New Roman"/>
          <w:sz w:val="21"/>
          <w:szCs w:val="21"/>
          <w:u w:val="single" w:color="auto"/>
          <w:color w:val="auto"/>
        </w:rPr>
        <w:t>Other Investment Fund</w:t>
      </w:r>
      <w:r>
        <w:rPr>
          <w:rFonts w:ascii="Times New Roman" w:cs="Times New Roman" w:eastAsia="Times New Roman" w:hAnsi="Times New Roman"/>
          <w:sz w:val="21"/>
          <w:szCs w:val="21"/>
          <w:color w:val="auto"/>
        </w:rPr>
        <w:t>” means the Company Stock Fund and such other hypothetical investment funds designated by the Administrator with respect to any Participant, pursuant to which income, gains, and losses are credited to such Participant’s Account as if the Account, to the extent deemed invested in such Other Investment Fund, were credited with income, gains, and losses as if actually invested in such Other Investment Fund. The Participant shall designate the Other Investment Funds in which the Participant’s Account shall be invested in accordance with rules established by the Administrator.</w:t>
      </w:r>
    </w:p>
    <w:p>
      <w:pPr>
        <w:spacing w:after="0" w:line="164"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2"/>
          <w:szCs w:val="22"/>
          <w:color w:val="auto"/>
        </w:rPr>
        <w:t>2.48.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each individual who has made an Initial Deferral Election, or for whom an Account is established pursuant to Section 5.1, and who has an undistributed amount credited to an Account under the Plan, including an Active Participant, a Deceased Participant, a Retired Participant, an RSU Deferral Eligible Employee, a Disabled Participant, and an Inactive Participant.</w:t>
      </w:r>
    </w:p>
    <w:p>
      <w:pPr>
        <w:spacing w:after="0" w:line="176"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22"/>
          <w:szCs w:val="22"/>
          <w:color w:val="auto"/>
        </w:rPr>
        <w:t>2.49. “</w:t>
      </w:r>
      <w:r>
        <w:rPr>
          <w:rFonts w:ascii="Times New Roman" w:cs="Times New Roman" w:eastAsia="Times New Roman" w:hAnsi="Times New Roman"/>
          <w:sz w:val="22"/>
          <w:szCs w:val="22"/>
          <w:u w:val="single" w:color="auto"/>
          <w:color w:val="auto"/>
        </w:rPr>
        <w:t>Participating Company</w:t>
      </w:r>
      <w:r>
        <w:rPr>
          <w:rFonts w:ascii="Times New Roman" w:cs="Times New Roman" w:eastAsia="Times New Roman" w:hAnsi="Times New Roman"/>
          <w:sz w:val="22"/>
          <w:szCs w:val="22"/>
          <w:color w:val="auto"/>
        </w:rPr>
        <w:t>” means the Company and each Affiliate of the Company in which the Company owns, directly or indirectly, 50 percent or more of the voting interests or value, other than such an affiliate designated by the Administrator as an excluded Affiliate. Notwithstanding the foregoing, the Administrator may delegate its authority to designate an eligible Affiliate as an excluded Affiliate under this Section 2.49 to an officer of the Company or committee of two or more officers of the Company.</w:t>
      </w:r>
    </w:p>
    <w:p>
      <w:pPr>
        <w:spacing w:after="0" w:line="179"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2.50. “</w:t>
      </w:r>
      <w:r>
        <w:rPr>
          <w:rFonts w:ascii="Times New Roman" w:cs="Times New Roman" w:eastAsia="Times New Roman" w:hAnsi="Times New Roman"/>
          <w:sz w:val="22"/>
          <w:szCs w:val="22"/>
          <w:u w:val="single" w:color="auto"/>
          <w:color w:val="auto"/>
        </w:rPr>
        <w:t>Performance-Based Compensation</w:t>
      </w:r>
      <w:r>
        <w:rPr>
          <w:rFonts w:ascii="Times New Roman" w:cs="Times New Roman" w:eastAsia="Times New Roman" w:hAnsi="Times New Roman"/>
          <w:sz w:val="22"/>
          <w:szCs w:val="22"/>
          <w:color w:val="auto"/>
        </w:rPr>
        <w:t>” means Compensation or an Award that satisfies the requirements for “Performance-Based Compensation” under Section 409A.</w:t>
      </w:r>
    </w:p>
    <w:p>
      <w:pPr>
        <w:spacing w:after="0" w:line="158" w:lineRule="exact"/>
        <w:rPr>
          <w:sz w:val="20"/>
          <w:szCs w:val="20"/>
          <w:color w:val="auto"/>
        </w:rPr>
      </w:pPr>
    </w:p>
    <w:p>
      <w:pPr>
        <w:ind w:right="80" w:firstLine="1296"/>
        <w:spacing w:after="0" w:line="263" w:lineRule="auto"/>
        <w:rPr>
          <w:sz w:val="20"/>
          <w:szCs w:val="20"/>
          <w:color w:val="auto"/>
        </w:rPr>
      </w:pPr>
      <w:r>
        <w:rPr>
          <w:rFonts w:ascii="Times New Roman" w:cs="Times New Roman" w:eastAsia="Times New Roman" w:hAnsi="Times New Roman"/>
          <w:sz w:val="22"/>
          <w:szCs w:val="22"/>
          <w:color w:val="auto"/>
        </w:rPr>
        <w:t>2.51.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a period of at least 12 months during which a Participant may earn Performance-Based Compensation. The Performance Period for annual incentive bonuses earned by Eligible Comcast Spectacor Employees shall be Comcast Spectacor’s fiscal year ending June 30.</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2.52.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an association, a trust or any other entity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organization.</w:t>
      </w:r>
    </w:p>
    <w:p>
      <w:pPr>
        <w:spacing w:after="0" w:line="196" w:lineRule="exact"/>
        <w:rPr>
          <w:sz w:val="20"/>
          <w:szCs w:val="20"/>
          <w:color w:val="auto"/>
        </w:rPr>
      </w:pPr>
    </w:p>
    <w:p>
      <w:pPr>
        <w:ind w:right="660" w:firstLine="1296"/>
        <w:spacing w:after="0" w:line="271" w:lineRule="auto"/>
        <w:rPr>
          <w:sz w:val="20"/>
          <w:szCs w:val="20"/>
          <w:color w:val="auto"/>
        </w:rPr>
      </w:pPr>
      <w:r>
        <w:rPr>
          <w:rFonts w:ascii="Times New Roman" w:cs="Times New Roman" w:eastAsia="Times New Roman" w:hAnsi="Times New Roman"/>
          <w:sz w:val="22"/>
          <w:szCs w:val="22"/>
          <w:color w:val="auto"/>
        </w:rPr>
        <w:t>2.53.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2005 Deferred Compensation Plan, as set forth herein, and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22" w:right="379" w:bottom="1440" w:gutter="0" w:footer="0" w:header="0"/>
        </w:sectPr>
      </w:pPr>
    </w:p>
    <w:bookmarkStart w:id="215" w:name="page216"/>
    <w:bookmarkEnd w:id="215"/>
    <w:p>
      <w:pPr>
        <w:ind w:left="1300"/>
        <w:spacing w:after="0"/>
        <w:rPr>
          <w:sz w:val="20"/>
          <w:szCs w:val="20"/>
          <w:color w:val="auto"/>
        </w:rPr>
      </w:pPr>
      <w:r>
        <w:rPr>
          <w:rFonts w:ascii="Times New Roman" w:cs="Times New Roman" w:eastAsia="Times New Roman" w:hAnsi="Times New Roman"/>
          <w:sz w:val="22"/>
          <w:szCs w:val="22"/>
          <w:color w:val="auto"/>
        </w:rPr>
        <w:t>2.54. “</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the calendar year.</w:t>
      </w:r>
    </w:p>
    <w:p>
      <w:pPr>
        <w:spacing w:after="0" w:line="220" w:lineRule="exact"/>
        <w:rPr>
          <w:sz w:val="20"/>
          <w:szCs w:val="20"/>
          <w:color w:val="auto"/>
        </w:rPr>
      </w:pPr>
    </w:p>
    <w:p>
      <w:pPr>
        <w:ind w:right="200" w:firstLine="1296"/>
        <w:spacing w:after="0" w:line="272" w:lineRule="auto"/>
        <w:rPr>
          <w:sz w:val="20"/>
          <w:szCs w:val="20"/>
          <w:color w:val="auto"/>
        </w:rPr>
      </w:pPr>
      <w:r>
        <w:rPr>
          <w:rFonts w:ascii="Times New Roman" w:cs="Times New Roman" w:eastAsia="Times New Roman" w:hAnsi="Times New Roman"/>
          <w:sz w:val="21"/>
          <w:szCs w:val="21"/>
          <w:color w:val="auto"/>
        </w:rPr>
        <w:t>2.55. “</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Times New Roman" w:cs="Times New Roman" w:eastAsia="Times New Roman" w:hAnsi="Times New Roman"/>
          <w:sz w:val="21"/>
          <w:szCs w:val="21"/>
          <w:u w:val="single" w:color="auto"/>
          <w:color w:val="auto"/>
        </w:rPr>
        <w:t>The Wall Street Journal</w:t>
      </w:r>
      <w:r>
        <w:rPr>
          <w:rFonts w:ascii="Times New Roman" w:cs="Times New Roman" w:eastAsia="Times New Roman" w:hAnsi="Times New Roman"/>
          <w:sz w:val="21"/>
          <w:szCs w:val="21"/>
          <w:color w:val="auto"/>
        </w:rPr>
        <w:t xml:space="preserve"> on the last business day preceding the first day of such calendar year, and as adjusted as of the last business day preceding the first day of each calendar year beginning thereafter.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2.56. “</w:t>
      </w:r>
      <w:r>
        <w:rPr>
          <w:rFonts w:ascii="Times New Roman" w:cs="Times New Roman" w:eastAsia="Times New Roman" w:hAnsi="Times New Roman"/>
          <w:sz w:val="22"/>
          <w:szCs w:val="22"/>
          <w:u w:val="single" w:color="auto"/>
          <w:color w:val="auto"/>
        </w:rPr>
        <w:t>Prior DC Plan</w:t>
      </w:r>
      <w:r>
        <w:rPr>
          <w:rFonts w:ascii="Times New Roman" w:cs="Times New Roman" w:eastAsia="Times New Roman" w:hAnsi="Times New Roman"/>
          <w:sz w:val="22"/>
          <w:szCs w:val="22"/>
          <w:color w:val="auto"/>
        </w:rPr>
        <w:t>” means the Comcast Corporation 2002 Deferred Compensation Plan.</w:t>
      </w:r>
    </w:p>
    <w:p>
      <w:pPr>
        <w:spacing w:after="0" w:line="220" w:lineRule="exact"/>
        <w:rPr>
          <w:sz w:val="20"/>
          <w:szCs w:val="20"/>
          <w:color w:val="auto"/>
        </w:rPr>
      </w:pPr>
    </w:p>
    <w:p>
      <w:pPr>
        <w:ind w:right="180" w:firstLine="1296"/>
        <w:spacing w:after="0" w:line="253" w:lineRule="auto"/>
        <w:rPr>
          <w:sz w:val="20"/>
          <w:szCs w:val="20"/>
          <w:color w:val="auto"/>
        </w:rPr>
      </w:pPr>
      <w:r>
        <w:rPr>
          <w:rFonts w:ascii="Times New Roman" w:cs="Times New Roman" w:eastAsia="Times New Roman" w:hAnsi="Times New Roman"/>
          <w:sz w:val="22"/>
          <w:szCs w:val="22"/>
          <w:color w:val="auto"/>
        </w:rPr>
        <w:t>2.57. “</w:t>
      </w:r>
      <w:r>
        <w:rPr>
          <w:rFonts w:ascii="Times New Roman" w:cs="Times New Roman" w:eastAsia="Times New Roman" w:hAnsi="Times New Roman"/>
          <w:sz w:val="22"/>
          <w:szCs w:val="22"/>
          <w:u w:val="single" w:color="auto"/>
          <w:color w:val="auto"/>
        </w:rPr>
        <w:t>Protected Account Balance</w:t>
      </w:r>
      <w:r>
        <w:rPr>
          <w:rFonts w:ascii="Times New Roman" w:cs="Times New Roman" w:eastAsia="Times New Roman" w:hAnsi="Times New Roman"/>
          <w:sz w:val="22"/>
          <w:szCs w:val="22"/>
          <w:color w:val="auto"/>
        </w:rPr>
        <w:t>” means a Participant’s Protected Account Balance, as determined under the terms of the Plan as in effect immediately before the Restatement Effective Date, including interest credits attributable to such amounts. Notwithstanding this Section 2.57, except as otherwise provided by the Administrator, the Protected Account Balance of an Eligible Comcast Employee who is re-employed by a Participating Company following an employment termination date shall be zero.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2.58. “</w:t>
      </w:r>
      <w:r>
        <w:rPr>
          <w:rFonts w:ascii="Times New Roman" w:cs="Times New Roman" w:eastAsia="Times New Roman" w:hAnsi="Times New Roman"/>
          <w:sz w:val="22"/>
          <w:szCs w:val="22"/>
          <w:u w:val="single" w:color="auto"/>
          <w:color w:val="auto"/>
        </w:rPr>
        <w:t>Regular Deferral Election</w:t>
      </w:r>
      <w:r>
        <w:rPr>
          <w:rFonts w:ascii="Times New Roman" w:cs="Times New Roman" w:eastAsia="Times New Roman" w:hAnsi="Times New Roman"/>
          <w:sz w:val="22"/>
          <w:szCs w:val="22"/>
          <w:color w:val="auto"/>
        </w:rPr>
        <w:t>” means a written election with respect to an Award on a form provided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 pursuant to which a Participant:</w:t>
      </w:r>
    </w:p>
    <w:p>
      <w:pPr>
        <w:spacing w:after="0" w:line="196" w:lineRule="exact"/>
        <w:rPr>
          <w:sz w:val="20"/>
          <w:szCs w:val="20"/>
          <w:color w:val="auto"/>
        </w:rPr>
      </w:pPr>
    </w:p>
    <w:p>
      <w:pPr>
        <w:ind w:right="140" w:firstLine="1944"/>
        <w:spacing w:after="0" w:line="284" w:lineRule="auto"/>
        <w:rPr>
          <w:sz w:val="20"/>
          <w:szCs w:val="20"/>
          <w:color w:val="auto"/>
        </w:rPr>
      </w:pPr>
      <w:r>
        <w:rPr>
          <w:rFonts w:ascii="Times New Roman" w:cs="Times New Roman" w:eastAsia="Times New Roman" w:hAnsi="Times New Roman"/>
          <w:sz w:val="22"/>
          <w:szCs w:val="22"/>
          <w:color w:val="auto"/>
        </w:rPr>
        <w:t>2.58.1. Elects, within the time or times specified in Section 3.8.2 to defer the distribution date of Shares issuable with respect to Restricted Stock Units; and</w:t>
      </w:r>
    </w:p>
    <w:p>
      <w:pPr>
        <w:spacing w:after="0" w:line="144"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2.58.2.</w:t>
      </w:r>
      <w:r>
        <w:rPr>
          <w:sz w:val="20"/>
          <w:szCs w:val="20"/>
          <w:color w:val="auto"/>
        </w:rPr>
        <w:tab/>
      </w:r>
      <w:r>
        <w:rPr>
          <w:rFonts w:ascii="Times New Roman" w:cs="Times New Roman" w:eastAsia="Times New Roman" w:hAnsi="Times New Roman"/>
          <w:sz w:val="21"/>
          <w:szCs w:val="21"/>
          <w:color w:val="auto"/>
        </w:rPr>
        <w:t>Designates the distribution date of such Shares.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2.59. “</w:t>
      </w:r>
      <w:r>
        <w:rPr>
          <w:rFonts w:ascii="Times New Roman" w:cs="Times New Roman" w:eastAsia="Times New Roman" w:hAnsi="Times New Roman"/>
          <w:sz w:val="22"/>
          <w:szCs w:val="22"/>
          <w:u w:val="single" w:color="auto"/>
          <w:color w:val="auto"/>
        </w:rPr>
        <w:t>Restatement Effective Date</w:t>
      </w:r>
      <w:r>
        <w:rPr>
          <w:rFonts w:ascii="Times New Roman" w:cs="Times New Roman" w:eastAsia="Times New Roman" w:hAnsi="Times New Roman"/>
          <w:sz w:val="22"/>
          <w:szCs w:val="22"/>
          <w:color w:val="auto"/>
        </w:rPr>
        <w:t>” means February 28, 2023.</w:t>
      </w:r>
    </w:p>
    <w:p>
      <w:pPr>
        <w:spacing w:after="0" w:line="220" w:lineRule="exact"/>
        <w:rPr>
          <w:sz w:val="20"/>
          <w:szCs w:val="20"/>
          <w:color w:val="auto"/>
        </w:rPr>
      </w:pPr>
    </w:p>
    <w:p>
      <w:pPr>
        <w:ind w:right="600" w:firstLine="1296"/>
        <w:spacing w:after="0" w:line="271" w:lineRule="auto"/>
        <w:rPr>
          <w:sz w:val="20"/>
          <w:szCs w:val="20"/>
          <w:color w:val="auto"/>
        </w:rPr>
      </w:pPr>
      <w:r>
        <w:rPr>
          <w:rFonts w:ascii="Times New Roman" w:cs="Times New Roman" w:eastAsia="Times New Roman" w:hAnsi="Times New Roman"/>
          <w:sz w:val="22"/>
          <w:szCs w:val="22"/>
          <w:color w:val="auto"/>
        </w:rPr>
        <w:t>2.60. “</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unit that entitles the Participant, upon the Vesting Date set forth in an Award, to receive one Share.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2.61. “</w:t>
      </w:r>
      <w:r>
        <w:rPr>
          <w:rFonts w:ascii="Times New Roman" w:cs="Times New Roman" w:eastAsia="Times New Roman" w:hAnsi="Times New Roman"/>
          <w:sz w:val="22"/>
          <w:szCs w:val="22"/>
          <w:u w:val="single" w:color="auto"/>
          <w:color w:val="auto"/>
        </w:rPr>
        <w:t>Retired Participant</w:t>
      </w:r>
      <w:r>
        <w:rPr>
          <w:rFonts w:ascii="Times New Roman" w:cs="Times New Roman" w:eastAsia="Times New Roman" w:hAnsi="Times New Roman"/>
          <w:sz w:val="22"/>
          <w:szCs w:val="22"/>
          <w:color w:val="auto"/>
        </w:rPr>
        <w:t>” means a Participant who has terminated service pursuant to a Normal Retirement.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2.62. “</w:t>
      </w:r>
      <w:r>
        <w:rPr>
          <w:rFonts w:ascii="Times New Roman" w:cs="Times New Roman" w:eastAsia="Times New Roman" w:hAnsi="Times New Roman"/>
          <w:sz w:val="22"/>
          <w:szCs w:val="22"/>
          <w:u w:val="single" w:color="auto"/>
          <w:color w:val="auto"/>
        </w:rPr>
        <w:t>RSU Account</w:t>
      </w:r>
      <w:r>
        <w:rPr>
          <w:rFonts w:ascii="Times New Roman" w:cs="Times New Roman" w:eastAsia="Times New Roman" w:hAnsi="Times New Roman"/>
          <w:sz w:val="22"/>
          <w:szCs w:val="22"/>
          <w:color w:val="auto"/>
        </w:rPr>
        <w:t>” means the portion of a Participant’s Account that is attributable to Deferred Stock Units.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2.63. “</w:t>
      </w:r>
      <w:r>
        <w:rPr>
          <w:rFonts w:ascii="Times New Roman" w:cs="Times New Roman" w:eastAsia="Times New Roman" w:hAnsi="Times New Roman"/>
          <w:sz w:val="22"/>
          <w:szCs w:val="22"/>
          <w:u w:val="single" w:color="auto"/>
          <w:color w:val="auto"/>
        </w:rPr>
        <w:t>RSU Deferral Eligible Employee</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22"/>
          <w:szCs w:val="22"/>
          <w:color w:val="auto"/>
        </w:rPr>
        <w:t>2.63.1. An Eligible Comcast Employee whose Annual Rate of Pay is $350,000 or more as of both: (a) the date on which an Initial Deferral Election or Regular Deferral Election is filed with the Administrator; and (b) the first day of the calendar year in which such Initial Deferral Election or Regular Deferral Election is filed.</w:t>
      </w:r>
    </w:p>
    <w:p>
      <w:pPr>
        <w:spacing w:after="0" w:line="167"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2.63.2.</w:t>
      </w:r>
      <w:r>
        <w:rPr>
          <w:sz w:val="20"/>
          <w:szCs w:val="20"/>
          <w:color w:val="auto"/>
        </w:rPr>
        <w:tab/>
      </w:r>
      <w:r>
        <w:rPr>
          <w:rFonts w:ascii="Times New Roman" w:cs="Times New Roman" w:eastAsia="Times New Roman" w:hAnsi="Times New Roman"/>
          <w:sz w:val="21"/>
          <w:szCs w:val="21"/>
          <w:color w:val="auto"/>
        </w:rPr>
        <w:t>Each New Key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22" w:right="359" w:bottom="1440" w:gutter="0" w:footer="0" w:header="0"/>
        </w:sectPr>
      </w:pPr>
    </w:p>
    <w:bookmarkStart w:id="216" w:name="page217"/>
    <w:bookmarkEnd w:id="216"/>
    <w:p>
      <w:pPr>
        <w:ind w:right="220" w:firstLine="1944"/>
        <w:spacing w:after="0" w:line="271" w:lineRule="auto"/>
        <w:rPr>
          <w:sz w:val="20"/>
          <w:szCs w:val="20"/>
          <w:color w:val="auto"/>
        </w:rPr>
      </w:pPr>
      <w:r>
        <w:rPr>
          <w:rFonts w:ascii="Times New Roman" w:cs="Times New Roman" w:eastAsia="Times New Roman" w:hAnsi="Times New Roman"/>
          <w:sz w:val="22"/>
          <w:szCs w:val="22"/>
          <w:color w:val="auto"/>
        </w:rPr>
        <w:t>2.63.3. Each other employee of a Participating Company who is designated by the Administrator, in its sole and absolute discretion, as an RSU Deferral Eligible Employee.</w:t>
      </w:r>
    </w:p>
    <w:p>
      <w:pPr>
        <w:spacing w:after="0" w:line="158"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2"/>
          <w:szCs w:val="22"/>
          <w:color w:val="auto"/>
        </w:rPr>
        <w:t>Notwithstanding anything in this Section 2.63 to the contrary, except as otherwise provided by the Administrator, no Participant who is an employee of NBCUniversal, LLC, a Delaware limited liability company, and its subsidiaries (collectively, “NBCUniversal”) shall be an RSU Deferral Eligible Employee.</w:t>
      </w:r>
    </w:p>
    <w:p>
      <w:pPr>
        <w:spacing w:after="0" w:line="167" w:lineRule="exact"/>
        <w:rPr>
          <w:sz w:val="20"/>
          <w:szCs w:val="20"/>
          <w:color w:val="auto"/>
        </w:rPr>
      </w:pPr>
    </w:p>
    <w:p>
      <w:pPr>
        <w:ind w:right="440" w:firstLine="1296"/>
        <w:spacing w:after="0" w:line="271" w:lineRule="auto"/>
        <w:rPr>
          <w:sz w:val="20"/>
          <w:szCs w:val="20"/>
          <w:color w:val="auto"/>
        </w:rPr>
      </w:pPr>
      <w:r>
        <w:rPr>
          <w:rFonts w:ascii="Times New Roman" w:cs="Times New Roman" w:eastAsia="Times New Roman" w:hAnsi="Times New Roman"/>
          <w:sz w:val="22"/>
          <w:szCs w:val="22"/>
          <w:color w:val="auto"/>
        </w:rPr>
        <w:t>2.64. “</w:t>
      </w:r>
      <w:r>
        <w:rPr>
          <w:rFonts w:ascii="Times New Roman" w:cs="Times New Roman" w:eastAsia="Times New Roman" w:hAnsi="Times New Roman"/>
          <w:sz w:val="22"/>
          <w:szCs w:val="22"/>
          <w:u w:val="single" w:color="auto"/>
          <w:color w:val="auto"/>
        </w:rPr>
        <w:t>Section 16 Officer</w:t>
      </w:r>
      <w:r>
        <w:rPr>
          <w:rFonts w:ascii="Times New Roman" w:cs="Times New Roman" w:eastAsia="Times New Roman" w:hAnsi="Times New Roman"/>
          <w:sz w:val="22"/>
          <w:szCs w:val="22"/>
          <w:color w:val="auto"/>
        </w:rPr>
        <w:t>” means an “officer” of the Company, as defined pursuant to Rule 16a-1(f) under the Securities Exchange Act of 1934, as amended.</w:t>
      </w:r>
    </w:p>
    <w:p>
      <w:pPr>
        <w:spacing w:after="0" w:line="158" w:lineRule="exact"/>
        <w:rPr>
          <w:sz w:val="20"/>
          <w:szCs w:val="20"/>
          <w:color w:val="auto"/>
        </w:rPr>
      </w:pPr>
    </w:p>
    <w:p>
      <w:pPr>
        <w:ind w:right="260" w:firstLine="1296"/>
        <w:spacing w:after="0" w:line="284" w:lineRule="auto"/>
        <w:rPr>
          <w:sz w:val="20"/>
          <w:szCs w:val="20"/>
          <w:color w:val="auto"/>
        </w:rPr>
      </w:pPr>
      <w:r>
        <w:rPr>
          <w:rFonts w:ascii="Times New Roman" w:cs="Times New Roman" w:eastAsia="Times New Roman" w:hAnsi="Times New Roman"/>
          <w:sz w:val="22"/>
          <w:szCs w:val="22"/>
          <w:color w:val="auto"/>
        </w:rPr>
        <w:t>2.65.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Internal Revenue Code of 1986, as amended, as interpreted by the various Notices, Announcements, Proposed Regulations and Final Regulations thereunder.</w:t>
      </w:r>
    </w:p>
    <w:p>
      <w:pPr>
        <w:spacing w:after="0" w:line="144" w:lineRule="exact"/>
        <w:rPr>
          <w:sz w:val="20"/>
          <w:szCs w:val="20"/>
          <w:color w:val="auto"/>
        </w:rPr>
      </w:pPr>
    </w:p>
    <w:p>
      <w:pPr>
        <w:ind w:right="180" w:firstLine="1296"/>
        <w:spacing w:after="0" w:line="257" w:lineRule="auto"/>
        <w:rPr>
          <w:sz w:val="20"/>
          <w:szCs w:val="20"/>
          <w:color w:val="auto"/>
        </w:rPr>
      </w:pPr>
      <w:r>
        <w:rPr>
          <w:rFonts w:ascii="Times New Roman" w:cs="Times New Roman" w:eastAsia="Times New Roman" w:hAnsi="Times New Roman"/>
          <w:sz w:val="22"/>
          <w:szCs w:val="22"/>
          <w:color w:val="auto"/>
        </w:rPr>
        <w:t>2.66. “</w:t>
      </w:r>
      <w:r>
        <w:rPr>
          <w:rFonts w:ascii="Times New Roman" w:cs="Times New Roman" w:eastAsia="Times New Roman" w:hAnsi="Times New Roman"/>
          <w:sz w:val="22"/>
          <w:szCs w:val="22"/>
          <w:u w:val="single" w:color="auto"/>
          <w:color w:val="auto"/>
        </w:rPr>
        <w:t>Severance Pay</w:t>
      </w:r>
      <w:r>
        <w:rPr>
          <w:rFonts w:ascii="Times New Roman" w:cs="Times New Roman" w:eastAsia="Times New Roman" w:hAnsi="Times New Roman"/>
          <w:sz w:val="22"/>
          <w:szCs w:val="22"/>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2.67.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a share or shares of Class A Common Stock, par value $0.01, of the Company.</w:t>
      </w:r>
    </w:p>
    <w:p>
      <w:pPr>
        <w:spacing w:after="0" w:line="220" w:lineRule="exact"/>
        <w:rPr>
          <w:sz w:val="20"/>
          <w:szCs w:val="20"/>
          <w:color w:val="auto"/>
        </w:rPr>
      </w:pPr>
    </w:p>
    <w:p>
      <w:pPr>
        <w:ind w:right="440" w:firstLine="1296"/>
        <w:spacing w:after="0" w:line="263" w:lineRule="auto"/>
        <w:rPr>
          <w:sz w:val="20"/>
          <w:szCs w:val="20"/>
          <w:color w:val="auto"/>
        </w:rPr>
      </w:pPr>
      <w:r>
        <w:rPr>
          <w:rFonts w:ascii="Times New Roman" w:cs="Times New Roman" w:eastAsia="Times New Roman" w:hAnsi="Times New Roman"/>
          <w:sz w:val="22"/>
          <w:szCs w:val="22"/>
          <w:color w:val="auto"/>
        </w:rPr>
        <w:t>2.68. “</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2.69. “</w:t>
      </w:r>
      <w:r>
        <w:rPr>
          <w:rFonts w:ascii="Times New Roman" w:cs="Times New Roman" w:eastAsia="Times New Roman" w:hAnsi="Times New Roman"/>
          <w:sz w:val="22"/>
          <w:szCs w:val="22"/>
          <w:u w:val="single" w:color="auto"/>
          <w:color w:val="auto"/>
        </w:rPr>
        <w:t>Subsequent Deferral Election</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firstLine="1944"/>
        <w:spacing w:after="0" w:line="256" w:lineRule="auto"/>
        <w:rPr>
          <w:sz w:val="20"/>
          <w:szCs w:val="20"/>
          <w:color w:val="auto"/>
        </w:rPr>
      </w:pPr>
      <w:r>
        <w:rPr>
          <w:rFonts w:ascii="Times New Roman" w:cs="Times New Roman" w:eastAsia="Times New Roman" w:hAnsi="Times New Roman"/>
          <w:sz w:val="22"/>
          <w:szCs w:val="22"/>
          <w:color w:val="auto"/>
        </w:rPr>
        <w:t>2.69.1. With respect to Compensation,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filed Initial Deferral Election or Subsequent Deferral Election.</w:t>
      </w:r>
    </w:p>
    <w:p>
      <w:pPr>
        <w:spacing w:after="0" w:line="176" w:lineRule="exact"/>
        <w:rPr>
          <w:sz w:val="20"/>
          <w:szCs w:val="20"/>
          <w:color w:val="auto"/>
        </w:rPr>
      </w:pPr>
    </w:p>
    <w:p>
      <w:pPr>
        <w:ind w:firstLine="1944"/>
        <w:spacing w:after="0" w:line="256" w:lineRule="auto"/>
        <w:rPr>
          <w:sz w:val="20"/>
          <w:szCs w:val="20"/>
          <w:color w:val="auto"/>
        </w:rPr>
      </w:pPr>
      <w:r>
        <w:rPr>
          <w:rFonts w:ascii="Times New Roman" w:cs="Times New Roman" w:eastAsia="Times New Roman" w:hAnsi="Times New Roman"/>
          <w:sz w:val="22"/>
          <w:szCs w:val="22"/>
          <w:color w:val="auto"/>
        </w:rPr>
        <w:t>2.69.2. With respect to Deferred Stock Units, means a written election on a form provided by the Administrator, filed with the Administrator in accordance with Section 3.8.3, pursuant to which a Participant: (i) elects, within the time or times specified in Section 3.8.3, to further defer the distribution date of Shares issuable with respect to Deferred Stock Units and (ii) designates the distribution date of such Shares.</w:t>
      </w:r>
    </w:p>
    <w:p>
      <w:pPr>
        <w:spacing w:after="0" w:line="176" w:lineRule="exact"/>
        <w:rPr>
          <w:sz w:val="20"/>
          <w:szCs w:val="20"/>
          <w:color w:val="auto"/>
        </w:rPr>
      </w:pPr>
    </w:p>
    <w:p>
      <w:pPr>
        <w:ind w:right="700" w:firstLine="1296"/>
        <w:spacing w:after="0" w:line="271" w:lineRule="auto"/>
        <w:rPr>
          <w:sz w:val="20"/>
          <w:szCs w:val="20"/>
          <w:color w:val="auto"/>
        </w:rPr>
      </w:pPr>
      <w:r>
        <w:rPr>
          <w:rFonts w:ascii="Times New Roman" w:cs="Times New Roman" w:eastAsia="Times New Roman" w:hAnsi="Times New Roman"/>
          <w:sz w:val="22"/>
          <w:szCs w:val="22"/>
          <w:color w:val="auto"/>
        </w:rPr>
        <w:t>2.70. “</w:t>
      </w:r>
      <w:r>
        <w:rPr>
          <w:rFonts w:ascii="Times New Roman" w:cs="Times New Roman" w:eastAsia="Times New Roman" w:hAnsi="Times New Roman"/>
          <w:sz w:val="22"/>
          <w:szCs w:val="22"/>
          <w:u w:val="single" w:color="auto"/>
          <w:color w:val="auto"/>
        </w:rPr>
        <w:t>Surviving Spouse</w:t>
      </w:r>
      <w:r>
        <w:rPr>
          <w:rFonts w:ascii="Times New Roman" w:cs="Times New Roman" w:eastAsia="Times New Roman" w:hAnsi="Times New Roman"/>
          <w:sz w:val="22"/>
          <w:szCs w:val="22"/>
          <w:color w:val="auto"/>
        </w:rPr>
        <w:t>” means the widow or widower, as the case may be, of a Deceased Participant or a Deceased Beneficiary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22" w:right="359" w:bottom="1440" w:gutter="0" w:footer="0" w:header="0"/>
        </w:sectPr>
      </w:pPr>
    </w:p>
    <w:bookmarkStart w:id="217" w:name="page218"/>
    <w:bookmarkEnd w:id="217"/>
    <w:p>
      <w:pPr>
        <w:ind w:right="4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2.71. </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For purposes of the Plan, a transfer of an employee between two employers, each of which is the Company or an Affiliate,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18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2.72.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together with such Person’s Affiliates, provided that the term “Third Party” shall not include the Company or an Affiliate of the Company.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2.73. “</w:t>
      </w:r>
      <w:r>
        <w:rPr>
          <w:rFonts w:ascii="Times New Roman" w:cs="Times New Roman" w:eastAsia="Times New Roman" w:hAnsi="Times New Roman"/>
          <w:sz w:val="22"/>
          <w:szCs w:val="22"/>
          <w:u w:val="single" w:color="auto"/>
          <w:color w:val="auto"/>
        </w:rPr>
        <w:t>Total Compensation</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140" w:firstLine="1944"/>
        <w:spacing w:after="0" w:line="252" w:lineRule="auto"/>
        <w:rPr>
          <w:sz w:val="20"/>
          <w:szCs w:val="20"/>
          <w:color w:val="auto"/>
        </w:rPr>
      </w:pPr>
      <w:r>
        <w:rPr>
          <w:rFonts w:ascii="Times New Roman" w:cs="Times New Roman" w:eastAsia="Times New Roman" w:hAnsi="Times New Roman"/>
          <w:sz w:val="22"/>
          <w:szCs w:val="22"/>
          <w:color w:val="auto"/>
        </w:rPr>
        <w:t>2.73.1. The sum of an Eligible Employee’s Annual Rate of Pay, plus any target bonus amount under a cash bonus award that is includible as “Compensation” under Section 2.19, plus the grant date value of any annual long-term incentive award granted in the immediately preceding Plan Year, all as determined by the Administrator in its sole discretion, as of the September 30th immediately preceding the Plan Year.</w:t>
      </w:r>
    </w:p>
    <w:p>
      <w:pPr>
        <w:spacing w:after="0" w:line="179" w:lineRule="exact"/>
        <w:rPr>
          <w:sz w:val="20"/>
          <w:szCs w:val="20"/>
          <w:color w:val="auto"/>
        </w:rPr>
      </w:pPr>
    </w:p>
    <w:p>
      <w:pPr>
        <w:ind w:right="20" w:firstLine="1944"/>
        <w:spacing w:after="0" w:line="256" w:lineRule="auto"/>
        <w:rPr>
          <w:sz w:val="20"/>
          <w:szCs w:val="20"/>
          <w:color w:val="auto"/>
        </w:rPr>
      </w:pPr>
      <w:r>
        <w:rPr>
          <w:rFonts w:ascii="Times New Roman" w:cs="Times New Roman" w:eastAsia="Times New Roman" w:hAnsi="Times New Roman"/>
          <w:sz w:val="22"/>
          <w:szCs w:val="22"/>
          <w:color w:val="auto"/>
        </w:rPr>
        <w:t>2.73.2. 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2.74.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means the date on which the Participant vests in a Restricted Stock Unit.</w:t>
      </w:r>
    </w:p>
    <w:p>
      <w:pPr>
        <w:spacing w:after="0" w:line="21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b w:val="1"/>
          <w:bCs w:val="1"/>
          <w:color w:val="auto"/>
        </w:rPr>
        <w:t xml:space="preserve">ARTICLE 3 </w:t>
      </w:r>
      <w:r>
        <w:rPr>
          <w:rFonts w:ascii="Times New Roman" w:cs="Times New Roman" w:eastAsia="Times New Roman" w:hAnsi="Times New Roman"/>
          <w:sz w:val="22"/>
          <w:szCs w:val="22"/>
          <w:color w:val="auto"/>
        </w:rPr>
        <w:t>– INITIAL AND SUBSEQUENT DEFERRAL ELECTIONS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Part A: Deferrals of Base Salary and Bonus</w:t>
      </w:r>
      <w:r>
        <w:rPr>
          <w:rFonts w:ascii="Times New Roman" w:cs="Times New Roman" w:eastAsia="Times New Roman" w:hAnsi="Times New Roman"/>
          <w:sz w:val="22"/>
          <w:szCs w:val="22"/>
          <w:color w:val="auto"/>
        </w:rPr>
        <w:t>. Sections 3.1 through 3.5 shall apply to the deferral of Compensation.</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Elections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60" w:firstLine="1952"/>
        <w:spacing w:after="0" w:line="250" w:lineRule="auto"/>
        <w:tabs>
          <w:tab w:leader="none" w:pos="24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Deferral Elections</w:t>
      </w:r>
      <w:r>
        <w:rPr>
          <w:rFonts w:ascii="Times New Roman" w:cs="Times New Roman" w:eastAsia="Times New Roman" w:hAnsi="Times New Roman"/>
          <w:sz w:val="22"/>
          <w:szCs w:val="22"/>
          <w:color w:val="auto"/>
        </w:rPr>
        <w:t>. Subject to any applicable limitations or restrictions on Initial Deferral Elections, each Non-Employee Director, Director Emeritus and Eligible Employee shall have the right to defer Compensation by filing an Initial Deferral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for purposes of this Section 3.1(a) and may file an Initial Deferral Election before the date on which such individual becomes a New Key Employee. The Compensation of such Non-Employee Director,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22" w:right="379" w:bottom="1440" w:gutter="0" w:footer="0" w:header="0"/>
        </w:sectPr>
      </w:pPr>
    </w:p>
    <w:bookmarkStart w:id="218" w:name="page219"/>
    <w:bookmarkEnd w:id="218"/>
    <w:p>
      <w:pPr>
        <w:spacing w:after="0" w:line="250" w:lineRule="auto"/>
        <w:rPr>
          <w:sz w:val="20"/>
          <w:szCs w:val="20"/>
          <w:color w:val="auto"/>
        </w:rPr>
      </w:pPr>
      <w:r>
        <w:rPr>
          <w:rFonts w:ascii="Times New Roman" w:cs="Times New Roman" w:eastAsia="Times New Roman" w:hAnsi="Times New Roman"/>
          <w:sz w:val="22"/>
          <w:szCs w:val="22"/>
          <w:color w:val="auto"/>
        </w:rPr>
        <w:t>Emeritus or Eligible Employee for a calendar year or other Performance Period shall be reduced in an amount equal to the portion of the Compensation deferred by such Non-Employee Director, Director Emeritus or Eligible Employee for such period of time pursuant to such Non-Employee Director’s, Director Emeritus’s or Eligible Employee’s Initial Deferral Election. Such reduction shall be effected on a pro rata basis from each periodic installment payment of such Non-Employee Director’s, Director Emeritus’s or Eligible Employee’s Compensation for such period of time (in accordance with the general pay practices of the Participating Company), and credited, as a bookkeeping entry, to such Non-Employee Director’s, Director Emeritus’s or Eligible Employee’s Account in accordance with Section 5.1. Amounts credited to the Accounts of Non-Employee Directors in the form of Company Stock shall be credited to the Company Stock Fund and credited with income, gains and losses in accordance with Section 5.2(c).</w:t>
      </w:r>
    </w:p>
    <w:p>
      <w:pPr>
        <w:spacing w:after="0" w:line="180" w:lineRule="exact"/>
        <w:rPr>
          <w:sz w:val="20"/>
          <w:szCs w:val="20"/>
          <w:color w:val="auto"/>
        </w:rPr>
      </w:pPr>
    </w:p>
    <w:p>
      <w:pPr>
        <w:ind w:right="20" w:firstLine="1952"/>
        <w:spacing w:after="0" w:line="252" w:lineRule="auto"/>
        <w:tabs>
          <w:tab w:leader="none" w:pos="241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Each Participant or Beneficiary shall have the right to elect to defer the time of payment or to change the manner of payment of amounts previously deferred in accordance with the terms of a previously made Initial Deferral Election pursuant to the terms of the Plan by filing a Subsequent Deferral Election at the time, to the extent, and in the manner described in this Article 3.</w:t>
      </w:r>
    </w:p>
    <w:p>
      <w:pPr>
        <w:spacing w:after="0" w:line="179" w:lineRule="exact"/>
        <w:rPr>
          <w:sz w:val="20"/>
          <w:szCs w:val="20"/>
          <w:color w:val="auto"/>
        </w:rPr>
      </w:pPr>
    </w:p>
    <w:p>
      <w:pPr>
        <w:ind w:right="6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Filing of Initial Deferral Election: General</w:t>
      </w:r>
      <w:r>
        <w:rPr>
          <w:rFonts w:ascii="Times New Roman" w:cs="Times New Roman" w:eastAsia="Times New Roman" w:hAnsi="Times New Roman"/>
          <w:sz w:val="22"/>
          <w:szCs w:val="22"/>
          <w:color w:val="auto"/>
        </w:rPr>
        <w:t>. An Initial Deferral Election shall be filed on the form provided by the Administrator for this purpose. Except as provided in Section 3.3:</w:t>
      </w:r>
    </w:p>
    <w:p>
      <w:pPr>
        <w:spacing w:after="0" w:line="144" w:lineRule="exact"/>
        <w:rPr>
          <w:sz w:val="20"/>
          <w:szCs w:val="20"/>
          <w:color w:val="auto"/>
        </w:rPr>
      </w:pPr>
    </w:p>
    <w:p>
      <w:pPr>
        <w:ind w:right="140" w:firstLine="1952"/>
        <w:spacing w:after="0" w:line="257" w:lineRule="auto"/>
        <w:tabs>
          <w:tab w:leader="none" w:pos="267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Initial Deferral Election shall be effective with respect to Compensation other than Signing Bonuses or Performance-Based Compensation unless it is filed with the Administrator on or before December 31 of the calendar year preceding the calendar year to which the Initial Deferral Election applies.</w:t>
      </w:r>
    </w:p>
    <w:p>
      <w:pPr>
        <w:spacing w:after="0" w:line="172" w:lineRule="exact"/>
        <w:rPr>
          <w:rFonts w:ascii="Times New Roman" w:cs="Times New Roman" w:eastAsia="Times New Roman" w:hAnsi="Times New Roman"/>
          <w:sz w:val="22"/>
          <w:szCs w:val="22"/>
          <w:color w:val="auto"/>
        </w:rPr>
      </w:pPr>
    </w:p>
    <w:p>
      <w:pPr>
        <w:ind w:right="60" w:firstLine="1952"/>
        <w:spacing w:after="0" w:line="263" w:lineRule="auto"/>
        <w:tabs>
          <w:tab w:leader="none" w:pos="268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Initial Deferral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67" w:lineRule="exact"/>
        <w:rPr>
          <w:rFonts w:ascii="Times New Roman" w:cs="Times New Roman" w:eastAsia="Times New Roman" w:hAnsi="Times New Roman"/>
          <w:sz w:val="22"/>
          <w:szCs w:val="22"/>
          <w:color w:val="auto"/>
        </w:rPr>
      </w:pPr>
    </w:p>
    <w:p>
      <w:pPr>
        <w:ind w:right="80" w:firstLine="1952"/>
        <w:spacing w:after="0" w:line="238" w:lineRule="auto"/>
        <w:tabs>
          <w:tab w:leader="none" w:pos="267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Initial Deferral Election shall be effective with respect to a Signing Bonus for an Eligible Employee other than a New Key Employee unless (i) 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(ii) the Initial Deferral Election is filed with the Administrator 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grant of such Signing Bonus and at least one year before such specified date.</w:t>
      </w:r>
    </w:p>
    <w:p>
      <w:pPr>
        <w:spacing w:after="0" w:line="1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Filing of Initial Deferral Election by New Key Employees and New Non-Employee Directors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400" w:hanging="448"/>
        <w:spacing w:after="0"/>
        <w:tabs>
          <w:tab w:leader="none" w:pos="24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Key Employees</w:t>
      </w:r>
      <w:r>
        <w:rPr>
          <w:rFonts w:ascii="Times New Roman" w:cs="Times New Roman" w:eastAsia="Times New Roman" w:hAnsi="Times New Roman"/>
          <w:sz w:val="22"/>
          <w:szCs w:val="22"/>
          <w:color w:val="auto"/>
        </w:rPr>
        <w:t>. Notwithstanding Section 3.1 and Section 3.2, a New Key Employee may file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Initial Deferral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22" w:right="359" w:bottom="1440" w:gutter="0" w:footer="0" w:header="0"/>
        </w:sectPr>
      </w:pPr>
    </w:p>
    <w:bookmarkStart w:id="219" w:name="page220"/>
    <w:bookmarkEnd w:id="219"/>
    <w:p>
      <w:pPr>
        <w:ind w:right="140" w:firstLine="2600"/>
        <w:spacing w:after="0" w:line="256" w:lineRule="auto"/>
        <w:tabs>
          <w:tab w:leader="none" w:pos="300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defer Compensation payable for services to be performed after the date of such Initial Deferral Election. An Initial Deferral Election to defer Compensation payable for services to be performed after the date of such Initial Deferral Election must be filed with the Administrator within 30 days of the date such New Key Employee first becomes eligible to participate in the Plan.</w:t>
      </w:r>
    </w:p>
    <w:p>
      <w:pPr>
        <w:spacing w:after="0" w:line="176" w:lineRule="exact"/>
        <w:rPr>
          <w:rFonts w:ascii="Times New Roman" w:cs="Times New Roman" w:eastAsia="Times New Roman" w:hAnsi="Times New Roman"/>
          <w:sz w:val="22"/>
          <w:szCs w:val="22"/>
          <w:color w:val="auto"/>
        </w:rPr>
      </w:pPr>
    </w:p>
    <w:p>
      <w:pPr>
        <w:ind w:right="400" w:firstLine="2600"/>
        <w:spacing w:after="0" w:line="257" w:lineRule="auto"/>
        <w:tabs>
          <w:tab w:leader="none" w:pos="306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defer Compensation payable as a Signing Bonus. An Initial Deferral Election to defer Compensation payable as a Signing Bonus must be filed with the Administrator before such New Key Employee commences service as an Eligible Employee.</w:t>
      </w:r>
    </w:p>
    <w:p>
      <w:pPr>
        <w:spacing w:after="0" w:line="17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22"/>
          <w:szCs w:val="22"/>
          <w:color w:val="auto"/>
        </w:rPr>
        <w:t>An Initial Deferral Election by such New Key Employee for succeeding calendar years or applicable Performance Periods shall be made in accordance with Section 3.1 and Section 3.2.</w:t>
      </w:r>
    </w:p>
    <w:p>
      <w:pPr>
        <w:spacing w:after="0" w:line="144" w:lineRule="exact"/>
        <w:rPr>
          <w:sz w:val="20"/>
          <w:szCs w:val="20"/>
          <w:color w:val="auto"/>
        </w:rPr>
      </w:pPr>
    </w:p>
    <w:p>
      <w:pPr>
        <w:ind w:firstLine="1952"/>
        <w:spacing w:after="0" w:line="248" w:lineRule="auto"/>
        <w:tabs>
          <w:tab w:leader="none" w:pos="241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Non-Employee Directors</w:t>
      </w:r>
      <w:r>
        <w:rPr>
          <w:rFonts w:ascii="Times New Roman" w:cs="Times New Roman" w:eastAsia="Times New Roman" w:hAnsi="Times New Roman"/>
          <w:sz w:val="22"/>
          <w:szCs w:val="22"/>
          <w:color w:val="auto"/>
        </w:rPr>
        <w:t>. Notwithstanding Section 3.1 and Section 3.2, and except as otherwise provided in Section 2.44.4, a Non-Employee Director may elect to defer Compensation by filing an Initial Deferral Election with respect to his Compensation attributable to services provided as a Non-Employee Director in the calendar year in which a Non-Employee Director’s election as a member of the Board becomes effective (provided that such Non-Employee Director is not a member of the Board immediately preceding such effective date), beginning with Compensation earned following the filing of an Initial Deferral Election with the Administrator and before the close of such calendar year. Such Initial Deferral Election must be filed with the Administrator within 30 days of the effective date of such Non-Employee Director’s election. Any Initial Deferral Election by such Non-Employee Director for succeeding calendar years shall be made in accordance with Section 3.1 and Section 3.2.</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Years to which Initial Deferral Election May Apply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40" w:firstLine="1952"/>
        <w:spacing w:after="0" w:line="250" w:lineRule="auto"/>
        <w:tabs>
          <w:tab w:leader="none" w:pos="267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Initial Deferral Elections for Each Calendar Year or Applicable Performance Period</w:t>
      </w:r>
      <w:r>
        <w:rPr>
          <w:rFonts w:ascii="Times New Roman" w:cs="Times New Roman" w:eastAsia="Times New Roman" w:hAnsi="Times New Roman"/>
          <w:sz w:val="22"/>
          <w:szCs w:val="22"/>
          <w:color w:val="auto"/>
        </w:rPr>
        <w:t>. A separate Initial Deferral Election may be filed for each calendar year or other applicable Performance Period as to which a Non-Employee Director, Director Emeritus or Eligible Employee desires to defer such Non-Employee Director’s, Director Emeritus’s or Eligible Employee’s Compensation. The failure of a Non-Employee Director, Director Emeritus or Eligible Employee to make an Initial Deferral Election for any calendar year or other applicable Performance Period shall not affect such Non-Employee Director’s or Eligible Employee’s right to make an Initial Deferral Election for any other calendar year or other applicable Performance Period.</w:t>
      </w:r>
    </w:p>
    <w:p>
      <w:pPr>
        <w:spacing w:after="0" w:line="180" w:lineRule="exact"/>
        <w:rPr>
          <w:rFonts w:ascii="Times New Roman" w:cs="Times New Roman" w:eastAsia="Times New Roman" w:hAnsi="Times New Roman"/>
          <w:sz w:val="22"/>
          <w:szCs w:val="22"/>
          <w:color w:val="auto"/>
        </w:rPr>
      </w:pPr>
    </w:p>
    <w:p>
      <w:pPr>
        <w:ind w:right="40" w:firstLine="1952"/>
        <w:spacing w:after="0" w:line="251" w:lineRule="auto"/>
        <w:tabs>
          <w:tab w:leader="none" w:pos="241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Deferral Election of Distribution Date</w:t>
      </w:r>
      <w:r>
        <w:rPr>
          <w:rFonts w:ascii="Times New Roman" w:cs="Times New Roman" w:eastAsia="Times New Roman" w:hAnsi="Times New Roman"/>
          <w:sz w:val="22"/>
          <w:szCs w:val="22"/>
          <w:color w:val="auto"/>
        </w:rPr>
        <w:t>. Each Non-Employee Director, Director Emeritus or Eligible Employee shall, contemporaneously with an Initial Deferral Election, also elect the time of payment of the amount of the deferred Compensation to which such Initial Deferral Election relates; provided, however, that, except as otherwise specifically provided by the Plan, no distribution may commence earlier than January 2nd of the second calendar year beginning after the date the compensation subject to the Initial Deferral Election would be paid but for the Initial Deferral Election, nor later than January 2nd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20" w:name="page221"/>
    <w:bookmarkEnd w:id="220"/>
    <w:p>
      <w:pPr>
        <w:ind w:right="140"/>
        <w:spacing w:after="0" w:line="271" w:lineRule="auto"/>
        <w:rPr>
          <w:sz w:val="20"/>
          <w:szCs w:val="20"/>
          <w:color w:val="auto"/>
        </w:rPr>
      </w:pPr>
      <w:r>
        <w:rPr>
          <w:rFonts w:ascii="Times New Roman" w:cs="Times New Roman" w:eastAsia="Times New Roman" w:hAnsi="Times New Roman"/>
          <w:sz w:val="22"/>
          <w:szCs w:val="22"/>
          <w:color w:val="auto"/>
        </w:rPr>
        <w:t>seventh calendar year beginning after the date the compensation subject to the Initial Deferral Election would be paid but for the Initial Deferral Election.</w:t>
      </w:r>
    </w:p>
    <w:p>
      <w:pPr>
        <w:spacing w:after="0" w:line="15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22"/>
          <w:szCs w:val="22"/>
          <w:color w:val="auto"/>
        </w:rPr>
        <w:t>Further, each Non-Employee Director, Director Emeritus or Eligible Employee may select with each Initial Deferral Election the manner of distribution in accordance with Article 4.</w:t>
      </w:r>
    </w:p>
    <w:p>
      <w:pPr>
        <w:spacing w:after="0" w:line="144"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No Subsequent Deferral Election shall be effective until 12 months after the date on which such Subsequent Deferral Election is filed.</w:t>
      </w:r>
    </w:p>
    <w:p>
      <w:pPr>
        <w:spacing w:after="0" w:line="158" w:lineRule="exact"/>
        <w:rPr>
          <w:sz w:val="20"/>
          <w:szCs w:val="20"/>
          <w:color w:val="auto"/>
        </w:rPr>
      </w:pPr>
    </w:p>
    <w:p>
      <w:pPr>
        <w:ind w:left="2680" w:hanging="728"/>
        <w:spacing w:after="0"/>
        <w:tabs>
          <w:tab w:leader="none" w:pos="2680"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Active Participants, Non-Employee Directors, and Section 16 Officers</w:t>
      </w:r>
      <w:r>
        <w:rPr>
          <w:rFonts w:ascii="Times New Roman" w:cs="Times New Roman" w:eastAsia="Times New Roman" w:hAnsi="Times New Roman"/>
          <w:sz w:val="21"/>
          <w:szCs w:val="21"/>
          <w:color w:val="auto"/>
        </w:rPr>
        <w:t>. Each (i) Active Participant,</w:t>
      </w:r>
    </w:p>
    <w:p>
      <w:pPr>
        <w:spacing w:after="0" w:line="39" w:lineRule="exact"/>
        <w:rPr>
          <w:rFonts w:ascii="Times New Roman" w:cs="Times New Roman" w:eastAsia="Times New Roman" w:hAnsi="Times New Roman"/>
          <w:sz w:val="21"/>
          <w:szCs w:val="21"/>
          <w:color w:val="auto"/>
        </w:rPr>
      </w:pPr>
    </w:p>
    <w:p>
      <w:pPr>
        <w:ind w:right="120" w:firstLine="8"/>
        <w:spacing w:after="0" w:line="260" w:lineRule="auto"/>
        <w:tabs>
          <w:tab w:leader="none" w:pos="318"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determined by the Administrator, each Participant who is actively employed by a Participating Company who is not an Active Participant, and (iii) each Participant designated by the Administrator who has served as a Non-Employee Director or Section 16 Officer at any time on or after January 1, 2019 (whether or not such individual is an Active Participant), who has filed an Initial Deferral Election, or who has filed a Subsequent Deferral Election, may elect to defer the time of payment of any part or all of such Participant’s Account for a minimum of five (5) and a maximum of seven (7) additional years from the previously-elected payment date by filing a Subsequent Deferral Election with the Administrator at least 12 months before the lump-sum distribution or initial installment payment would otherwise be made. The number of Subsequent Deferral Elections under this Section 3.5(a) shall not be limited. The Administrator may designate the specific Other Investment Fund or Funds to which the Account of any individual who has terminated service to the Company shall be deemed invested.</w:t>
      </w:r>
    </w:p>
    <w:p>
      <w:pPr>
        <w:spacing w:after="0" w:line="173" w:lineRule="exact"/>
        <w:rPr>
          <w:rFonts w:ascii="Times New Roman" w:cs="Times New Roman" w:eastAsia="Times New Roman" w:hAnsi="Times New Roman"/>
          <w:sz w:val="21"/>
          <w:szCs w:val="21"/>
          <w:color w:val="auto"/>
        </w:rPr>
      </w:pPr>
    </w:p>
    <w:p>
      <w:pPr>
        <w:ind w:right="60" w:firstLine="1952"/>
        <w:spacing w:after="0" w:line="265" w:lineRule="auto"/>
        <w:tabs>
          <w:tab w:leader="none" w:pos="2682"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Inactive Participants</w:t>
      </w:r>
      <w:r>
        <w:rPr>
          <w:rFonts w:ascii="Times New Roman" w:cs="Times New Roman" w:eastAsia="Times New Roman" w:hAnsi="Times New Roman"/>
          <w:sz w:val="21"/>
          <w:szCs w:val="21"/>
          <w:color w:val="auto"/>
        </w:rPr>
        <w:t>. Except as otherwise provided in Section 3.5(a), the Administrator may, in its sole and absolute discretion, permit an Inactive Participant to make a Subsequent Deferral Election defer the time of payment of any part or all of such Inactive Participant’s Account for a minimum of five (5) years and a maximum of seven (7) additional years from the previously-elected payment date, by filing a Subsequent Deferral Election with the Administrator at least 12 months before the lump-sum distribution or initial installment payment would otherwise be made. The number of Subsequent Deferral Elections under this Section 3.5(b) shall be determined by the Administrator in its sole and absolute discretion.</w:t>
      </w:r>
    </w:p>
    <w:p>
      <w:pPr>
        <w:spacing w:after="0" w:line="168" w:lineRule="exact"/>
        <w:rPr>
          <w:rFonts w:ascii="Times New Roman" w:cs="Times New Roman" w:eastAsia="Times New Roman" w:hAnsi="Times New Roman"/>
          <w:sz w:val="21"/>
          <w:szCs w:val="21"/>
          <w:color w:val="auto"/>
        </w:rPr>
      </w:pPr>
    </w:p>
    <w:p>
      <w:pPr>
        <w:ind w:right="80" w:firstLine="1952"/>
        <w:spacing w:after="0" w:line="250" w:lineRule="auto"/>
        <w:tabs>
          <w:tab w:leader="none" w:pos="240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Surviving Spouses – Subsequent Deferral Election</w:t>
      </w:r>
      <w:r>
        <w:rPr>
          <w:rFonts w:ascii="Times New Roman" w:cs="Times New Roman" w:eastAsia="Times New Roman" w:hAnsi="Times New Roman"/>
          <w:sz w:val="22"/>
          <w:szCs w:val="22"/>
          <w:color w:val="auto"/>
        </w:rPr>
        <w:t>. A Beneficiary of a Deceased Participant who is a Deceased Participant’s Surviving Spouse may elect distribution to commence on the earlier of a date within 60 days following a Participant’s death, or the date otherwise specified pursuant to an initial Deferral Election, a Regular Deferral Election, or a Subsequent Deferral Election. A Surviving Spouse who is a Deceased Participant’s Beneficiary may also elect to defer the time of payment of any part or all of such Deceased Participant’s Account the payment of which would be made more than 12 months after the date of such election. Such election shall be made by filing a Subsequent Deferral Election with the Administrator in which the Surviving Spouse shall specify the change in the time of payment, which shall be no less than five (5) years nor more than seven (7) years from the previously-elected payment date. A Surviving Spouse may make a total of two (2) Subsequent Deferral Elections under this Section 3.5(c), with respect to all or any part of the Deceased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21" w:name="page222"/>
    <w:bookmarkEnd w:id="221"/>
    <w:p>
      <w:pPr>
        <w:spacing w:after="0" w:line="271" w:lineRule="auto"/>
        <w:rPr>
          <w:sz w:val="20"/>
          <w:szCs w:val="20"/>
          <w:color w:val="auto"/>
        </w:rPr>
      </w:pPr>
      <w:r>
        <w:rPr>
          <w:rFonts w:ascii="Times New Roman" w:cs="Times New Roman" w:eastAsia="Times New Roman" w:hAnsi="Times New Roman"/>
          <w:sz w:val="22"/>
          <w:szCs w:val="22"/>
          <w:color w:val="auto"/>
        </w:rPr>
        <w:t>Participant’s Account. Subsequent Deferral Elections pursuant to this Section 3.5(c) may specify different changes with respect to different parts of the Deceased Participant’s Account.</w:t>
      </w:r>
    </w:p>
    <w:p>
      <w:pPr>
        <w:spacing w:after="0" w:line="158" w:lineRule="exact"/>
        <w:rPr>
          <w:sz w:val="20"/>
          <w:szCs w:val="20"/>
          <w:color w:val="auto"/>
        </w:rPr>
      </w:pPr>
    </w:p>
    <w:p>
      <w:pPr>
        <w:ind w:firstLine="1952"/>
        <w:spacing w:after="0" w:line="262" w:lineRule="auto"/>
        <w:tabs>
          <w:tab w:leader="none" w:pos="2682"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Beneficiary of a Deceased Participant Other Than a Surviving Spouse – Subsequent Deferral Election</w:t>
      </w:r>
      <w:r>
        <w:rPr>
          <w:rFonts w:ascii="Times New Roman" w:cs="Times New Roman" w:eastAsia="Times New Roman" w:hAnsi="Times New Roman"/>
          <w:sz w:val="21"/>
          <w:szCs w:val="21"/>
          <w:color w:val="auto"/>
        </w:rPr>
        <w:t>. A Beneficiary of a Deceased Participant other than a Surviving Spouse may elect distribution to commence on the earlier of a date within 60 days following a Participant’s death, or the date otherwise specified pursuant to an initial Deferral Election, a Regular Deferral Election, or a Subsequent Deferral Election. In addition, such Beneficiary may elect to defer the time of payment, of any part or all of such Deceased Participant’s Account the payment of which would be made more than 12 months after the date of such election. Such election shall be made by filing a Subsequent Deferral Election with the Administrator in which the Beneficiary shall specify the deferral of the time of payment, which shall be no less than five (5) years nor more than seven (7) years from the previously-elected payment date. A Beneficiary may make one (1) Subsequent Deferral Election under this Section 3.5(d), with respect to all or any part of the Deceased Participant’s Account. Subsequent Deferral Elections pursuant to this Section 3.5(d) may specify different changes with respect to different parts of the Deceased Participant’s Account.</w:t>
      </w:r>
    </w:p>
    <w:p>
      <w:pPr>
        <w:spacing w:after="0" w:line="171" w:lineRule="exact"/>
        <w:rPr>
          <w:rFonts w:ascii="Times New Roman" w:cs="Times New Roman" w:eastAsia="Times New Roman" w:hAnsi="Times New Roman"/>
          <w:sz w:val="21"/>
          <w:szCs w:val="21"/>
          <w:color w:val="auto"/>
        </w:rPr>
      </w:pPr>
    </w:p>
    <w:p>
      <w:pPr>
        <w:ind w:right="40" w:firstLine="1952"/>
        <w:spacing w:after="0" w:line="250" w:lineRule="auto"/>
        <w:tabs>
          <w:tab w:leader="none" w:pos="240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Retired Participants and Disabled Participants</w:t>
      </w:r>
      <w:r>
        <w:rPr>
          <w:rFonts w:ascii="Times New Roman" w:cs="Times New Roman" w:eastAsia="Times New Roman" w:hAnsi="Times New Roman"/>
          <w:sz w:val="22"/>
          <w:szCs w:val="22"/>
          <w:color w:val="auto"/>
        </w:rPr>
        <w:t>. The Administrator may, in its sole and absolute discretion, permit a Retired Participant or a Disabled Participant to make a Subsequent Deferral Election to defer the time of payment of any part or all of such Retired or Disabled Participant’s Account that would not otherwise become payable within twelve (12) months of such Subsequent Deferral Election for a minimum of five (5) years and a maximum of seven (7) additional years from the previously-elected payment date by filing a Subsequent Deferral Election with the Administrator on or before the close of business on the date that is at least twelve (12) months before the date on which the lump-sum distribution or initial installment payment would otherwise be made. The number of Subsequent Deferral Elections under this Section 3.5(e) shall be determined by the Administrator in its sole and absolute discretion.</w:t>
      </w:r>
    </w:p>
    <w:p>
      <w:pPr>
        <w:spacing w:after="0" w:line="18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21"/>
          <w:szCs w:val="21"/>
          <w:u w:val="single" w:color="auto"/>
          <w:color w:val="auto"/>
        </w:rPr>
        <w:t>Part B: Deferred Stock Units</w:t>
      </w:r>
      <w:r>
        <w:rPr>
          <w:rFonts w:ascii="Times New Roman" w:cs="Times New Roman" w:eastAsia="Times New Roman" w:hAnsi="Times New Roman"/>
          <w:sz w:val="21"/>
          <w:szCs w:val="21"/>
          <w:color w:val="auto"/>
        </w:rPr>
        <w:t>. Sections 3.6 through 3.17 shall apply to the deferral of Shares issuable pursuant to Awards. A Participant may elect to defer the receipt of Shares that would otherwise be issuable with respect to Restricted Stock Units as to which a Vesting Date has not occurred, as provided by the Administrator in the Award, consistent, however, with the following:</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Initial Deferral Election and Regular Deferral Election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60" w:firstLine="1944"/>
        <w:spacing w:after="0" w:line="295" w:lineRule="auto"/>
        <w:rPr>
          <w:sz w:val="20"/>
          <w:szCs w:val="20"/>
          <w:color w:val="auto"/>
        </w:rPr>
      </w:pPr>
      <w:r>
        <w:rPr>
          <w:rFonts w:ascii="Times New Roman" w:cs="Times New Roman" w:eastAsia="Times New Roman" w:hAnsi="Times New Roman"/>
          <w:sz w:val="21"/>
          <w:szCs w:val="21"/>
          <w:color w:val="auto"/>
        </w:rPr>
        <w:t xml:space="preserve">3.6.1. </w:t>
      </w:r>
      <w:r>
        <w:rPr>
          <w:rFonts w:ascii="Times New Roman" w:cs="Times New Roman" w:eastAsia="Times New Roman" w:hAnsi="Times New Roman"/>
          <w:sz w:val="21"/>
          <w:szCs w:val="21"/>
          <w:u w:val="single" w:color="auto"/>
          <w:color w:val="auto"/>
        </w:rPr>
        <w:t>Initial Deferral Election</w:t>
      </w:r>
      <w:r>
        <w:rPr>
          <w:rFonts w:ascii="Times New Roman" w:cs="Times New Roman" w:eastAsia="Times New Roman" w:hAnsi="Times New Roman"/>
          <w:sz w:val="21"/>
          <w:szCs w:val="21"/>
          <w:color w:val="auto"/>
        </w:rPr>
        <w:t>. Except as otherwise determined by the Administrator, an Initial Deferral Election is not available with respect to an Award unless such Award qualifies as Performance-Based Compensation.</w:t>
      </w:r>
    </w:p>
    <w:p>
      <w:pPr>
        <w:spacing w:after="0" w:line="135" w:lineRule="exact"/>
        <w:rPr>
          <w:sz w:val="20"/>
          <w:szCs w:val="20"/>
          <w:color w:val="auto"/>
        </w:rPr>
      </w:pPr>
    </w:p>
    <w:p>
      <w:pPr>
        <w:ind w:right="100" w:firstLine="1952"/>
        <w:spacing w:after="0" w:line="257" w:lineRule="auto"/>
        <w:tabs>
          <w:tab w:leader="none" w:pos="240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To the extent determined by the Administrator, each Participant who is a Non-Employee Director or an RSU Deferral Eligible Employee shall have the right to defer the receipt of some or all of the Shares issuable with respect to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22" w:name="page223"/>
    <w:bookmarkEnd w:id="222"/>
    <w:p>
      <w:pPr>
        <w:ind w:right="80"/>
        <w:spacing w:after="0" w:line="271" w:lineRule="auto"/>
        <w:rPr>
          <w:sz w:val="20"/>
          <w:szCs w:val="20"/>
          <w:color w:val="auto"/>
        </w:rPr>
      </w:pPr>
      <w:r>
        <w:rPr>
          <w:rFonts w:ascii="Times New Roman" w:cs="Times New Roman" w:eastAsia="Times New Roman" w:hAnsi="Times New Roman"/>
          <w:sz w:val="22"/>
          <w:szCs w:val="22"/>
          <w:color w:val="auto"/>
        </w:rPr>
        <w:t>Units as to which a Vesting Date has not yet occurred, by filing an Initial Deferral Election to defer the receipt of such Shares on a form provided by the Administrator for this purpose.</w:t>
      </w:r>
    </w:p>
    <w:p>
      <w:pPr>
        <w:spacing w:after="0" w:line="158" w:lineRule="exact"/>
        <w:rPr>
          <w:sz w:val="20"/>
          <w:szCs w:val="20"/>
          <w:color w:val="auto"/>
        </w:rPr>
      </w:pPr>
    </w:p>
    <w:p>
      <w:pPr>
        <w:ind w:right="40" w:firstLine="1952"/>
        <w:spacing w:after="0" w:line="238" w:lineRule="auto"/>
        <w:tabs>
          <w:tab w:leader="none" w:pos="241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for Initial Deferral Election</w:t>
      </w:r>
      <w:r>
        <w:rPr>
          <w:rFonts w:ascii="Times New Roman" w:cs="Times New Roman" w:eastAsia="Times New Roman" w:hAnsi="Times New Roman"/>
          <w:sz w:val="22"/>
          <w:szCs w:val="22"/>
          <w:color w:val="auto"/>
        </w:rPr>
        <w:t>. No Initial Deferral Election to defer the receipt of Shares issuable with respect to Restricted Stock Units that are not Performance-Based Compensation shall be effective unless it is filed with the Administrator 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208"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22"/>
          <w:szCs w:val="22"/>
          <w:color w:val="auto"/>
        </w:rPr>
        <w:t>3.6.2.</w:t>
      </w:r>
      <w:r>
        <w:rPr>
          <w:sz w:val="20"/>
          <w:szCs w:val="20"/>
          <w:color w:val="auto"/>
        </w:rPr>
        <w:tab/>
      </w:r>
      <w:r>
        <w:rPr>
          <w:rFonts w:ascii="Times New Roman" w:cs="Times New Roman" w:eastAsia="Times New Roman" w:hAnsi="Times New Roman"/>
          <w:sz w:val="21"/>
          <w:szCs w:val="21"/>
          <w:u w:val="single" w:color="auto"/>
          <w:color w:val="auto"/>
        </w:rPr>
        <w:t>Regular Deferral Election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20" w:firstLine="1952"/>
        <w:spacing w:after="0" w:line="252" w:lineRule="auto"/>
        <w:tabs>
          <w:tab w:leader="none" w:pos="240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To the extent determined by the Administrator, each Participant who is an RSU Deferral Eligible Employee shall have the right to defer the receipt of some or all of the Shares issuable with respect to Restricted Stock Units as to which a Vesting Date has not yet occurred, and that are not subject to an Initial Deferral Election, by filing a Regular Deferral Election to defer the receipt of such Shares on a form provided by the Administrator for this purpose.</w:t>
      </w:r>
    </w:p>
    <w:p>
      <w:pPr>
        <w:spacing w:after="0" w:line="179" w:lineRule="exact"/>
        <w:rPr>
          <w:rFonts w:ascii="Times New Roman" w:cs="Times New Roman" w:eastAsia="Times New Roman" w:hAnsi="Times New Roman"/>
          <w:sz w:val="22"/>
          <w:szCs w:val="22"/>
          <w:color w:val="auto"/>
        </w:rPr>
      </w:pPr>
    </w:p>
    <w:p>
      <w:pPr>
        <w:ind w:right="40" w:firstLine="1952"/>
        <w:spacing w:after="0" w:line="263" w:lineRule="auto"/>
        <w:tabs>
          <w:tab w:leader="none" w:pos="241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for Regular Deferral Election</w:t>
      </w:r>
      <w:r>
        <w:rPr>
          <w:rFonts w:ascii="Times New Roman" w:cs="Times New Roman" w:eastAsia="Times New Roman" w:hAnsi="Times New Roman"/>
          <w:sz w:val="22"/>
          <w:szCs w:val="22"/>
          <w:color w:val="auto"/>
        </w:rPr>
        <w:t>. No Regular Deferral Election to defer the receipt of Shares issuable with respect to Restricted Stock Units shall be effective unless it is filed with the Administrator on or before the close of business at least one year before the scheduled Vesting Date of such Restricted Stock Units.</w:t>
      </w:r>
    </w:p>
    <w:p>
      <w:pPr>
        <w:spacing w:after="0" w:line="167"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Effect of Failure of Vesting Date to Occur</w:t>
      </w:r>
      <w:r>
        <w:rPr>
          <w:rFonts w:ascii="Times New Roman" w:cs="Times New Roman" w:eastAsia="Times New Roman" w:hAnsi="Times New Roman"/>
          <w:sz w:val="22"/>
          <w:szCs w:val="22"/>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86" w:lineRule="exact"/>
        <w:rPr>
          <w:sz w:val="20"/>
          <w:szCs w:val="20"/>
          <w:color w:val="auto"/>
        </w:rPr>
      </w:pPr>
    </w:p>
    <w:p>
      <w:pPr>
        <w:ind w:right="1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Except as otherwise provided in Section 3.8.3, all Shares issuable with respect to Restricted Stock Units that are subject to an Election shall be delivered to the Participant (or the Participant’s Beneficiary) without any legend or restrictions (except those that may be imposed by the Administrator, in its sole judgment, to comply with applicable securities laws), on the distribution date for such Shares designated by the Participant on the most recently filed Election. The distribution date may vary with each separate Election. A Participant may elect the distribution to commence on the earlier of a date within 60 days following the Participant’s death or the date otherwise specified pursuant to an Initial Deferral Election, a Regular Deferral Election, or a Subsequent Deferral Election.</w:t>
      </w:r>
    </w:p>
    <w:p>
      <w:pPr>
        <w:spacing w:after="0" w:line="180" w:lineRule="exact"/>
        <w:rPr>
          <w:sz w:val="20"/>
          <w:szCs w:val="20"/>
          <w:color w:val="auto"/>
        </w:rPr>
      </w:pPr>
    </w:p>
    <w:p>
      <w:pPr>
        <w:jc w:val="both"/>
        <w:ind w:right="280" w:firstLine="1944"/>
        <w:spacing w:after="0" w:line="257" w:lineRule="auto"/>
        <w:rPr>
          <w:sz w:val="20"/>
          <w:szCs w:val="20"/>
          <w:color w:val="auto"/>
        </w:rPr>
      </w:pPr>
      <w:r>
        <w:rPr>
          <w:rFonts w:ascii="Times New Roman" w:cs="Times New Roman" w:eastAsia="Times New Roman" w:hAnsi="Times New Roman"/>
          <w:sz w:val="22"/>
          <w:szCs w:val="22"/>
          <w:color w:val="auto"/>
        </w:rPr>
        <w:t xml:space="preserve">3.8.1. </w:t>
      </w:r>
      <w:r>
        <w:rPr>
          <w:rFonts w:ascii="Times New Roman" w:cs="Times New Roman" w:eastAsia="Times New Roman" w:hAnsi="Times New Roman"/>
          <w:sz w:val="22"/>
          <w:szCs w:val="22"/>
          <w:u w:val="single" w:color="auto"/>
          <w:color w:val="auto"/>
        </w:rPr>
        <w:t>Initial Deferral Election</w:t>
      </w:r>
      <w:r>
        <w:rPr>
          <w:rFonts w:ascii="Times New Roman" w:cs="Times New Roman" w:eastAsia="Times New Roman" w:hAnsi="Times New Roman"/>
          <w:sz w:val="22"/>
          <w:szCs w:val="22"/>
          <w:color w:val="auto"/>
        </w:rPr>
        <w:t>. Except as otherwise specifically provided by the Plan, no distribution pursuant to an Initial Deferral Election may be made earlier than the second anniversary of the Vesting Date, nor later than the seventh anniversary of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00"/>
          </w:cols>
          <w:pgMar w:left="320" w:top="1422" w:right="379" w:bottom="1440" w:gutter="0" w:footer="0" w:header="0"/>
        </w:sectPr>
      </w:pPr>
    </w:p>
    <w:bookmarkStart w:id="223" w:name="page224"/>
    <w:bookmarkEnd w:id="223"/>
    <w:p>
      <w:pPr>
        <w:ind w:right="260" w:firstLine="1944"/>
        <w:spacing w:after="0" w:line="230" w:lineRule="auto"/>
        <w:rPr>
          <w:sz w:val="20"/>
          <w:szCs w:val="20"/>
          <w:color w:val="auto"/>
        </w:rPr>
      </w:pPr>
      <w:r>
        <w:rPr>
          <w:rFonts w:ascii="Times New Roman" w:cs="Times New Roman" w:eastAsia="Times New Roman" w:hAnsi="Times New Roman"/>
          <w:sz w:val="22"/>
          <w:szCs w:val="22"/>
          <w:color w:val="auto"/>
        </w:rPr>
        <w:t xml:space="preserve">3.8.2. </w:t>
      </w:r>
      <w:r>
        <w:rPr>
          <w:rFonts w:ascii="Times New Roman" w:cs="Times New Roman" w:eastAsia="Times New Roman" w:hAnsi="Times New Roman"/>
          <w:sz w:val="22"/>
          <w:szCs w:val="22"/>
          <w:u w:val="single" w:color="auto"/>
          <w:color w:val="auto"/>
        </w:rPr>
        <w:t>Regular Deferral Election</w:t>
      </w:r>
      <w:r>
        <w:rPr>
          <w:rFonts w:ascii="Times New Roman" w:cs="Times New Roman" w:eastAsia="Times New Roman" w:hAnsi="Times New Roman"/>
          <w:sz w:val="22"/>
          <w:szCs w:val="22"/>
          <w:color w:val="auto"/>
        </w:rPr>
        <w:t>. No distribution pursuant to a Regular Deferral Election may be made earlier than the fifth anniversary of the Vesting Date, nor later than January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of the eighth calendar year beginning after the Vesting Date.</w:t>
      </w:r>
    </w:p>
    <w:p>
      <w:pPr>
        <w:spacing w:after="0" w:line="206" w:lineRule="exact"/>
        <w:rPr>
          <w:sz w:val="20"/>
          <w:szCs w:val="20"/>
          <w:color w:val="auto"/>
        </w:rPr>
      </w:pPr>
    </w:p>
    <w:p>
      <w:pPr>
        <w:ind w:right="340" w:firstLine="1944"/>
        <w:spacing w:after="0" w:line="257" w:lineRule="auto"/>
        <w:rPr>
          <w:sz w:val="20"/>
          <w:szCs w:val="20"/>
          <w:color w:val="auto"/>
        </w:rPr>
      </w:pPr>
      <w:r>
        <w:rPr>
          <w:rFonts w:ascii="Times New Roman" w:cs="Times New Roman" w:eastAsia="Times New Roman" w:hAnsi="Times New Roman"/>
          <w:sz w:val="22"/>
          <w:szCs w:val="22"/>
          <w:color w:val="auto"/>
        </w:rPr>
        <w:t xml:space="preserve">3.8.3. </w:t>
      </w: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Notwithstanding anything in this Section 3.8 to the contrary, no Subsequent Deferral Election shall be effective until 12 months after the date on which such Subsequent Deferral Election is made.</w:t>
      </w:r>
    </w:p>
    <w:p>
      <w:pPr>
        <w:spacing w:after="0" w:line="173" w:lineRule="exact"/>
        <w:rPr>
          <w:sz w:val="20"/>
          <w:szCs w:val="20"/>
          <w:color w:val="auto"/>
        </w:rPr>
      </w:pPr>
    </w:p>
    <w:p>
      <w:pPr>
        <w:ind w:firstLine="1952"/>
        <w:spacing w:after="0" w:line="247" w:lineRule="auto"/>
        <w:tabs>
          <w:tab w:leader="none" w:pos="240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Active Participant, and each Participant designated by the Administrator who has served as a Non-Employee Director or Section 16 Officer at any time on or after January 1, 2019 (whether or not such individual is an Active Participant) (A) who has previously made an Initial Deferral Election or a Regular Deferral Election to receive a distribution of part or all of his or her Account, or (B) who, pursuant to this Section 3.8 has made a Subsequent Deferral Election to defer the distribution date for Deferred Stock Units may delay the payment date for an additional period from the originally-elected distribution date, (provided that no distribution pursuant to a Subsequent Deferral Election may be made earlier than the fifth anniversary of the previously-elected distribution date, nor later than the seventh anniversary of the previously-elected distribution date), by filing a Subsequent Deferral Election with the Administrator on or before the close of business at least one year before the date on which the distribution would otherwise be made. The number of Subsequent Deferral Elections under this Section 3.8.3 shall not be limited. Notwithstanding the foregoing, except as otherwise provided by the Administrator, an Active Participant who returns to service with a Participating Company following a termination of service may not make a Subsequent Deferral Election with respect to amounts subject to an Initial Deferral Election or a Subsequent Deferral Election that was filed with the Administrator before such return to service.</w:t>
      </w:r>
    </w:p>
    <w:p>
      <w:pPr>
        <w:spacing w:after="0" w:line="206" w:lineRule="exact"/>
        <w:rPr>
          <w:rFonts w:ascii="Times New Roman" w:cs="Times New Roman" w:eastAsia="Times New Roman" w:hAnsi="Times New Roman"/>
          <w:sz w:val="22"/>
          <w:szCs w:val="22"/>
          <w:color w:val="auto"/>
        </w:rPr>
      </w:pPr>
    </w:p>
    <w:p>
      <w:pPr>
        <w:jc w:val="both"/>
        <w:ind w:right="140" w:firstLine="1952"/>
        <w:spacing w:after="0" w:line="252" w:lineRule="auto"/>
        <w:tabs>
          <w:tab w:leader="none" w:pos="240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Deceased Participant’s Successor-in-Interest may elect to file a Subsequent Deferral Election to defer the distribution date for the Deceased Participant’s Deferred Stock Units for five additional years from the date payment would otherwise be made. A Subsequent Deferral Election must be filed with the Administrator at least one year before the date on which the distribution would otherwise be made, as reflected on the Deceased Participant’s last Election.</w:t>
      </w:r>
    </w:p>
    <w:p>
      <w:pPr>
        <w:spacing w:after="0" w:line="179" w:lineRule="exact"/>
        <w:rPr>
          <w:rFonts w:ascii="Times New Roman" w:cs="Times New Roman" w:eastAsia="Times New Roman" w:hAnsi="Times New Roman"/>
          <w:sz w:val="22"/>
          <w:szCs w:val="22"/>
          <w:color w:val="auto"/>
        </w:rPr>
      </w:pPr>
    </w:p>
    <w:p>
      <w:pPr>
        <w:ind w:right="140" w:firstLine="1952"/>
        <w:spacing w:after="0" w:line="256" w:lineRule="auto"/>
        <w:tabs>
          <w:tab w:leader="none" w:pos="238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Retired Participant may elect to defer the distribution date of the Retired Participant’s Deferred Stock Units for five additional years from the date payment would otherwise be made. A Subsequent Deferral Election must be filed with the Administrator at least one year before the date on which the distribution would otherwise be made, as reflected on the Retired Participant’s last Election.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Distributions of RSU Accounts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22"/>
          <w:szCs w:val="22"/>
          <w:color w:val="auto"/>
        </w:rPr>
        <w:t>3.9.1.</w:t>
      </w:r>
      <w:r>
        <w:rPr>
          <w:sz w:val="20"/>
          <w:szCs w:val="20"/>
          <w:color w:val="auto"/>
        </w:rPr>
        <w:tab/>
      </w:r>
      <w:r>
        <w:rPr>
          <w:rFonts w:ascii="Times New Roman" w:cs="Times New Roman" w:eastAsia="Times New Roman" w:hAnsi="Times New Roman"/>
          <w:sz w:val="21"/>
          <w:szCs w:val="21"/>
          <w:u w:val="single" w:color="auto"/>
          <w:color w:val="auto"/>
        </w:rPr>
        <w:t>Manner of Distribution</w:t>
      </w:r>
      <w:r>
        <w:rPr>
          <w:rFonts w:ascii="Times New Roman" w:cs="Times New Roman" w:eastAsia="Times New Roman" w:hAnsi="Times New Roman"/>
          <w:sz w:val="21"/>
          <w:szCs w:val="21"/>
          <w:color w:val="auto"/>
        </w:rPr>
        <w:t>. Amounts credited to an RSU Account shall be distributed pursuant to 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Deferral Election, a Regular Deferral Election, or a Subsequent Deferral Election in either:</w:t>
      </w:r>
    </w:p>
    <w:p>
      <w:pPr>
        <w:spacing w:after="0" w:line="209" w:lineRule="exact"/>
        <w:rPr>
          <w:sz w:val="20"/>
          <w:szCs w:val="20"/>
          <w:color w:val="auto"/>
        </w:rPr>
      </w:pPr>
    </w:p>
    <w:p>
      <w:pPr>
        <w:ind w:left="2660" w:hanging="708"/>
        <w:spacing w:after="0"/>
        <w:tabs>
          <w:tab w:leader="none" w:pos="266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1422" w:right="359" w:bottom="1440" w:gutter="0" w:footer="0" w:header="0"/>
        </w:sectPr>
      </w:pPr>
    </w:p>
    <w:bookmarkStart w:id="224" w:name="page225"/>
    <w:bookmarkEnd w:id="224"/>
    <w:p>
      <w:pPr>
        <w:ind w:right="660" w:firstLine="1952"/>
        <w:spacing w:after="0" w:line="271" w:lineRule="auto"/>
        <w:tabs>
          <w:tab w:leader="none" w:pos="2682"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Substantially equal monthly or annual installments over a five- (5) or ten- (10) year period. Installment distributions payable in the form of Shares shall be rounded to the next lower whole Share.</w:t>
      </w:r>
    </w:p>
    <w:p>
      <w:pPr>
        <w:spacing w:after="0" w:line="158" w:lineRule="exact"/>
        <w:rPr>
          <w:sz w:val="20"/>
          <w:szCs w:val="20"/>
          <w:color w:val="auto"/>
        </w:rPr>
      </w:pPr>
    </w:p>
    <w:p>
      <w:pPr>
        <w:ind w:right="240" w:firstLine="1944"/>
        <w:spacing w:after="0" w:line="251" w:lineRule="auto"/>
        <w:rPr>
          <w:sz w:val="20"/>
          <w:szCs w:val="20"/>
          <w:color w:val="auto"/>
        </w:rPr>
      </w:pPr>
      <w:r>
        <w:rPr>
          <w:rFonts w:ascii="Times New Roman" w:cs="Times New Roman" w:eastAsia="Times New Roman" w:hAnsi="Times New Roman"/>
          <w:sz w:val="22"/>
          <w:szCs w:val="22"/>
          <w:color w:val="auto"/>
        </w:rPr>
        <w:t xml:space="preserve">3.9.2. </w:t>
      </w:r>
      <w:r>
        <w:rPr>
          <w:rFonts w:ascii="Times New Roman" w:cs="Times New Roman" w:eastAsia="Times New Roman" w:hAnsi="Times New Roman"/>
          <w:sz w:val="22"/>
          <w:szCs w:val="22"/>
          <w:u w:val="single" w:color="auto"/>
          <w:color w:val="auto"/>
        </w:rPr>
        <w:t>Discretion to Provide for Distribution in Full Upon or Following a Change of Control</w:t>
      </w:r>
      <w:r>
        <w:rPr>
          <w:rFonts w:ascii="Times New Roman" w:cs="Times New Roman" w:eastAsia="Times New Roman" w:hAnsi="Times New Roman"/>
          <w:sz w:val="22"/>
          <w:szCs w:val="22"/>
          <w:color w:val="auto"/>
        </w:rPr>
        <w:t>. To the extent permitted by Section 409A, in connection with a Change of Control, and for the 12-month period following a Change of Control, the Administrator may exercise its discretion to terminate the deferral provisions of the Plan and, notwithstanding any other provision of the Plan or the terms of any Initial Deferral Election, Regular Deferral Election or Subsequent Deferral Election, distribute the RSU Account of each Participant in full and thereby effect the revocation of any outstanding Initial Deferral Elections, Regular Deferral Election or Subsequent Deferral Elections.</w:t>
      </w:r>
    </w:p>
    <w:p>
      <w:pPr>
        <w:spacing w:after="0" w:line="19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Hardship</w:t>
      </w:r>
      <w:r>
        <w:rPr>
          <w:rFonts w:ascii="Times New Roman" w:cs="Times New Roman" w:eastAsia="Times New Roman" w:hAnsi="Times New Roman"/>
          <w:sz w:val="22"/>
          <w:szCs w:val="22"/>
          <w:color w:val="auto"/>
        </w:rPr>
        <w:t>. Notwithstanding the terms of an Initial Deferral Election, Regular Deferral Election or Subsequent Deferral Election with respect to an Award, if, at the Participant’s request, the Administrator determines that the Participant has incurred a Hardship, the Administrator may, in its discretion, authorize the immediate distribution of all or any portion of the Participant’s RSU Account.</w:t>
      </w:r>
    </w:p>
    <w:p>
      <w:pPr>
        <w:spacing w:after="0" w:line="179" w:lineRule="exact"/>
        <w:rPr>
          <w:sz w:val="20"/>
          <w:szCs w:val="20"/>
          <w:color w:val="auto"/>
        </w:rPr>
      </w:pPr>
    </w:p>
    <w:p>
      <w:pPr>
        <w:jc w:val="both"/>
        <w:ind w:right="12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Other Acceleration Events</w:t>
      </w:r>
      <w:r>
        <w:rPr>
          <w:rFonts w:ascii="Times New Roman" w:cs="Times New Roman" w:eastAsia="Times New Roman" w:hAnsi="Times New Roman"/>
          <w:sz w:val="22"/>
          <w:szCs w:val="22"/>
          <w:color w:val="auto"/>
        </w:rPr>
        <w:t>. To the extent permitted by Section 409A, notwithstanding the terms of an Initial Deferral Election, Regular Deferral Election or Subsequent Deferral Election with respect to an Award, distribution of all or part of a Participant’s RSU Account may be made consistent with Section 8.2.</w:t>
      </w:r>
    </w:p>
    <w:p>
      <w:pPr>
        <w:spacing w:after="0" w:line="167" w:lineRule="exact"/>
        <w:rPr>
          <w:sz w:val="20"/>
          <w:szCs w:val="20"/>
          <w:color w:val="auto"/>
        </w:rPr>
      </w:pPr>
    </w:p>
    <w:p>
      <w:pPr>
        <w:ind w:right="1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Book Accounts</w:t>
      </w:r>
      <w:r>
        <w:rPr>
          <w:rFonts w:ascii="Times New Roman" w:cs="Times New Roman" w:eastAsia="Times New Roman" w:hAnsi="Times New Roman"/>
          <w:sz w:val="22"/>
          <w:szCs w:val="22"/>
          <w:color w:val="auto"/>
        </w:rPr>
        <w:t>. An RSU Account shall be established for each Participant who makes an Election with respect to an Award. Deferred Stock Units shall be credited to the RSU Account as of the date an Election becomes effective. Each Deferred Stock Unit will represent a hypothetical Share credited to the Account in lieu of delivery of the Shares to which the Election applies. To the extent an RSU Account is deemed invested in an Other Investment Fund, the Administrator shall credit income, gains, and losses on the same basis as if the RSU Account were directly invested in such Other Investment Fund. To the extent an RSU Account is deemed invested in the Income Fund, the Administrator shall credit earnings with respect to such RSU Account at the Applicable Interest Rate, as further provided in Section 3.14.</w:t>
      </w:r>
    </w:p>
    <w:p>
      <w:pPr>
        <w:spacing w:after="0" w:line="180" w:lineRule="exact"/>
        <w:rPr>
          <w:sz w:val="20"/>
          <w:szCs w:val="20"/>
          <w:color w:val="auto"/>
        </w:rPr>
      </w:pPr>
    </w:p>
    <w:p>
      <w:pPr>
        <w:ind w:right="1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Plan-to-Plan Transfers</w:t>
      </w:r>
      <w:r>
        <w:rPr>
          <w:rFonts w:ascii="Times New Roman" w:cs="Times New Roman" w:eastAsia="Times New Roman" w:hAnsi="Times New Roman"/>
          <w:sz w:val="22"/>
          <w:szCs w:val="22"/>
          <w:color w:val="auto"/>
        </w:rPr>
        <w:t>. The Administrator may delegate its authority to arrange for plan-to-plan transfers as described in this Section 3.13 to an officer of the Company or Administrator of two or more officers of the Company.</w:t>
      </w:r>
    </w:p>
    <w:p>
      <w:pPr>
        <w:spacing w:after="0" w:line="171" w:lineRule="exact"/>
        <w:rPr>
          <w:sz w:val="20"/>
          <w:szCs w:val="20"/>
          <w:color w:val="auto"/>
        </w:rPr>
      </w:pPr>
    </w:p>
    <w:p>
      <w:pPr>
        <w:ind w:firstLine="1944"/>
        <w:spacing w:after="0" w:line="248" w:lineRule="auto"/>
        <w:rPr>
          <w:sz w:val="20"/>
          <w:szCs w:val="20"/>
          <w:color w:val="auto"/>
        </w:rPr>
      </w:pPr>
      <w:r>
        <w:rPr>
          <w:rFonts w:ascii="Times New Roman" w:cs="Times New Roman" w:eastAsia="Times New Roman" w:hAnsi="Times New Roman"/>
          <w:sz w:val="22"/>
          <w:szCs w:val="22"/>
          <w:color w:val="auto"/>
        </w:rPr>
        <w:t>3.13.1. 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22" w:right="359" w:bottom="1440" w:gutter="0" w:footer="0" w:header="0"/>
        </w:sectPr>
      </w:pPr>
    </w:p>
    <w:bookmarkStart w:id="225" w:name="page226"/>
    <w:bookmarkEnd w:id="225"/>
    <w:p>
      <w:pPr>
        <w:ind w:firstLine="1944"/>
        <w:spacing w:after="0" w:line="250" w:lineRule="auto"/>
        <w:rPr>
          <w:sz w:val="20"/>
          <w:szCs w:val="20"/>
          <w:color w:val="auto"/>
        </w:rPr>
      </w:pPr>
      <w:r>
        <w:rPr>
          <w:rFonts w:ascii="Times New Roman" w:cs="Times New Roman" w:eastAsia="Times New Roman" w:hAnsi="Times New Roman"/>
          <w:sz w:val="22"/>
          <w:szCs w:val="22"/>
          <w:color w:val="auto"/>
        </w:rPr>
        <w:t>3.13.2. 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RSU Account for such Participant, and the Account shall be subject to the rules of this Plan, as in effect from time to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u w:val="single" w:color="auto"/>
          <w:color w:val="auto"/>
        </w:rPr>
        <w:t>Crediting of Income, Gains, and Losses on RSU Accounts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20" w:firstLine="1944"/>
        <w:spacing w:after="0" w:line="271" w:lineRule="auto"/>
        <w:rPr>
          <w:sz w:val="20"/>
          <w:szCs w:val="20"/>
          <w:color w:val="auto"/>
        </w:rPr>
      </w:pPr>
      <w:r>
        <w:rPr>
          <w:rFonts w:ascii="Times New Roman" w:cs="Times New Roman" w:eastAsia="Times New Roman" w:hAnsi="Times New Roman"/>
          <w:sz w:val="22"/>
          <w:szCs w:val="22"/>
          <w:color w:val="auto"/>
        </w:rPr>
        <w:t xml:space="preserve">3.14.1.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as otherwise provided in this Section 3.14 or Section 3.15, the value of such portion of a Participant’s RSU Account shall be determined as if it were invested in the Company Stock Fund.</w:t>
      </w:r>
    </w:p>
    <w:p>
      <w:pPr>
        <w:spacing w:after="0" w:line="158"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3.14.2.</w:t>
      </w:r>
      <w:r>
        <w:rPr>
          <w:sz w:val="20"/>
          <w:szCs w:val="20"/>
          <w:color w:val="auto"/>
        </w:rPr>
        <w:tab/>
      </w:r>
      <w:r>
        <w:rPr>
          <w:rFonts w:ascii="Times New Roman" w:cs="Times New Roman" w:eastAsia="Times New Roman" w:hAnsi="Times New Roman"/>
          <w:sz w:val="21"/>
          <w:szCs w:val="21"/>
          <w:u w:val="single" w:color="auto"/>
          <w:color w:val="auto"/>
        </w:rPr>
        <w:t>Credits to Other Investment Funds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20" w:firstLine="1952"/>
        <w:spacing w:after="0" w:line="256" w:lineRule="auto"/>
        <w:tabs>
          <w:tab w:leader="none" w:pos="240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Elections</w:t>
      </w:r>
      <w:r>
        <w:rPr>
          <w:rFonts w:ascii="Times New Roman" w:cs="Times New Roman" w:eastAsia="Times New Roman" w:hAnsi="Times New Roman"/>
          <w:sz w:val="22"/>
          <w:szCs w:val="22"/>
          <w:color w:val="auto"/>
        </w:rPr>
        <w:t>. To the extent credited to the Income Fund, the RSU Accounts of Non-Employee Directors and Section 16 Officers whose Subsequent Deferral Elections are made after their termination of service shall be credited to an Other Investment Fund. The Administrator may designate the specific Other Investment Fund or Funds to which the RSU Account of any individual who has terminated service to the Company shall be invested.</w:t>
      </w:r>
    </w:p>
    <w:p>
      <w:pPr>
        <w:spacing w:after="0" w:line="17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High Balance Participants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right="240" w:firstLine="2600"/>
        <w:spacing w:after="0" w:line="256" w:lineRule="auto"/>
        <w:tabs>
          <w:tab w:leader="none" w:pos="3012"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Income Fund of a Participant other than a Non-Employee Director or Covered Participant exceeds the Income Fund Limit as of the last day of a Plan Year, the excess of (x) the amount credited to the Participant’s Income Fund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(y) the Income Fund Limit shall be deemed transferred to an Other Investment Fund as of such last day of such Plan Year.</w:t>
      </w:r>
    </w:p>
    <w:p>
      <w:pPr>
        <w:spacing w:after="0" w:line="176" w:lineRule="exact"/>
        <w:rPr>
          <w:rFonts w:ascii="Times New Roman" w:cs="Times New Roman" w:eastAsia="Times New Roman" w:hAnsi="Times New Roman"/>
          <w:sz w:val="22"/>
          <w:szCs w:val="22"/>
          <w:color w:val="auto"/>
        </w:rPr>
      </w:pPr>
    </w:p>
    <w:p>
      <w:pPr>
        <w:ind w:right="100" w:firstLine="2600"/>
        <w:spacing w:after="0" w:line="253" w:lineRule="auto"/>
        <w:tabs>
          <w:tab w:leader="none" w:pos="3072"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credited to a Non-Employee Director’s RSU Account shall be deemed invested in an Other Investment Fund. The amount credited to the Income Fund with respect to an individual who becomes a Non-Employee Director shall be transferred to an Other Investment Fund as of the first day of the month next following the date such individual becomes a Non-Employee Director, and all amounts credited to the Non-Employee Director’s RSU Account on and after such date shall be deemed invested in an Other Investment Fund.</w:t>
      </w:r>
    </w:p>
    <w:p>
      <w:pPr>
        <w:spacing w:after="0" w:line="178" w:lineRule="exact"/>
        <w:rPr>
          <w:rFonts w:ascii="Times New Roman" w:cs="Times New Roman" w:eastAsia="Times New Roman" w:hAnsi="Times New Roman"/>
          <w:sz w:val="22"/>
          <w:szCs w:val="22"/>
          <w:color w:val="auto"/>
        </w:rPr>
      </w:pPr>
    </w:p>
    <w:p>
      <w:pPr>
        <w:ind w:right="120" w:firstLine="2600"/>
        <w:spacing w:after="0" w:line="252" w:lineRule="auto"/>
        <w:tabs>
          <w:tab w:leader="none" w:pos="312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credited to the Covered Participant’s RSU Account shall be deemed invested in an Other Investment Fund. The amount credited to the Income Fund with respect to an individual who becomes a Covered Participant shall be transferred to an Other Investment Fund as of the first day of the month next following the date such individual becomes a Covered Participant, and all amounts credited to the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20"/>
          </w:cols>
          <w:pgMar w:left="320" w:top="1422" w:right="3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2"/>
          <w:szCs w:val="22"/>
          <w:color w:val="auto"/>
        </w:rPr>
        <w:t>Participant’s RSU Account on and after such date shall be deemed invested in an Other Investment Fund.</w:t>
      </w:r>
    </w:p>
    <w:p>
      <w:pPr>
        <w:spacing w:after="0" w:line="220" w:lineRule="exact"/>
        <w:rPr>
          <w:sz w:val="20"/>
          <w:szCs w:val="20"/>
          <w:color w:val="auto"/>
        </w:rPr>
      </w:pPr>
    </w:p>
    <w:p>
      <w:pPr>
        <w:ind w:firstLine="1952"/>
        <w:spacing w:after="0" w:line="251" w:lineRule="auto"/>
        <w:tabs>
          <w:tab w:leader="none" w:pos="24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16 Officers</w:t>
      </w:r>
      <w:r>
        <w:rPr>
          <w:rFonts w:ascii="Times New Roman" w:cs="Times New Roman" w:eastAsia="Times New Roman" w:hAnsi="Times New Roman"/>
          <w:sz w:val="22"/>
          <w:szCs w:val="22"/>
          <w:color w:val="auto"/>
        </w:rPr>
        <w:t>. Pursuant to rules established by the Administrator, a Section 16 Officer may elect to (x) transfer amounts credited to their RSU Accounts that were previously subject to a Diversification Election and that are deemed to be invested in the Income Fund to an Other Investment Fund, or (y) transfer amounts credited to their RSU Accounts that were previously subject to a Diversification Election and that are deemed to be invested in an Other Investment Fund to the Income Fund to the extent that immediately after such transfer, the amount credited to such Section 16 Officer’s Income Fund does not exceed the Income Fund Limit.</w:t>
      </w:r>
    </w:p>
    <w:p>
      <w:pPr>
        <w:spacing w:after="0" w:line="181" w:lineRule="exact"/>
        <w:rPr>
          <w:rFonts w:ascii="Times New Roman" w:cs="Times New Roman" w:eastAsia="Times New Roman" w:hAnsi="Times New Roman"/>
          <w:sz w:val="22"/>
          <w:szCs w:val="22"/>
          <w:color w:val="auto"/>
        </w:rPr>
      </w:pPr>
    </w:p>
    <w:p>
      <w:pPr>
        <w:ind w:right="240" w:firstLine="1952"/>
        <w:spacing w:after="0" w:line="309" w:lineRule="auto"/>
        <w:tabs>
          <w:tab w:leader="none" w:pos="2412"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Subsequent Deferral Elections</w:t>
      </w:r>
      <w:r>
        <w:rPr>
          <w:rFonts w:ascii="Times New Roman" w:cs="Times New Roman" w:eastAsia="Times New Roman" w:hAnsi="Times New Roman"/>
          <w:sz w:val="21"/>
          <w:szCs w:val="21"/>
          <w:color w:val="auto"/>
        </w:rPr>
        <w:t>. Amounts subject to a Subsequent Deferral Election that takes effect while a Participant’s Income Fund exceeds the Income Fund Limit shall be deemed invested in an Other Investment Fund.</w:t>
      </w:r>
    </w:p>
    <w:p>
      <w:pPr>
        <w:spacing w:after="0" w:line="121" w:lineRule="exact"/>
        <w:rPr>
          <w:sz w:val="20"/>
          <w:szCs w:val="20"/>
          <w:color w:val="auto"/>
        </w:rPr>
      </w:pPr>
    </w:p>
    <w:p>
      <w:pPr>
        <w:ind w:right="100" w:firstLine="1944"/>
        <w:spacing w:after="0" w:line="260" w:lineRule="auto"/>
        <w:rPr>
          <w:sz w:val="20"/>
          <w:szCs w:val="20"/>
          <w:color w:val="auto"/>
        </w:rPr>
      </w:pPr>
      <w:r>
        <w:rPr>
          <w:rFonts w:ascii="Times New Roman" w:cs="Times New Roman" w:eastAsia="Times New Roman" w:hAnsi="Times New Roman"/>
          <w:sz w:val="21"/>
          <w:szCs w:val="21"/>
          <w:color w:val="auto"/>
        </w:rPr>
        <w:t xml:space="preserve">3.14.3. </w:t>
      </w:r>
      <w:r>
        <w:rPr>
          <w:rFonts w:ascii="Times New Roman" w:cs="Times New Roman" w:eastAsia="Times New Roman" w:hAnsi="Times New Roman"/>
          <w:sz w:val="21"/>
          <w:szCs w:val="21"/>
          <w:u w:val="single" w:color="auto"/>
          <w:color w:val="auto"/>
        </w:rPr>
        <w:t>Protocol for Deemed Transfers between Income Fund and an Other Investment Fund</w:t>
      </w:r>
      <w:r>
        <w:rPr>
          <w:rFonts w:ascii="Times New Roman" w:cs="Times New Roman" w:eastAsia="Times New Roman" w:hAnsi="Times New Roman"/>
          <w:sz w:val="21"/>
          <w:szCs w:val="21"/>
          <w:color w:val="auto"/>
        </w:rPr>
        <w:t>. As provided in this Article 3, the timing of distributions of amounts credited to a Participant’s RSU Account is established pursuant to Initial Deferral Elections, Regular Deferral Elections, and Subsequent Deferral Elections, and a Participant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Section 3.14.2(c), and amounts deemed transferred from an Other Investment Fund to the Income Fund pursuant to elective transfers described in Section 3.14.2(c)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192"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3.15.</w:t>
      </w:r>
      <w:r>
        <w:rPr>
          <w:sz w:val="20"/>
          <w:szCs w:val="20"/>
          <w:color w:val="auto"/>
        </w:rPr>
        <w:tab/>
      </w:r>
      <w:r>
        <w:rPr>
          <w:rFonts w:ascii="Times New Roman" w:cs="Times New Roman" w:eastAsia="Times New Roman" w:hAnsi="Times New Roman"/>
          <w:sz w:val="21"/>
          <w:szCs w:val="21"/>
          <w:u w:val="single" w:color="auto"/>
          <w:color w:val="auto"/>
        </w:rPr>
        <w:t>Diversification Elections</w:t>
      </w:r>
      <w:r>
        <w:rPr>
          <w:rFonts w:ascii="Times New Roman" w:cs="Times New Roman" w:eastAsia="Times New Roman" w:hAnsi="Times New Roman"/>
          <w:sz w:val="21"/>
          <w:szCs w:val="21"/>
          <w:color w:val="auto"/>
        </w:rPr>
        <w:t>. This Section 3.18 shall not apply to (x) elective transfers described in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3.14.2(c) of amounts that were previously subject to a Diversification Election or (y) the Account of any Non-Employee Director.</w:t>
      </w:r>
    </w:p>
    <w:p>
      <w:pPr>
        <w:spacing w:after="0" w:line="207" w:lineRule="exact"/>
        <w:rPr>
          <w:sz w:val="20"/>
          <w:szCs w:val="20"/>
          <w:color w:val="auto"/>
        </w:rPr>
      </w:pPr>
    </w:p>
    <w:p>
      <w:pPr>
        <w:ind w:right="20" w:firstLine="1944"/>
        <w:spacing w:after="0" w:line="257" w:lineRule="auto"/>
        <w:rPr>
          <w:sz w:val="20"/>
          <w:szCs w:val="20"/>
          <w:color w:val="auto"/>
        </w:rPr>
      </w:pPr>
      <w:r>
        <w:rPr>
          <w:rFonts w:ascii="Times New Roman" w:cs="Times New Roman" w:eastAsia="Times New Roman" w:hAnsi="Times New Roman"/>
          <w:sz w:val="22"/>
          <w:szCs w:val="22"/>
          <w:color w:val="auto"/>
        </w:rPr>
        <w:t xml:space="preserve">3.15.1.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as otherwise provided in Section 3.15.2, and Section 3.15.5, the opportunity to make a Diversification Election shall be available at any time that a Registration Statement filed under the 1933 Act (a “Registration Statement”) is effective with respect to the Plan.</w:t>
      </w:r>
    </w:p>
    <w:p>
      <w:pPr>
        <w:spacing w:after="0" w:line="186" w:lineRule="exact"/>
        <w:rPr>
          <w:sz w:val="20"/>
          <w:szCs w:val="20"/>
          <w:color w:val="auto"/>
        </w:rPr>
      </w:pPr>
    </w:p>
    <w:p>
      <w:pPr>
        <w:jc w:val="both"/>
        <w:ind w:right="160" w:firstLine="1944"/>
        <w:spacing w:after="0" w:line="252" w:lineRule="auto"/>
        <w:rPr>
          <w:sz w:val="20"/>
          <w:szCs w:val="20"/>
          <w:color w:val="auto"/>
        </w:rPr>
      </w:pPr>
      <w:r>
        <w:rPr>
          <w:rFonts w:ascii="Times New Roman" w:cs="Times New Roman" w:eastAsia="Times New Roman" w:hAnsi="Times New Roman"/>
          <w:sz w:val="22"/>
          <w:szCs w:val="22"/>
          <w:color w:val="auto"/>
        </w:rPr>
        <w:t xml:space="preserve">3.15.2. </w:t>
      </w:r>
      <w:r>
        <w:rPr>
          <w:rFonts w:ascii="Times New Roman" w:cs="Times New Roman" w:eastAsia="Times New Roman" w:hAnsi="Times New Roman"/>
          <w:sz w:val="22"/>
          <w:szCs w:val="22"/>
          <w:u w:val="single" w:color="auto"/>
          <w:color w:val="auto"/>
        </w:rPr>
        <w:t>Administrator Approval of Diversification Elections</w:t>
      </w:r>
      <w:r>
        <w:rPr>
          <w:rFonts w:ascii="Times New Roman" w:cs="Times New Roman" w:eastAsia="Times New Roman" w:hAnsi="Times New Roman"/>
          <w:sz w:val="22"/>
          <w:szCs w:val="22"/>
          <w:color w:val="auto"/>
        </w:rPr>
        <w:t>. The opportunity to make a Diversification Election and the extent to which a Diversification Election applies to Deferred Stock Units credited to the Company Stock Fund may be approved or rejected by the Administrator in its sole discretion. A Diversification Election shall only be effective if (and to the extent) approved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227" w:name="page228"/>
    <w:bookmarkEnd w:id="227"/>
    <w:p>
      <w:pPr>
        <w:ind w:firstLine="1944"/>
        <w:spacing w:after="0" w:line="263" w:lineRule="auto"/>
        <w:rPr>
          <w:sz w:val="20"/>
          <w:szCs w:val="20"/>
          <w:color w:val="auto"/>
        </w:rPr>
      </w:pPr>
      <w:r>
        <w:rPr>
          <w:rFonts w:ascii="Times New Roman" w:cs="Times New Roman" w:eastAsia="Times New Roman" w:hAnsi="Times New Roman"/>
          <w:sz w:val="21"/>
          <w:szCs w:val="21"/>
          <w:color w:val="auto"/>
        </w:rPr>
        <w:t xml:space="preserve">3.15.3. </w:t>
      </w:r>
      <w:r>
        <w:rPr>
          <w:rFonts w:ascii="Times New Roman" w:cs="Times New Roman" w:eastAsia="Times New Roman" w:hAnsi="Times New Roman"/>
          <w:sz w:val="21"/>
          <w:szCs w:val="21"/>
          <w:u w:val="single" w:color="auto"/>
          <w:color w:val="auto"/>
        </w:rPr>
        <w:t>Time and Manner of Making Diversification Elections</w:t>
      </w:r>
      <w:r>
        <w:rPr>
          <w:rFonts w:ascii="Times New Roman" w:cs="Times New Roman" w:eastAsia="Times New Roman" w:hAnsi="Times New Roman"/>
          <w:sz w:val="21"/>
          <w:szCs w:val="21"/>
          <w:color w:val="auto"/>
        </w:rPr>
        <w:t>. Each Participant and, in the case of a Deceased Participant, the Successor-in-Interest, may make a Diversification Election to convert Deferred Stock Units attributable to such Award credited to the Company Stock Fund to the Income Fund. Except as otherwise provided in Section 3.15.2, no deemed transfers shall be permitted from the Income Fund to the Company Stock Fund. Diversification Elections under this Section 3.15.3 shall be prospectively effective on the later of: (A) the date designated by the Participant on a Diversification Election filed with and approved by the Administrator; or (B) the business day next following the lapse of six months from the date Deferred Stock Units subject to the Diversification Election are credited to the Participant’s RSU Account. In no event may a Diversification Election be effective earlier than the business day next following the lapse of six (6) months from the date Deferred Stock Units are credited to the RSU Account following the lapse of restrictions with respect to an Award.</w:t>
      </w:r>
    </w:p>
    <w:p>
      <w:pPr>
        <w:spacing w:after="0" w:line="170" w:lineRule="exact"/>
        <w:rPr>
          <w:sz w:val="20"/>
          <w:szCs w:val="20"/>
          <w:color w:val="auto"/>
        </w:rPr>
      </w:pPr>
    </w:p>
    <w:p>
      <w:pPr>
        <w:ind w:right="100" w:firstLine="1944"/>
        <w:spacing w:after="0" w:line="250" w:lineRule="auto"/>
        <w:rPr>
          <w:sz w:val="20"/>
          <w:szCs w:val="20"/>
          <w:color w:val="auto"/>
        </w:rPr>
      </w:pPr>
      <w:r>
        <w:rPr>
          <w:rFonts w:ascii="Times New Roman" w:cs="Times New Roman" w:eastAsia="Times New Roman" w:hAnsi="Times New Roman"/>
          <w:sz w:val="22"/>
          <w:szCs w:val="22"/>
          <w:color w:val="auto"/>
        </w:rPr>
        <w:t xml:space="preserve">3.15.4. </w:t>
      </w:r>
      <w:r>
        <w:rPr>
          <w:rFonts w:ascii="Times New Roman" w:cs="Times New Roman" w:eastAsia="Times New Roman" w:hAnsi="Times New Roman"/>
          <w:sz w:val="22"/>
          <w:szCs w:val="22"/>
          <w:u w:val="single" w:color="auto"/>
          <w:color w:val="auto"/>
        </w:rPr>
        <w:t>Interfund Transfers and Timing of Credits</w:t>
      </w:r>
      <w:r>
        <w:rPr>
          <w:rFonts w:ascii="Times New Roman" w:cs="Times New Roman" w:eastAsia="Times New Roman" w:hAnsi="Times New Roman"/>
          <w:sz w:val="22"/>
          <w:szCs w:val="22"/>
          <w:color w:val="auto"/>
        </w:rPr>
        <w:t>. RSU Account balances subject to a Diversification Election under this Section 3.15 shall be deemed transferred from the Company Stock Fund to the Income Fund or Other Investment Fund, as applicable, immediately following the effective date of such Diversification Election. The value of amounts deemed invested in the Income Fund or Other Investment Fund immediately following the effective date of a Diversification Election shall be based on hypothetical sales of Shares underlying the liquidated Deferred Stock Units (and, if applicable, hypothetical purchases of shares of Other Investment Funds) at Fair Market Value as of the effective date of a Diversification Election.</w:t>
      </w:r>
    </w:p>
    <w:p>
      <w:pPr>
        <w:spacing w:after="0" w:line="180" w:lineRule="exact"/>
        <w:rPr>
          <w:sz w:val="20"/>
          <w:szCs w:val="20"/>
          <w:color w:val="auto"/>
        </w:rPr>
      </w:pPr>
    </w:p>
    <w:p>
      <w:pPr>
        <w:ind w:right="260" w:firstLine="1944"/>
        <w:spacing w:after="0" w:line="253" w:lineRule="auto"/>
        <w:rPr>
          <w:sz w:val="20"/>
          <w:szCs w:val="20"/>
          <w:color w:val="auto"/>
        </w:rPr>
      </w:pPr>
      <w:r>
        <w:rPr>
          <w:rFonts w:ascii="Times New Roman" w:cs="Times New Roman" w:eastAsia="Times New Roman" w:hAnsi="Times New Roman"/>
          <w:sz w:val="22"/>
          <w:szCs w:val="22"/>
          <w:color w:val="auto"/>
        </w:rPr>
        <w:t xml:space="preserve">3.15.5. </w:t>
      </w:r>
      <w:r>
        <w:rPr>
          <w:rFonts w:ascii="Times New Roman" w:cs="Times New Roman" w:eastAsia="Times New Roman" w:hAnsi="Times New Roman"/>
          <w:sz w:val="22"/>
          <w:szCs w:val="22"/>
          <w:u w:val="single" w:color="auto"/>
          <w:color w:val="auto"/>
        </w:rPr>
        <w:t>Diversification Limit</w:t>
      </w:r>
      <w:r>
        <w:rPr>
          <w:rFonts w:ascii="Times New Roman" w:cs="Times New Roman" w:eastAsia="Times New Roman" w:hAnsi="Times New Roman"/>
          <w:sz w:val="22"/>
          <w:szCs w:val="22"/>
          <w:color w:val="auto"/>
        </w:rPr>
        <w:t>. No Diversification Election during a calendar year by an Eligible Employee shall be effective and credited to the Income Fund if the sum of (x) the value of the Eligible Employee’s Account in the Prior Equity Plan, plus (y) the value of the Eligible Employee’s Account in the 2002 Deferred Compensation Plan, plus (z) the value of the Eligible Employee’s Account in this Plan exceeds the Contribution Limit with respect to such calendar year, determined as of September 30th immediately preceding such calendar year.</w:t>
      </w:r>
    </w:p>
    <w:p>
      <w:pPr>
        <w:spacing w:after="0" w:line="1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ARTICLE 4 – MANNER OF DISTRIBUTION</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Manner of Distribution</w:t>
      </w:r>
      <w:r>
        <w:rPr>
          <w:rFonts w:ascii="Times New Roman" w:cs="Times New Roman" w:eastAsia="Times New Roman" w:hAnsi="Times New Roman"/>
          <w:sz w:val="22"/>
          <w:szCs w:val="22"/>
          <w:color w:val="auto"/>
        </w:rPr>
        <w:t>. Except as otherwise provided in Section 3.9 with respect to RSU Accounts:</w:t>
      </w:r>
    </w:p>
    <w:p>
      <w:pPr>
        <w:spacing w:after="0" w:line="220" w:lineRule="exact"/>
        <w:rPr>
          <w:sz w:val="20"/>
          <w:szCs w:val="20"/>
          <w:color w:val="auto"/>
        </w:rPr>
      </w:pPr>
    </w:p>
    <w:p>
      <w:pPr>
        <w:ind w:right="620" w:firstLine="1952"/>
        <w:spacing w:after="0" w:line="284" w:lineRule="auto"/>
        <w:tabs>
          <w:tab w:leader="none" w:pos="2388"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credited to an Account shall be distributed, pursuant to an Initial Deferral Election or Subsequent Deferral Election in either:</w:t>
      </w:r>
    </w:p>
    <w:p>
      <w:pPr>
        <w:spacing w:after="0" w:line="143"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or</w:t>
      </w:r>
    </w:p>
    <w:p>
      <w:pPr>
        <w:spacing w:after="0" w:line="219"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Substantially equal monthly or annual installments over a five (5)- or ten (10)- year period.</w:t>
      </w:r>
    </w:p>
    <w:p>
      <w:pPr>
        <w:spacing w:after="0" w:line="22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Installment distributions payable in the form of shares of Company Stock shall be rounded to the next lower whole share. Except for amounts described in Section 5.2(c), all distributions shall be made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00"/>
          </w:cols>
          <w:pgMar w:left="320" w:top="1422" w:right="379" w:bottom="1440" w:gutter="0" w:footer="0" w:header="0"/>
        </w:sectPr>
      </w:pPr>
    </w:p>
    <w:bookmarkStart w:id="228" w:name="page229"/>
    <w:bookmarkEnd w:id="228"/>
    <w:p>
      <w:pPr>
        <w:ind w:right="200" w:firstLine="1952"/>
        <w:spacing w:after="0" w:line="271" w:lineRule="auto"/>
        <w:tabs>
          <w:tab w:leader="none" w:pos="2408"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Section 409A, notwithstanding any Initial Deferral Election, Subsequent Deferral Election or any other provision of the Plan to the contrary:</w:t>
      </w:r>
    </w:p>
    <w:p>
      <w:pPr>
        <w:spacing w:after="0" w:line="157" w:lineRule="exact"/>
        <w:rPr>
          <w:rFonts w:ascii="Times New Roman" w:cs="Times New Roman" w:eastAsia="Times New Roman" w:hAnsi="Times New Roman"/>
          <w:sz w:val="22"/>
          <w:szCs w:val="22"/>
          <w:color w:val="auto"/>
        </w:rPr>
      </w:pPr>
    </w:p>
    <w:p>
      <w:pPr>
        <w:ind w:right="100" w:firstLine="2600"/>
        <w:spacing w:after="0" w:line="281" w:lineRule="auto"/>
        <w:tabs>
          <w:tab w:leader="none" w:pos="3012"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distributions pursuant to Initial Deferral Elections or Subsequent Deferral Elections shall be made in one lump sum payment unless the portion of a Participant’s Account subject to distribution, as of both the date of the Initial Deferral Election or Subsequent Deferral Election and the benefit commencement date, has a value of more than $10,000;</w:t>
      </w:r>
    </w:p>
    <w:p>
      <w:pPr>
        <w:spacing w:after="0" w:line="150" w:lineRule="exact"/>
        <w:rPr>
          <w:rFonts w:ascii="Times New Roman" w:cs="Times New Roman" w:eastAsia="Times New Roman" w:hAnsi="Times New Roman"/>
          <w:sz w:val="21"/>
          <w:szCs w:val="21"/>
          <w:color w:val="auto"/>
        </w:rPr>
      </w:pPr>
    </w:p>
    <w:p>
      <w:pPr>
        <w:jc w:val="both"/>
        <w:ind w:right="80" w:firstLine="2600"/>
        <w:spacing w:after="0" w:line="253" w:lineRule="auto"/>
        <w:tabs>
          <w:tab w:leader="none" w:pos="3072"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79" w:lineRule="exact"/>
        <w:rPr>
          <w:sz w:val="20"/>
          <w:szCs w:val="20"/>
          <w:color w:val="auto"/>
        </w:rPr>
      </w:pPr>
    </w:p>
    <w:p>
      <w:pPr>
        <w:ind w:right="12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Determination of Account Balances for Purposes of Distribution</w:t>
      </w:r>
      <w:r>
        <w:rPr>
          <w:rFonts w:ascii="Times New Roman" w:cs="Times New Roman" w:eastAsia="Times New Roman" w:hAnsi="Times New Roman"/>
          <w:sz w:val="22"/>
          <w:szCs w:val="22"/>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Other Investment Fund and Income Fund, as applicable, through the date immediately preceding the date on which the distribution request is transmitted from the recordkeeper.</w:t>
      </w:r>
    </w:p>
    <w:p>
      <w:pPr>
        <w:spacing w:after="0" w:line="180" w:lineRule="exact"/>
        <w:rPr>
          <w:sz w:val="20"/>
          <w:szCs w:val="20"/>
          <w:color w:val="auto"/>
        </w:rPr>
      </w:pPr>
    </w:p>
    <w:p>
      <w:pPr>
        <w:ind w:right="320" w:firstLine="1296"/>
        <w:spacing w:after="0" w:line="281"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Plan-to-Plan Transfers; Change in Time and Form of Election Pursuant to Special Section 409A Transition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Rules</w:t>
      </w:r>
      <w:r>
        <w:rPr>
          <w:rFonts w:ascii="Times New Roman" w:cs="Times New Roman" w:eastAsia="Times New Roman" w:hAnsi="Times New Roman"/>
          <w:sz w:val="21"/>
          <w:szCs w:val="21"/>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51" w:lineRule="exact"/>
        <w:rPr>
          <w:sz w:val="20"/>
          <w:szCs w:val="20"/>
          <w:color w:val="auto"/>
        </w:rPr>
      </w:pPr>
    </w:p>
    <w:p>
      <w:pPr>
        <w:ind w:firstLine="1952"/>
        <w:spacing w:after="0" w:line="251" w:lineRule="auto"/>
        <w:tabs>
          <w:tab w:leader="none" w:pos="2396"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81" w:lineRule="exact"/>
        <w:rPr>
          <w:rFonts w:ascii="Times New Roman" w:cs="Times New Roman" w:eastAsia="Times New Roman" w:hAnsi="Times New Roman"/>
          <w:sz w:val="22"/>
          <w:szCs w:val="22"/>
          <w:color w:val="auto"/>
        </w:rPr>
      </w:pPr>
    </w:p>
    <w:p>
      <w:pPr>
        <w:ind w:right="480" w:firstLine="1952"/>
        <w:spacing w:after="0" w:line="275" w:lineRule="auto"/>
        <w:tabs>
          <w:tab w:leader="none" w:pos="2408"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20"/>
          </w:cols>
          <w:pgMar w:left="320" w:top="1422" w:right="359" w:bottom="1440" w:gutter="0" w:footer="0" w:header="0"/>
        </w:sectPr>
      </w:pPr>
    </w:p>
    <w:bookmarkStart w:id="229" w:name="page230"/>
    <w:bookmarkEnd w:id="229"/>
    <w:p>
      <w:pPr>
        <w:ind w:right="280"/>
        <w:spacing w:after="0" w:line="256" w:lineRule="auto"/>
        <w:rPr>
          <w:sz w:val="20"/>
          <w:szCs w:val="20"/>
          <w:color w:val="auto"/>
        </w:rPr>
      </w:pPr>
      <w:r>
        <w:rPr>
          <w:rFonts w:ascii="Times New Roman" w:cs="Times New Roman" w:eastAsia="Times New Roman" w:hAnsi="Times New Roman"/>
          <w:sz w:val="22"/>
          <w:szCs w:val="22"/>
          <w:color w:val="auto"/>
        </w:rPr>
        <w:t>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76" w:lineRule="exact"/>
        <w:rPr>
          <w:sz w:val="20"/>
          <w:szCs w:val="20"/>
          <w:color w:val="auto"/>
        </w:rPr>
      </w:pPr>
    </w:p>
    <w:p>
      <w:pPr>
        <w:ind w:right="160" w:firstLine="1296"/>
        <w:spacing w:after="0" w:line="265"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Required Suspension of Payment of Benefits</w:t>
      </w:r>
      <w:r>
        <w:rPr>
          <w:rFonts w:ascii="Times New Roman" w:cs="Times New Roman" w:eastAsia="Times New Roman" w:hAnsi="Times New Roman"/>
          <w:sz w:val="21"/>
          <w:szCs w:val="21"/>
          <w:color w:val="auto"/>
        </w:rPr>
        <w:t>. Notwithstanding any provision of the Plan or any Participant’s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69"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Most Recently Filed Initial Deferral Election or Subsequent Deferral Election Controlling</w:t>
      </w:r>
      <w:r>
        <w:rPr>
          <w:rFonts w:ascii="Times New Roman" w:cs="Times New Roman" w:eastAsia="Times New Roman" w:hAnsi="Times New Roman"/>
          <w:sz w:val="22"/>
          <w:szCs w:val="22"/>
          <w:color w:val="auto"/>
        </w:rPr>
        <w:t>. Except as otherwise specifically provided by the Plan, no distribution of the amounts deferred by a Participant shall be made before the earlier of the Participant’s, Surviving Spouse’s, or Other Beneficiary’s death or the payment date designated by the Participant or Beneficiary on the most recently filed Initial Deferral Election or Subsequent Deferral Election with respect to each deferred amount.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ARTICLE 5 </w:t>
      </w:r>
      <w:r>
        <w:rPr>
          <w:rFonts w:ascii="Times New Roman" w:cs="Times New Roman" w:eastAsia="Times New Roman" w:hAnsi="Times New Roman"/>
          <w:sz w:val="22"/>
          <w:szCs w:val="22"/>
          <w:color w:val="auto"/>
        </w:rPr>
        <w:t>– BOOK ACCOUNTS</w:t>
      </w:r>
    </w:p>
    <w:p>
      <w:pPr>
        <w:spacing w:after="0" w:line="224" w:lineRule="exact"/>
        <w:rPr>
          <w:sz w:val="20"/>
          <w:szCs w:val="20"/>
          <w:color w:val="auto"/>
        </w:rPr>
      </w:pPr>
    </w:p>
    <w:p>
      <w:pPr>
        <w:ind w:right="16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Deferred Compensation Account</w:t>
      </w:r>
      <w:r>
        <w:rPr>
          <w:rFonts w:ascii="Times New Roman" w:cs="Times New Roman" w:eastAsia="Times New Roman" w:hAnsi="Times New Roman"/>
          <w:sz w:val="22"/>
          <w:szCs w:val="22"/>
          <w:color w:val="auto"/>
        </w:rPr>
        <w:t>. A Deferred Compensation Account shall be established for each Non-Employee Director, Director Emeritus and Eligible Employee when such Non-Employee Director, Director Emeritus or Eligible Employee becomes a Participant. Compensation deferred pursuant to the Plan shall be credited to the Account on the date such Compensation would otherwise have been payable to the Participant. An RSU Account shall be established for each Participant who elects to defer the receipt of Shares issuable pursuant to an Award.</w:t>
      </w:r>
    </w:p>
    <w:p>
      <w:pPr>
        <w:spacing w:after="0" w:line="179" w:lineRule="exact"/>
        <w:rPr>
          <w:sz w:val="20"/>
          <w:szCs w:val="20"/>
          <w:color w:val="auto"/>
        </w:rPr>
      </w:pPr>
    </w:p>
    <w:p>
      <w:pPr>
        <w:ind w:right="20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Crediting of Income, Gains, and Losses on Accounts</w:t>
      </w:r>
      <w:r>
        <w:rPr>
          <w:rFonts w:ascii="Times New Roman" w:cs="Times New Roman" w:eastAsia="Times New Roman" w:hAnsi="Times New Roman"/>
          <w:sz w:val="22"/>
          <w:szCs w:val="22"/>
          <w:color w:val="auto"/>
        </w:rPr>
        <w:t>. This Section 5.2 shall not apply to RSU Accounts that are subject to Section 3.14.</w:t>
      </w:r>
    </w:p>
    <w:p>
      <w:pPr>
        <w:spacing w:after="0" w:line="158" w:lineRule="exact"/>
        <w:rPr>
          <w:sz w:val="20"/>
          <w:szCs w:val="20"/>
          <w:color w:val="auto"/>
        </w:rPr>
      </w:pPr>
    </w:p>
    <w:p>
      <w:pPr>
        <w:ind w:left="2400" w:hanging="448"/>
        <w:spacing w:after="0"/>
        <w:tabs>
          <w:tab w:leader="none" w:pos="24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for amounts credited to the Accounts of Participants who are:</w:t>
      </w:r>
    </w:p>
    <w:p>
      <w:pPr>
        <w:spacing w:after="0" w:line="233"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Non-Employee Directors who have elected to defer the receipt of Compensation payable in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form of Company Stock,</w:t>
      </w:r>
    </w:p>
    <w:p>
      <w:pPr>
        <w:spacing w:after="0" w:line="195" w:lineRule="exact"/>
        <w:rPr>
          <w:rFonts w:ascii="Times New Roman" w:cs="Times New Roman" w:eastAsia="Times New Roman" w:hAnsi="Times New Roman"/>
          <w:sz w:val="21"/>
          <w:szCs w:val="21"/>
          <w:color w:val="auto"/>
        </w:rPr>
      </w:pPr>
    </w:p>
    <w:p>
      <w:pPr>
        <w:ind w:right="500" w:firstLine="2600"/>
        <w:spacing w:after="0" w:line="271" w:lineRule="auto"/>
        <w:tabs>
          <w:tab w:leader="none" w:pos="3072"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Directors whose Account has been credited to an Other Investment Fund pursuant to Section 5.2(b)(1)(B)(3);</w:t>
      </w:r>
    </w:p>
    <w:p>
      <w:pPr>
        <w:spacing w:after="0" w:line="157" w:lineRule="exact"/>
        <w:rPr>
          <w:rFonts w:ascii="Times New Roman" w:cs="Times New Roman" w:eastAsia="Times New Roman" w:hAnsi="Times New Roman"/>
          <w:sz w:val="22"/>
          <w:szCs w:val="22"/>
          <w:color w:val="auto"/>
        </w:rPr>
      </w:pPr>
    </w:p>
    <w:p>
      <w:pPr>
        <w:ind w:left="3140" w:hanging="540"/>
        <w:spacing w:after="0"/>
        <w:tabs>
          <w:tab w:leader="none" w:pos="3140" w:val="left"/>
        </w:tabs>
        <w:numPr>
          <w:ilvl w:val="1"/>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Participants whose Account has been credited to an Other Investment Fund pursuant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Section 5.2(b)(1)(B)(4);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230" w:name="page231"/>
    <w:bookmarkEnd w:id="230"/>
    <w:p>
      <w:pPr>
        <w:ind w:left="3120" w:hanging="520"/>
        <w:spacing w:after="0"/>
        <w:tabs>
          <w:tab w:leader="none" w:pos="31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subject to the Income Fund Limit; and</w:t>
      </w:r>
    </w:p>
    <w:p>
      <w:pPr>
        <w:spacing w:after="0" w:line="219" w:lineRule="exact"/>
        <w:rPr>
          <w:rFonts w:ascii="Times New Roman" w:cs="Times New Roman" w:eastAsia="Times New Roman" w:hAnsi="Times New Roman"/>
          <w:sz w:val="22"/>
          <w:szCs w:val="22"/>
          <w:color w:val="auto"/>
        </w:rPr>
      </w:pPr>
    </w:p>
    <w:p>
      <w:pPr>
        <w:ind w:right="80" w:firstLine="2600"/>
        <w:spacing w:after="0" w:line="295" w:lineRule="auto"/>
        <w:tabs>
          <w:tab w:leader="none" w:pos="306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16 Officers who, pursuant to rules established by the Administrator, have elected to transfer amounts credited to their Accounts that are deemed to be invested in the Income Fund to an Other Investment Fund; and</w:t>
      </w:r>
    </w:p>
    <w:p>
      <w:pPr>
        <w:spacing w:after="0" w:line="148" w:lineRule="exact"/>
        <w:rPr>
          <w:rFonts w:ascii="Times New Roman" w:cs="Times New Roman" w:eastAsia="Times New Roman" w:hAnsi="Times New Roman"/>
          <w:sz w:val="21"/>
          <w:szCs w:val="21"/>
          <w:color w:val="auto"/>
        </w:rPr>
      </w:pPr>
    </w:p>
    <w:p>
      <w:pPr>
        <w:ind w:left="3120" w:hanging="520"/>
        <w:spacing w:after="0"/>
        <w:tabs>
          <w:tab w:leader="none" w:pos="31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Directors and Section 16 Officers, with respect to amounts subject to</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Deferral Elections permitted to be made after their termination of service;</w:t>
      </w:r>
    </w:p>
    <w:p>
      <w:pPr>
        <w:spacing w:after="0" w:line="196"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all amounts credited to Participants’ Accounts shall be credited with income, gains and losses as if they were invested in the Income Fund.</w:t>
      </w:r>
    </w:p>
    <w:p>
      <w:pPr>
        <w:spacing w:after="0" w:line="158" w:lineRule="exact"/>
        <w:rPr>
          <w:sz w:val="20"/>
          <w:szCs w:val="20"/>
          <w:color w:val="auto"/>
        </w:rPr>
      </w:pPr>
    </w:p>
    <w:p>
      <w:pPr>
        <w:ind w:left="2680" w:hanging="728"/>
        <w:spacing w:after="0"/>
        <w:tabs>
          <w:tab w:leader="none" w:pos="26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Income, Gains, and Losses on Accounts Subject to Investment Restrictions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Credits to Other Investment Funds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420" w:hanging="524"/>
        <w:spacing w:after="0"/>
        <w:tabs>
          <w:tab w:leader="none" w:pos="4420" w:val="left"/>
        </w:tabs>
        <w:numPr>
          <w:ilvl w:val="2"/>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Elections</w:t>
      </w:r>
      <w:r>
        <w:rPr>
          <w:rFonts w:ascii="Times New Roman" w:cs="Times New Roman" w:eastAsia="Times New Roman" w:hAnsi="Times New Roman"/>
          <w:sz w:val="22"/>
          <w:szCs w:val="22"/>
          <w:color w:val="auto"/>
        </w:rPr>
        <w:t>. The Accounts of Non-Employee Directors and</w:t>
      </w:r>
    </w:p>
    <w:p>
      <w:pPr>
        <w:spacing w:after="0" w:line="27" w:lineRule="exact"/>
        <w:rPr>
          <w:rFonts w:ascii="Times New Roman" w:cs="Times New Roman" w:eastAsia="Times New Roman" w:hAnsi="Times New Roman"/>
          <w:sz w:val="22"/>
          <w:szCs w:val="22"/>
          <w:color w:val="auto"/>
        </w:rPr>
      </w:pPr>
    </w:p>
    <w:p>
      <w:pPr>
        <w:ind w:right="16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 Officers whose Subsequent Deferral Elections are made after their termination of service in accordance with Section 3.5(a) shall be credited to an Other Investment Fund.</w:t>
      </w:r>
    </w:p>
    <w:p>
      <w:pPr>
        <w:spacing w:after="0" w:line="182" w:lineRule="exact"/>
        <w:rPr>
          <w:rFonts w:ascii="Times New Roman" w:cs="Times New Roman" w:eastAsia="Times New Roman" w:hAnsi="Times New Roman"/>
          <w:sz w:val="22"/>
          <w:szCs w:val="22"/>
          <w:color w:val="auto"/>
        </w:rPr>
      </w:pPr>
    </w:p>
    <w:p>
      <w:pPr>
        <w:ind w:left="4400" w:hanging="504"/>
        <w:spacing w:after="0"/>
        <w:tabs>
          <w:tab w:leader="none" w:pos="4400" w:val="left"/>
        </w:tabs>
        <w:numPr>
          <w:ilvl w:val="2"/>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Whose Income Fund Exceeds the Income Fund Limit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560" w:firstLine="4544"/>
        <w:spacing w:after="0" w:line="263" w:lineRule="auto"/>
        <w:tabs>
          <w:tab w:leader="none" w:pos="5004" w:val="left"/>
        </w:tabs>
        <w:numPr>
          <w:ilvl w:val="3"/>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Deferral Election</w:t>
      </w:r>
      <w:r>
        <w:rPr>
          <w:rFonts w:ascii="Times New Roman" w:cs="Times New Roman" w:eastAsia="Times New Roman" w:hAnsi="Times New Roman"/>
          <w:sz w:val="22"/>
          <w:szCs w:val="22"/>
          <w:color w:val="auto"/>
        </w:rPr>
        <w:t>. Amounts subject to a Subsequent Deferral Election that takes effect when the amount credited to the Income Fund with respect to a Participant exceeds $100 million shall be deemed invested in an Other Investment Fund.</w:t>
      </w:r>
    </w:p>
    <w:p>
      <w:pPr>
        <w:spacing w:after="0" w:line="167" w:lineRule="exact"/>
        <w:rPr>
          <w:rFonts w:ascii="Times New Roman" w:cs="Times New Roman" w:eastAsia="Times New Roman" w:hAnsi="Times New Roman"/>
          <w:sz w:val="22"/>
          <w:szCs w:val="22"/>
          <w:color w:val="auto"/>
        </w:rPr>
      </w:pPr>
    </w:p>
    <w:p>
      <w:pPr>
        <w:ind w:left="5020" w:hanging="476"/>
        <w:spacing w:after="0"/>
        <w:tabs>
          <w:tab w:leader="none" w:pos="5020" w:val="left"/>
        </w:tabs>
        <w:numPr>
          <w:ilvl w:val="3"/>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Year-End Adjustments</w:t>
      </w:r>
      <w:r>
        <w:rPr>
          <w:rFonts w:ascii="Times New Roman" w:cs="Times New Roman" w:eastAsia="Times New Roman" w:hAnsi="Times New Roman"/>
          <w:sz w:val="22"/>
          <w:szCs w:val="22"/>
          <w:color w:val="auto"/>
        </w:rPr>
        <w:t>. Except with respect to Participants who are</w:t>
      </w:r>
    </w:p>
    <w:p>
      <w:pPr>
        <w:spacing w:after="0" w:line="27" w:lineRule="exact"/>
        <w:rPr>
          <w:rFonts w:ascii="Times New Roman" w:cs="Times New Roman" w:eastAsia="Times New Roman" w:hAnsi="Times New Roman"/>
          <w:sz w:val="22"/>
          <w:szCs w:val="22"/>
          <w:color w:val="auto"/>
        </w:rPr>
      </w:pPr>
    </w:p>
    <w:p>
      <w:pPr>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5.2(b)(i)(B)(3) or Section 5.2(b)(i)(B)(4), if the amount credited to the Income Fund with respect to a Participant exceeds $100 million as of the last day of a Plan Year, the lesser of (x) the amount credited to the Income Fund with respect to such Participant for such Plan Year or (y) the excess of (I) the amount credited to the Income Fund with respect to such Participant as of the last day of such Plan Year over (II) $100 million shall be transferred to an Other Investment Fund as of such last day.</w:t>
      </w:r>
    </w:p>
    <w:p>
      <w:pPr>
        <w:spacing w:after="0" w:line="186" w:lineRule="exact"/>
        <w:rPr>
          <w:rFonts w:ascii="Times New Roman" w:cs="Times New Roman" w:eastAsia="Times New Roman" w:hAnsi="Times New Roman"/>
          <w:sz w:val="22"/>
          <w:szCs w:val="22"/>
          <w:color w:val="auto"/>
        </w:rPr>
      </w:pPr>
    </w:p>
    <w:p>
      <w:pPr>
        <w:ind w:left="5020" w:hanging="476"/>
        <w:spacing w:after="0"/>
        <w:tabs>
          <w:tab w:leader="none" w:pos="5020" w:val="left"/>
        </w:tabs>
        <w:numPr>
          <w:ilvl w:val="3"/>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Non-Employee Directors</w:t>
      </w:r>
      <w:r>
        <w:rPr>
          <w:rFonts w:ascii="Times New Roman" w:cs="Times New Roman" w:eastAsia="Times New Roman" w:hAnsi="Times New Roman"/>
          <w:sz w:val="21"/>
          <w:szCs w:val="21"/>
          <w:color w:val="auto"/>
        </w:rPr>
        <w:t>. If a Non-Employee Director’s Income Fund</w:t>
      </w:r>
    </w:p>
    <w:p>
      <w:pPr>
        <w:spacing w:after="0" w:line="39" w:lineRule="exact"/>
        <w:rPr>
          <w:rFonts w:ascii="Times New Roman" w:cs="Times New Roman" w:eastAsia="Times New Roman" w:hAnsi="Times New Roman"/>
          <w:sz w:val="21"/>
          <w:szCs w:val="21"/>
          <w:color w:val="auto"/>
        </w:rPr>
      </w:pPr>
    </w:p>
    <w:p>
      <w:pPr>
        <w:ind w:right="10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exceeds the Income Fund Limit, the amount credited to the Non-Employee Director’s Income Fund shall be transferred to an Other Investment Fund and all amounts credited to the Non-Employee Director’s Account shall be deemed invested in an Other Investment Fund. The amount credited to the Income Fund with respect to an individual who has an Account under the Plan and who becomes a Non-Employee Director after shall be transferred to an Other Investment Fund as of the first day of the month next following the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00"/>
          </w:cols>
          <w:pgMar w:left="320" w:top="1422" w:right="379" w:bottom="1440" w:gutter="0" w:footer="0" w:header="0"/>
        </w:sectPr>
      </w:pPr>
    </w:p>
    <w:bookmarkStart w:id="231" w:name="page232"/>
    <w:bookmarkEnd w:id="231"/>
    <w:p>
      <w:pPr>
        <w:ind w:right="320"/>
        <w:spacing w:after="0" w:line="251" w:lineRule="auto"/>
        <w:rPr>
          <w:sz w:val="20"/>
          <w:szCs w:val="20"/>
          <w:color w:val="auto"/>
        </w:rPr>
      </w:pPr>
      <w:r>
        <w:rPr>
          <w:rFonts w:ascii="Times New Roman" w:cs="Times New Roman" w:eastAsia="Times New Roman" w:hAnsi="Times New Roman"/>
          <w:sz w:val="22"/>
          <w:szCs w:val="22"/>
          <w:color w:val="auto"/>
        </w:rPr>
        <w:t>individual becomes a Non-Employee Director, and all amounts credited to the Non-Employee Director’s Account on and after such date shall be deemed invested in an Other Investment 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Non-Employee Director has consented to waive his or her rights with respect to (i) the Applicable Interest Rate applicable to such Non-Employee Director’s Account (including the Protected Account Balance) for purposes of any current or future Initial Deferral Elections and Subsequent Deferral Elections while such individual is a Non-Employee Director and (ii) the application of Section 10.2 to such Non-Employee Director’s Account).</w:t>
      </w:r>
    </w:p>
    <w:p>
      <w:pPr>
        <w:spacing w:after="0" w:line="181" w:lineRule="exact"/>
        <w:rPr>
          <w:sz w:val="20"/>
          <w:szCs w:val="20"/>
          <w:color w:val="auto"/>
        </w:rPr>
      </w:pPr>
    </w:p>
    <w:p>
      <w:pPr>
        <w:ind w:left="5020" w:hanging="476"/>
        <w:spacing w:after="0"/>
        <w:tabs>
          <w:tab w:leader="none" w:pos="5020" w:val="left"/>
        </w:tabs>
        <w:numPr>
          <w:ilvl w:val="3"/>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Participants</w:t>
      </w:r>
      <w:r>
        <w:rPr>
          <w:rFonts w:ascii="Times New Roman" w:cs="Times New Roman" w:eastAsia="Times New Roman" w:hAnsi="Times New Roman"/>
          <w:sz w:val="22"/>
          <w:szCs w:val="22"/>
          <w:color w:val="auto"/>
        </w:rPr>
        <w:t>. If a Covered Participant’s Income Fund exceeds</w:t>
      </w:r>
    </w:p>
    <w:p>
      <w:pPr>
        <w:spacing w:after="0" w:line="27" w:lineRule="exact"/>
        <w:rPr>
          <w:rFonts w:ascii="Times New Roman" w:cs="Times New Roman" w:eastAsia="Times New Roman" w:hAnsi="Times New Roman"/>
          <w:sz w:val="22"/>
          <w:szCs w:val="22"/>
          <w:color w:val="auto"/>
        </w:rPr>
      </w:pPr>
    </w:p>
    <w:p>
      <w:pPr>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Income Fund Limit, the amount credited to the Covered Participant’s Income Fund shall be transferred to an Other Investment Fund and all amounts credited to the Covered Participant’s Account shall be deemed invested in an Other Investment Fund. The amount credited to the Income Fund with respect to an individual who has an Account under the Plan and who becomes a Covered Participant shall be transferred to an Other Investment Fund as of the first day of the month next following the date such individual becomes a Covered Participant, and all amounts credited to the Covered Participant’s Account on and after such date shall be deemed invested in an Other Investment Fund for purposes of any current or future Initial Deferral Elections and Subsequent Deferral Elections while such individual is a Covered Participant and (ii) the application of Section 10.2 to such Covered Participant’s Account).</w:t>
      </w:r>
    </w:p>
    <w:p>
      <w:pPr>
        <w:spacing w:after="0" w:line="188" w:lineRule="exact"/>
        <w:rPr>
          <w:rFonts w:ascii="Times New Roman" w:cs="Times New Roman" w:eastAsia="Times New Roman" w:hAnsi="Times New Roman"/>
          <w:sz w:val="22"/>
          <w:szCs w:val="22"/>
          <w:color w:val="auto"/>
        </w:rPr>
      </w:pPr>
    </w:p>
    <w:p>
      <w:pPr>
        <w:ind w:left="4400" w:hanging="504"/>
        <w:spacing w:after="0"/>
        <w:tabs>
          <w:tab w:leader="none" w:pos="4400" w:val="left"/>
        </w:tabs>
        <w:numPr>
          <w:ilvl w:val="2"/>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16 Officers</w:t>
      </w:r>
      <w:r>
        <w:rPr>
          <w:rFonts w:ascii="Times New Roman" w:cs="Times New Roman" w:eastAsia="Times New Roman" w:hAnsi="Times New Roman"/>
          <w:sz w:val="22"/>
          <w:szCs w:val="22"/>
          <w:color w:val="auto"/>
        </w:rPr>
        <w:t>. Pursuant to rules established by the Administrator, a</w:t>
      </w:r>
    </w:p>
    <w:p>
      <w:pPr>
        <w:spacing w:after="0" w:line="27" w:lineRule="exact"/>
        <w:rPr>
          <w:rFonts w:ascii="Times New Roman" w:cs="Times New Roman" w:eastAsia="Times New Roman" w:hAnsi="Times New Roman"/>
          <w:sz w:val="22"/>
          <w:szCs w:val="22"/>
          <w:color w:val="auto"/>
        </w:rPr>
      </w:pPr>
    </w:p>
    <w:p>
      <w:pPr>
        <w:ind w:right="10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 Officer may elect to (x) transfer amounts credited to their Account that are deemed to be invested in the Income Fund to an Other Investment Fund, or (y) transfer amounts credited to their Account that are deemed to be invested in an Other Investment Fund to the Income Fund to the extent that immediately after such transfer, the amount credited to such Section 16 Officer’s Income Fund does not exceed the Income Fund Limit.</w:t>
      </w:r>
    </w:p>
    <w:p>
      <w:pPr>
        <w:spacing w:after="0" w:line="181" w:lineRule="exact"/>
        <w:rPr>
          <w:rFonts w:ascii="Times New Roman" w:cs="Times New Roman" w:eastAsia="Times New Roman" w:hAnsi="Times New Roman"/>
          <w:sz w:val="22"/>
          <w:szCs w:val="22"/>
          <w:color w:val="auto"/>
        </w:rPr>
      </w:pPr>
    </w:p>
    <w:p>
      <w:pPr>
        <w:ind w:right="100" w:firstLine="2600"/>
        <w:spacing w:after="0" w:line="262" w:lineRule="auto"/>
        <w:tabs>
          <w:tab w:leader="none" w:pos="3072"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Protocol for Deemed Transfers between Income Fund and an Other Investment Fund</w:t>
      </w:r>
      <w:r>
        <w:rPr>
          <w:rFonts w:ascii="Times New Roman" w:cs="Times New Roman" w:eastAsia="Times New Roman" w:hAnsi="Times New Roman"/>
          <w:sz w:val="21"/>
          <w:szCs w:val="21"/>
          <w:color w:val="auto"/>
        </w:rPr>
        <w:t>. As provided in Article III, the timing of distributions of amounts credited to a Participant’s Account is established pursuant to Initial Deferral Elections and Subsequent Deferral Elections, and a Participant may elect various distribution dates for amounts subject to Initial Deferral Elections and Subsequent Deferral Elections. Amounts deemed transferred from the Income Fund to Other Investment Funds as a result of the application of the Income Fund Limit or pursuant to elective transfers described in Section</w:t>
      </w:r>
    </w:p>
    <w:p>
      <w:pPr>
        <w:spacing w:after="0" w:line="1" w:lineRule="exact"/>
        <w:rPr>
          <w:rFonts w:ascii="Times New Roman" w:cs="Times New Roman" w:eastAsia="Times New Roman" w:hAnsi="Times New Roman"/>
          <w:sz w:val="21"/>
          <w:szCs w:val="21"/>
          <w:color w:val="auto"/>
        </w:rPr>
      </w:pPr>
    </w:p>
    <w:p>
      <w:pPr>
        <w:ind w:right="22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5.2(b)(i)(C), and amounts deemed transferred from an Other Investment Fund to the Income Fund pursuant to elective transfers described in Section 5.2(b)(i)(C)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202" w:lineRule="exact"/>
        <w:rPr>
          <w:rFonts w:ascii="Times New Roman" w:cs="Times New Roman" w:eastAsia="Times New Roman" w:hAnsi="Times New Roman"/>
          <w:sz w:val="21"/>
          <w:szCs w:val="21"/>
          <w:color w:val="auto"/>
        </w:rPr>
      </w:pPr>
    </w:p>
    <w:p>
      <w:pPr>
        <w:ind w:right="520" w:firstLine="1952"/>
        <w:spacing w:after="0" w:line="271" w:lineRule="auto"/>
        <w:tabs>
          <w:tab w:leader="none" w:pos="267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Fund Credits</w:t>
      </w:r>
      <w:r>
        <w:rPr>
          <w:rFonts w:ascii="Times New Roman" w:cs="Times New Roman" w:eastAsia="Times New Roman" w:hAnsi="Times New Roman"/>
          <w:sz w:val="22"/>
          <w:szCs w:val="22"/>
          <w:color w:val="auto"/>
        </w:rPr>
        <w:t>. Amounts credited to the Accounts of Non-Employee Directors, Covered Participants, and High Balance Participants in the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232" w:name="page233"/>
    <w:bookmarkEnd w:id="232"/>
    <w:p>
      <w:pPr>
        <w:ind w:right="140"/>
        <w:spacing w:after="0" w:line="265" w:lineRule="auto"/>
        <w:rPr>
          <w:sz w:val="20"/>
          <w:szCs w:val="20"/>
          <w:color w:val="auto"/>
        </w:rPr>
      </w:pPr>
      <w:r>
        <w:rPr>
          <w:rFonts w:ascii="Times New Roman" w:cs="Times New Roman" w:eastAsia="Times New Roman" w:hAnsi="Times New Roman"/>
          <w:sz w:val="21"/>
          <w:szCs w:val="21"/>
          <w:color w:val="auto"/>
        </w:rPr>
        <w:t>Company Stock shall be credited with income, gains, and losses as if they were invested in the Company Stock Fund. Except as otherwise provided with respect to Section 16 Officers pursuant to Section 5.2(b)(i)(C)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Non-Employee Directors and (ii) Participants under circumstances described in Section 5.2(a)(vi) shall be distributed in the form of Company Stock, rounded to the nearest lower whole share.</w:t>
      </w:r>
    </w:p>
    <w:p>
      <w:pPr>
        <w:spacing w:after="0" w:line="169" w:lineRule="exact"/>
        <w:rPr>
          <w:sz w:val="20"/>
          <w:szCs w:val="20"/>
          <w:color w:val="auto"/>
        </w:rPr>
      </w:pPr>
    </w:p>
    <w:p>
      <w:pPr>
        <w:ind w:firstLine="1952"/>
        <w:spacing w:after="0" w:line="248" w:lineRule="auto"/>
        <w:tabs>
          <w:tab w:leader="none" w:pos="2412"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Credits</w:t>
      </w:r>
      <w:r>
        <w:rPr>
          <w:rFonts w:ascii="Times New Roman" w:cs="Times New Roman" w:eastAsia="Times New Roman" w:hAnsi="Times New Roman"/>
          <w:sz w:val="22"/>
          <w:szCs w:val="22"/>
          <w:color w:val="auto"/>
        </w:rPr>
        <w:t>. Except as otherwise provided in this Section 5.2,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(5)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an Other Investment Fund shall be based on hypothetical purchases and sales of such Other Investment Fund at Fair Market Value as of the effective date of the applicable investment election.</w:t>
      </w:r>
    </w:p>
    <w:p>
      <w:pPr>
        <w:spacing w:after="0" w:line="189" w:lineRule="exact"/>
        <w:rPr>
          <w:sz w:val="20"/>
          <w:szCs w:val="20"/>
          <w:color w:val="auto"/>
        </w:rPr>
      </w:pPr>
    </w:p>
    <w:p>
      <w:pPr>
        <w:ind w:right="600" w:firstLine="1296"/>
        <w:spacing w:after="0" w:line="295"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Status of Deferred Amounts</w:t>
      </w:r>
      <w:r>
        <w:rPr>
          <w:rFonts w:ascii="Times New Roman" w:cs="Times New Roman" w:eastAsia="Times New Roman" w:hAnsi="Times New Roman"/>
          <w:sz w:val="21"/>
          <w:szCs w:val="21"/>
          <w:color w:val="auto"/>
        </w:rPr>
        <w:t>. Regardless of whether or not the Company is a Participant’s employer, all Compensation deferred under this Plan shall continue for all purposes to be a part of the general funds of the Company.</w:t>
      </w:r>
    </w:p>
    <w:p>
      <w:pPr>
        <w:spacing w:after="0" w:line="149"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Participants’ Status as General Creditors</w:t>
      </w:r>
      <w:r>
        <w:rPr>
          <w:rFonts w:ascii="Times New Roman" w:cs="Times New Roman" w:eastAsia="Times New Roman" w:hAnsi="Times New Roman"/>
          <w:sz w:val="22"/>
          <w:szCs w:val="22"/>
          <w:color w:val="auto"/>
        </w:rPr>
        <w:t>. Regardless of whether or not the Company is a Participant’s employer, an Account (including an RSU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 xml:space="preserve">ARTICLE 6 </w:t>
      </w:r>
      <w:r>
        <w:rPr>
          <w:rFonts w:ascii="Times New Roman" w:cs="Times New Roman" w:eastAsia="Times New Roman" w:hAnsi="Times New Roman"/>
          <w:sz w:val="22"/>
          <w:szCs w:val="22"/>
          <w:color w:val="auto"/>
        </w:rPr>
        <w:t>– NO ALIENATION OF BENEFITS; PAYEE DESIGNATION</w:t>
      </w:r>
    </w:p>
    <w:p>
      <w:pPr>
        <w:spacing w:after="0" w:line="224" w:lineRule="exact"/>
        <w:rPr>
          <w:sz w:val="20"/>
          <w:szCs w:val="20"/>
          <w:color w:val="auto"/>
        </w:rPr>
      </w:pPr>
    </w:p>
    <w:p>
      <w:pPr>
        <w:ind w:right="28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Non-Alienation</w:t>
      </w:r>
      <w:r>
        <w:rPr>
          <w:rFonts w:ascii="Times New Roman" w:cs="Times New Roman" w:eastAsia="Times New Roman" w:hAnsi="Times New Roman"/>
          <w:sz w:val="22"/>
          <w:szCs w:val="22"/>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00"/>
          </w:cols>
          <w:pgMar w:left="320" w:top="1422" w:right="379" w:bottom="1440" w:gutter="0" w:footer="0" w:header="0"/>
        </w:sectPr>
      </w:pPr>
    </w:p>
    <w:bookmarkStart w:id="233" w:name="page234"/>
    <w:bookmarkEnd w:id="233"/>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Domestic Relations Orders</w:t>
      </w:r>
      <w:r>
        <w:rPr>
          <w:rFonts w:ascii="Times New Roman" w:cs="Times New Roman" w:eastAsia="Times New Roman" w:hAnsi="Times New Roman"/>
          <w:sz w:val="22"/>
          <w:szCs w:val="22"/>
          <w:color w:val="auto"/>
        </w:rPr>
        <w:t>. Notwithstanding any other provision of the Plan or the terms of any Initial Deferral Election or Subsequent Deferral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80"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Payee Designation</w:t>
      </w:r>
      <w:r>
        <w:rPr>
          <w:rFonts w:ascii="Times New Roman" w:cs="Times New Roman" w:eastAsia="Times New Roman" w:hAnsi="Times New Roman"/>
          <w:sz w:val="22"/>
          <w:szCs w:val="22"/>
          <w:color w:val="auto"/>
        </w:rPr>
        <w:t>. Subject to the terms and conditions of the Plan, a Participant or Beneficiary may direct that any amount payable pursuant to an Initial Deferral Election or a Subsequent Deferral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7 – DEATH OF PARTICIPANT</w:t>
      </w:r>
    </w:p>
    <w:p>
      <w:pPr>
        <w:spacing w:after="0" w:line="224" w:lineRule="exact"/>
        <w:rPr>
          <w:sz w:val="20"/>
          <w:szCs w:val="20"/>
          <w:color w:val="auto"/>
        </w:rPr>
      </w:pPr>
    </w:p>
    <w:p>
      <w:pPr>
        <w:ind w:right="280" w:firstLine="1296"/>
        <w:spacing w:after="0" w:line="275"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Except as otherwise provided in Section 3.5 or Section 3.8, a Deceased Participant’s Account and a Deceased Participant’s RSU Account shall be distributed in accordance with the last Initial Deferral Election or Subsequent Deferral Election made by the Deceased Participant before the Deceased Participant’s death.</w:t>
      </w:r>
    </w:p>
    <w:p>
      <w:pPr>
        <w:spacing w:after="0" w:line="155"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Designation of Beneficiaries</w:t>
      </w:r>
      <w:r>
        <w:rPr>
          <w:rFonts w:ascii="Times New Roman" w:cs="Times New Roman" w:eastAsia="Times New Roman" w:hAnsi="Times New Roman"/>
          <w:sz w:val="22"/>
          <w:szCs w:val="22"/>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8 – HARDSHIP, OTHER ACCELERATION EVENTS, AND CLAWBACKS</w:t>
      </w:r>
    </w:p>
    <w:p>
      <w:pPr>
        <w:spacing w:after="0" w:line="224" w:lineRule="exact"/>
        <w:rPr>
          <w:sz w:val="20"/>
          <w:szCs w:val="20"/>
          <w:color w:val="auto"/>
        </w:rPr>
      </w:pPr>
    </w:p>
    <w:p>
      <w:pPr>
        <w:ind w:right="8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Hardship</w:t>
      </w:r>
      <w:r>
        <w:rPr>
          <w:rFonts w:ascii="Times New Roman" w:cs="Times New Roman" w:eastAsia="Times New Roman" w:hAnsi="Times New Roman"/>
          <w:sz w:val="22"/>
          <w:szCs w:val="22"/>
          <w:color w:val="auto"/>
        </w:rPr>
        <w:t>. Notwithstanding the terms of an Initial Deferral Election or Subsequent Deferral Election, if, at the Participant’s request, the Administrator determines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1422" w:right="359" w:bottom="1440" w:gutter="0" w:footer="0" w:header="0"/>
        </w:sectPr>
      </w:pPr>
    </w:p>
    <w:bookmarkStart w:id="234" w:name="page235"/>
    <w:bookmarkEnd w:id="234"/>
    <w:p>
      <w:pPr>
        <w:ind w:right="40"/>
        <w:spacing w:after="0" w:line="271" w:lineRule="auto"/>
        <w:rPr>
          <w:sz w:val="20"/>
          <w:szCs w:val="20"/>
          <w:color w:val="auto"/>
        </w:rPr>
      </w:pPr>
      <w:r>
        <w:rPr>
          <w:rFonts w:ascii="Times New Roman" w:cs="Times New Roman" w:eastAsia="Times New Roman" w:hAnsi="Times New Roman"/>
          <w:sz w:val="22"/>
          <w:szCs w:val="22"/>
          <w:color w:val="auto"/>
        </w:rPr>
        <w:t>the Participant has incurred a Hardship, the Board may, in its discretion, authorize the immediate distribution of all or any portion of the Participant’s Account.</w:t>
      </w:r>
    </w:p>
    <w:p>
      <w:pPr>
        <w:spacing w:after="0" w:line="158" w:lineRule="exact"/>
        <w:rPr>
          <w:sz w:val="20"/>
          <w:szCs w:val="20"/>
          <w:color w:val="auto"/>
        </w:rPr>
      </w:pPr>
    </w:p>
    <w:p>
      <w:pPr>
        <w:ind w:right="24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Other Acceleration Events</w:t>
      </w:r>
      <w:r>
        <w:rPr>
          <w:rFonts w:ascii="Times New Roman" w:cs="Times New Roman" w:eastAsia="Times New Roman" w:hAnsi="Times New Roman"/>
          <w:sz w:val="22"/>
          <w:szCs w:val="22"/>
          <w:color w:val="auto"/>
        </w:rPr>
        <w:t>. To the extent permitted by Section 409A, notwithstanding the terms of an Initial Deferral Election or Subsequent Deferral Election, distribution of all or part of a Participant’s Account may be made:</w:t>
      </w:r>
    </w:p>
    <w:p>
      <w:pPr>
        <w:spacing w:after="0" w:line="144" w:lineRule="exact"/>
        <w:rPr>
          <w:sz w:val="20"/>
          <w:szCs w:val="20"/>
          <w:color w:val="auto"/>
        </w:rPr>
      </w:pPr>
    </w:p>
    <w:p>
      <w:pPr>
        <w:ind w:right="180" w:firstLine="1952"/>
        <w:spacing w:after="0" w:line="271" w:lineRule="auto"/>
        <w:tabs>
          <w:tab w:leader="none" w:pos="2666"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fulfill a domestic relations order (as defined in section 414(p)(1)(B) of the Code) to the extent permitted by Treasury Regulations section 1.409A-3(j)(4)(ii) or any successor provision of law).</w:t>
      </w:r>
    </w:p>
    <w:p>
      <w:pPr>
        <w:spacing w:after="0" w:line="157" w:lineRule="exact"/>
        <w:rPr>
          <w:rFonts w:ascii="Times New Roman" w:cs="Times New Roman" w:eastAsia="Times New Roman" w:hAnsi="Times New Roman"/>
          <w:sz w:val="22"/>
          <w:szCs w:val="22"/>
          <w:color w:val="auto"/>
        </w:rPr>
      </w:pPr>
    </w:p>
    <w:p>
      <w:pPr>
        <w:ind w:right="620" w:firstLine="1952"/>
        <w:spacing w:after="0" w:line="271" w:lineRule="auto"/>
        <w:tabs>
          <w:tab w:leader="none" w:pos="2678"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with laws relating to avoidance of conflicts of interest, as provided in Treasury Regulation section 1.409A-3(j)(4)(iii) (or any successor provision of law).</w:t>
      </w:r>
    </w:p>
    <w:p>
      <w:pPr>
        <w:spacing w:after="0" w:line="171" w:lineRule="exact"/>
        <w:rPr>
          <w:rFonts w:ascii="Times New Roman" w:cs="Times New Roman" w:eastAsia="Times New Roman" w:hAnsi="Times New Roman"/>
          <w:sz w:val="22"/>
          <w:szCs w:val="22"/>
          <w:color w:val="auto"/>
        </w:rPr>
      </w:pPr>
    </w:p>
    <w:p>
      <w:pPr>
        <w:ind w:left="2680" w:hanging="728"/>
        <w:spacing w:after="0"/>
        <w:tabs>
          <w:tab w:leader="none" w:pos="2680"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employment taxes to the extent permitted by Treasury Regulation section 1.409A-3(j)(4)</w:t>
      </w:r>
    </w:p>
    <w:p>
      <w:pPr>
        <w:spacing w:after="0" w:line="2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any successor provision of law).</w:t>
      </w:r>
    </w:p>
    <w:p>
      <w:pPr>
        <w:spacing w:after="0" w:line="195" w:lineRule="exact"/>
        <w:rPr>
          <w:rFonts w:ascii="Times New Roman" w:cs="Times New Roman" w:eastAsia="Times New Roman" w:hAnsi="Times New Roman"/>
          <w:sz w:val="22"/>
          <w:szCs w:val="22"/>
          <w:color w:val="auto"/>
        </w:rPr>
      </w:pPr>
    </w:p>
    <w:p>
      <w:pPr>
        <w:ind w:right="500" w:firstLine="1952"/>
        <w:spacing w:after="0" w:line="295" w:lineRule="auto"/>
        <w:tabs>
          <w:tab w:leader="none" w:pos="2682"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recognition of income as the result of a failure to comply with Section 409A, to the extent permitted by Treasury Regulation section 1.409A-3(j)(4)(vii) (or any successor provision of law).</w:t>
      </w:r>
    </w:p>
    <w:p>
      <w:pPr>
        <w:spacing w:after="0" w:line="135" w:lineRule="exact"/>
        <w:rPr>
          <w:rFonts w:ascii="Times New Roman" w:cs="Times New Roman" w:eastAsia="Times New Roman" w:hAnsi="Times New Roman"/>
          <w:sz w:val="21"/>
          <w:szCs w:val="21"/>
          <w:color w:val="auto"/>
        </w:rPr>
      </w:pPr>
    </w:p>
    <w:p>
      <w:pPr>
        <w:ind w:right="60" w:firstLine="1952"/>
        <w:spacing w:after="0" w:line="271" w:lineRule="auto"/>
        <w:tabs>
          <w:tab w:leader="none" w:pos="2666"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state, local or foreign taxes to the extent permitted by Treasury Regulation section 1.409A-3(j)(4)(xi) (or any successor provision of law).</w:t>
      </w:r>
    </w:p>
    <w:p>
      <w:pPr>
        <w:spacing w:after="0" w:line="171" w:lineRule="exact"/>
        <w:rPr>
          <w:rFonts w:ascii="Times New Roman" w:cs="Times New Roman" w:eastAsia="Times New Roman" w:hAnsi="Times New Roman"/>
          <w:sz w:val="22"/>
          <w:szCs w:val="22"/>
          <w:color w:val="auto"/>
        </w:rPr>
      </w:pPr>
    </w:p>
    <w:p>
      <w:pPr>
        <w:jc w:val="both"/>
        <w:ind w:right="100" w:firstLine="1952"/>
        <w:spacing w:after="0" w:line="257" w:lineRule="auto"/>
        <w:tabs>
          <w:tab w:leader="none" w:pos="2646"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72" w:lineRule="exact"/>
        <w:rPr>
          <w:rFonts w:ascii="Times New Roman" w:cs="Times New Roman" w:eastAsia="Times New Roman" w:hAnsi="Times New Roman"/>
          <w:sz w:val="22"/>
          <w:szCs w:val="22"/>
          <w:color w:val="auto"/>
        </w:rPr>
      </w:pPr>
    </w:p>
    <w:p>
      <w:pPr>
        <w:ind w:right="840" w:firstLine="1952"/>
        <w:spacing w:after="0" w:line="271" w:lineRule="auto"/>
        <w:tabs>
          <w:tab w:leader="none" w:pos="2682"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bona fide dispute as to a Participant’s right to payment, to the extent permitted by Treasury Regulation section 1.409A-3(j)(4)(xiv) (or any successor provision of law).</w:t>
      </w:r>
    </w:p>
    <w:p>
      <w:pPr>
        <w:spacing w:after="0" w:line="171" w:lineRule="exact"/>
        <w:rPr>
          <w:sz w:val="20"/>
          <w:szCs w:val="20"/>
          <w:color w:val="auto"/>
        </w:rPr>
      </w:pPr>
    </w:p>
    <w:p>
      <w:pPr>
        <w:ind w:firstLine="1296"/>
        <w:spacing w:after="0" w:line="265"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Clawbacks</w:t>
      </w:r>
      <w:r>
        <w:rPr>
          <w:rFonts w:ascii="Times New Roman" w:cs="Times New Roman" w:eastAsia="Times New Roman" w:hAnsi="Times New Roman"/>
          <w:sz w:val="21"/>
          <w:szCs w:val="21"/>
          <w:color w:val="auto"/>
        </w:rPr>
        <w:t>. Notwithstanding anything to the contrary contained herein, all amounts deferred under the Plan, including all amounts held in any Account (including any RSU Account) and all Deferred Stock Units, and any earnings credited thereto,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require reimbursement or provide for the forfeiture of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ARTICLE 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INTERPRETATION</w:t>
      </w:r>
    </w:p>
    <w:p>
      <w:pPr>
        <w:spacing w:after="0" w:line="224" w:lineRule="exact"/>
        <w:rPr>
          <w:sz w:val="20"/>
          <w:szCs w:val="20"/>
          <w:color w:val="auto"/>
        </w:rPr>
      </w:pPr>
    </w:p>
    <w:p>
      <w:pPr>
        <w:jc w:val="both"/>
        <w:ind w:right="32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Authority of Administrator</w:t>
      </w:r>
      <w:r>
        <w:rPr>
          <w:rFonts w:ascii="Times New Roman" w:cs="Times New Roman" w:eastAsia="Times New Roman" w:hAnsi="Times New Roman"/>
          <w:sz w:val="22"/>
          <w:szCs w:val="22"/>
          <w:color w:val="auto"/>
        </w:rPr>
        <w:t>. The Administrator shall have full and exclusive authority to construe, interpret and administer this Plan and the Administrator’s construction and interpretation thereof shall be binding and conclusive on all persons for all purposes.</w:t>
      </w:r>
    </w:p>
    <w:p>
      <w:pPr>
        <w:spacing w:after="0" w:line="167"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An Applicant may file a claim for benefits with the Administrator on a form supplied by the Administrator. If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 wholly or partially denies a claim, the Administrator shall provide the Applicant with a written notice stating:</w:t>
      </w:r>
    </w:p>
    <w:p>
      <w:pPr>
        <w:spacing w:after="0" w:line="207" w:lineRule="exact"/>
        <w:rPr>
          <w:sz w:val="20"/>
          <w:szCs w:val="20"/>
          <w:color w:val="auto"/>
        </w:rPr>
      </w:pPr>
    </w:p>
    <w:p>
      <w:pPr>
        <w:ind w:left="2400" w:hanging="448"/>
        <w:spacing w:after="0"/>
        <w:tabs>
          <w:tab w:leader="none" w:pos="24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pertinent Plan provisions on which the denial is based;</w:t>
      </w:r>
    </w:p>
    <w:p>
      <w:pPr>
        <w:spacing w:after="0" w:line="219" w:lineRule="exact"/>
        <w:rPr>
          <w:rFonts w:ascii="Times New Roman" w:cs="Times New Roman" w:eastAsia="Times New Roman" w:hAnsi="Times New Roman"/>
          <w:sz w:val="22"/>
          <w:szCs w:val="22"/>
          <w:color w:val="auto"/>
        </w:rPr>
      </w:pPr>
    </w:p>
    <w:p>
      <w:pPr>
        <w:ind w:right="460" w:firstLine="1952"/>
        <w:spacing w:after="0" w:line="271" w:lineRule="auto"/>
        <w:tabs>
          <w:tab w:leader="none" w:pos="2388"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Applicant to perfect the claim and an explanation of why such material or information is necessary; and</w:t>
      </w:r>
    </w:p>
    <w:p>
      <w:pPr>
        <w:spacing w:after="0" w:line="157"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information as to the steps to be taken in order to submit a claim for review.</w:t>
      </w:r>
    </w:p>
    <w:p>
      <w:pPr>
        <w:spacing w:after="0" w:line="23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73"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94" w:lineRule="exact"/>
        <w:rPr>
          <w:sz w:val="20"/>
          <w:szCs w:val="20"/>
          <w:color w:val="auto"/>
        </w:rPr>
      </w:pPr>
    </w:p>
    <w:p>
      <w:pPr>
        <w:ind w:right="480" w:firstLine="1296"/>
        <w:spacing w:after="0" w:line="271" w:lineRule="auto"/>
        <w:rPr>
          <w:sz w:val="20"/>
          <w:szCs w:val="20"/>
          <w:color w:val="auto"/>
        </w:rPr>
      </w:pPr>
      <w:r>
        <w:rPr>
          <w:rFonts w:ascii="Times New Roman" w:cs="Times New Roman" w:eastAsia="Times New Roman" w:hAnsi="Times New Roman"/>
          <w:sz w:val="22"/>
          <w:szCs w:val="22"/>
          <w:color w:val="auto"/>
        </w:rPr>
        <w:t>It is intended that the claims procedures of this Plan be administered in accordance with the claims procedure regulations of the Department of Labor set forth in 29 CFR § 2560.503-1.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18" w:right="339" w:bottom="1440" w:gutter="0" w:footer="0" w:header="0"/>
        </w:sectPr>
      </w:pPr>
    </w:p>
    <w:bookmarkStart w:id="236" w:name="page237"/>
    <w:bookmarkEnd w:id="236"/>
    <w:p>
      <w:pPr>
        <w:ind w:left="1300"/>
        <w:spacing w:after="0"/>
        <w:rPr>
          <w:sz w:val="20"/>
          <w:szCs w:val="20"/>
          <w:color w:val="auto"/>
        </w:rPr>
      </w:pPr>
      <w:r>
        <w:rPr>
          <w:rFonts w:ascii="Times New Roman" w:cs="Times New Roman" w:eastAsia="Times New Roman" w:hAnsi="Times New Roman"/>
          <w:sz w:val="22"/>
          <w:szCs w:val="22"/>
          <w:color w:val="auto"/>
        </w:rPr>
        <w:t>Claims for benefits under the Plan must be filed with the Administrator at the following address: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1701 John F. Kennedy Boulevard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Chief Legal Officer &amp; Secretary</w:t>
      </w:r>
    </w:p>
    <w:p>
      <w:pPr>
        <w:spacing w:after="0" w:line="192" w:lineRule="exact"/>
        <w:rPr>
          <w:sz w:val="20"/>
          <w:szCs w:val="20"/>
          <w:color w:val="auto"/>
        </w:rPr>
      </w:pPr>
    </w:p>
    <w:p>
      <w:pPr>
        <w:ind w:left="1300" w:right="3240" w:firstLine="1945"/>
        <w:spacing w:after="0" w:line="456" w:lineRule="auto"/>
        <w:rPr>
          <w:sz w:val="20"/>
          <w:szCs w:val="20"/>
          <w:color w:val="auto"/>
        </w:rPr>
      </w:pPr>
      <w:r>
        <w:rPr>
          <w:rFonts w:ascii="Times New Roman" w:cs="Times New Roman" w:eastAsia="Times New Roman" w:hAnsi="Times New Roman"/>
          <w:sz w:val="22"/>
          <w:szCs w:val="22"/>
          <w:b w:val="1"/>
          <w:bCs w:val="1"/>
          <w:color w:val="auto"/>
        </w:rPr>
        <w:t xml:space="preserve">ARTICLE 10 </w:t>
      </w:r>
      <w:r>
        <w:rPr>
          <w:rFonts w:ascii="Times New Roman" w:cs="Times New Roman" w:eastAsia="Times New Roman" w:hAnsi="Times New Roman"/>
          <w:sz w:val="22"/>
          <w:szCs w:val="22"/>
          <w:color w:val="auto"/>
        </w:rPr>
        <w:t>– AMENDMENT OR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Amendment or Termination</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right="200" w:firstLine="1944"/>
        <w:spacing w:after="0" w:line="257"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as otherwise provided by Section 10.2, the Company, by action of the Board or by action of the Administrator, shall have the right at any time, or from time to time, to amend or modify this Plan. The Company, by action of the Board, shall have the right to terminate this Plan at any time.</w:t>
      </w:r>
    </w:p>
    <w:p>
      <w:pPr>
        <w:spacing w:after="0" w:line="173" w:lineRule="exact"/>
        <w:rPr>
          <w:sz w:val="20"/>
          <w:szCs w:val="20"/>
          <w:color w:val="auto"/>
        </w:rPr>
      </w:pPr>
    </w:p>
    <w:p>
      <w:pPr>
        <w:ind w:right="20" w:firstLine="1944"/>
        <w:spacing w:after="0" w:line="268" w:lineRule="auto"/>
        <w:rPr>
          <w:sz w:val="20"/>
          <w:szCs w:val="20"/>
          <w:color w:val="auto"/>
        </w:rPr>
      </w:pPr>
      <w:r>
        <w:rPr>
          <w:rFonts w:ascii="Times New Roman" w:cs="Times New Roman" w:eastAsia="Times New Roman" w:hAnsi="Times New Roman"/>
          <w:sz w:val="21"/>
          <w:szCs w:val="21"/>
          <w:color w:val="auto"/>
        </w:rPr>
        <w:t xml:space="preserve">10.1.2. </w:t>
      </w:r>
      <w:r>
        <w:rPr>
          <w:rFonts w:ascii="Times New Roman" w:cs="Times New Roman" w:eastAsia="Times New Roman" w:hAnsi="Times New Roman"/>
          <w:sz w:val="21"/>
          <w:szCs w:val="21"/>
          <w:u w:val="single" w:color="auto"/>
          <w:color w:val="auto"/>
        </w:rPr>
        <w:t>Discretion to Provide for Distribution in Full Upon or Following a Change of Control</w:t>
      </w:r>
      <w:r>
        <w:rPr>
          <w:rFonts w:ascii="Times New Roman" w:cs="Times New Roman" w:eastAsia="Times New Roman" w:hAnsi="Times New Roman"/>
          <w:sz w:val="21"/>
          <w:szCs w:val="21"/>
          <w:color w:val="auto"/>
        </w:rPr>
        <w:t>. To the extent permitted by Section 409A, in connection with a Change of Control, and for the 12-month period following a Change of Control, the Administrator may exercise its discretion to terminate the Plan and, notwithstanding any other provision of the Plan or the terms of any Initial Deferral Election or Subsequent Deferral Election, distribute the Account balance of each Participant in full and thereby effect the revocation of any outstanding Initial Deferral Elections or Subsequent Deferral Elections.</w:t>
      </w:r>
    </w:p>
    <w:p>
      <w:pPr>
        <w:spacing w:after="0" w:line="164"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Amendment of Rate of Credited Earnings</w:t>
      </w:r>
      <w:r>
        <w:rPr>
          <w:rFonts w:ascii="Times New Roman" w:cs="Times New Roman" w:eastAsia="Times New Roman" w:hAnsi="Times New Roman"/>
          <w:sz w:val="22"/>
          <w:szCs w:val="22"/>
          <w:color w:val="auto"/>
        </w:rPr>
        <w:t>. No amendment shall change the Applicable Interest Rate with respect to the portion of a Participant’s Account that is attributable to an Initial Deferral Election or Subsequent Deferral Election made with respect to Compensation and filed with the Administrator before the date of adoption of such amendment by the Board or the Administrator without the consent of the Participant. For purposes of this Section 10.2, a Subsequent Deferral Election to defer the payment of part or all of an Account for an additional period after a previously-elected payment date (as described in Section 3.5) shall be treated as a separate Subsequent Deferral Election from any previous Initial Deferral Election or Subsequent Deferral Election with respect to such Account.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ARTICLE 11 </w:t>
      </w:r>
      <w:r>
        <w:rPr>
          <w:rFonts w:ascii="Times New Roman" w:cs="Times New Roman" w:eastAsia="Times New Roman" w:hAnsi="Times New Roman"/>
          <w:sz w:val="22"/>
          <w:szCs w:val="22"/>
          <w:color w:val="auto"/>
        </w:rPr>
        <w:t>– WITHHOLDING OF TAXES</w:t>
      </w:r>
    </w:p>
    <w:p>
      <w:pPr>
        <w:spacing w:after="0" w:line="237"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Whenever the Participating Company is required to credit deferred Compensation or Deferred Stock Units to the Account of a Participant, the Participating Company shall have the right to require the Participant to remit to the Participating Company an amount sufficient to satisfy any federal, state and local withholding tax requirements prior to the date on such deferred amounts shall be deemed credited to the Account of the Participant, or take any action whatever that it deems necessary to protect its interests with respect to tax liabilities. The Participating Company’s obligation to credit deferred Compensation to an Account or Deferred Stock Units to an RSU Account shall be conditioned on the Participant’s compliance,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237" w:name="page238"/>
    <w:bookmarkEnd w:id="237"/>
    <w:p>
      <w:pPr>
        <w:ind w:right="200"/>
        <w:spacing w:after="0" w:line="256" w:lineRule="auto"/>
        <w:rPr>
          <w:sz w:val="20"/>
          <w:szCs w:val="20"/>
          <w:color w:val="auto"/>
        </w:rPr>
      </w:pPr>
      <w:r>
        <w:rPr>
          <w:rFonts w:ascii="Times New Roman" w:cs="Times New Roman" w:eastAsia="Times New Roman" w:hAnsi="Times New Roman"/>
          <w:sz w:val="22"/>
          <w:szCs w:val="22"/>
          <w:color w:val="auto"/>
        </w:rPr>
        <w:t>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76"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Subject to the rules of Section 11.3, the Company shall be entitled, if necessary or desirable, to withhold the amount of any tax, charge, or assessment attributable to the grant of any Award, the occurrence of a Vesting Date with respect to any Award, or distribution of all or any part of a Participant’s Account. The Company shall not be required to deliver Shares pursuant to any Award or distribute a Participant’s Account until it has been indemnified to its satisfaction for any such tax, charge, or assessment.</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Payment of Tax Liabilities; Election to Withhold Shares or Pay Cash to Satisfy Tax Liability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60" w:firstLine="1944"/>
        <w:spacing w:after="0" w:line="263" w:lineRule="auto"/>
        <w:rPr>
          <w:sz w:val="20"/>
          <w:szCs w:val="20"/>
          <w:color w:val="auto"/>
        </w:rPr>
      </w:pPr>
      <w:r>
        <w:rPr>
          <w:rFonts w:ascii="Times New Roman" w:cs="Times New Roman" w:eastAsia="Times New Roman" w:hAnsi="Times New Roman"/>
          <w:sz w:val="21"/>
          <w:szCs w:val="21"/>
          <w:color w:val="auto"/>
        </w:rPr>
        <w:t>11.3.1. In connection with the distribution of a Participant’s RSU Account, or if, under the terms of an Award, a Participant’s rights with respect to Restricted Stock Units become free of a substantial risk of forfeiture as the result of the Participant’s satisfaction of the age and service conditions for retirement eligibility, and, as a result thereof, employment tax liabilities arise, the Company shall have the right to (A) require the Participant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Participant’s compliance, to the Company’s satisfaction, with any withholding requirement.</w:t>
      </w:r>
    </w:p>
    <w:p>
      <w:pPr>
        <w:spacing w:after="0" w:line="173" w:lineRule="exact"/>
        <w:rPr>
          <w:sz w:val="20"/>
          <w:szCs w:val="20"/>
          <w:color w:val="auto"/>
        </w:rPr>
      </w:pPr>
    </w:p>
    <w:p>
      <w:pPr>
        <w:ind w:firstLine="1944"/>
        <w:spacing w:after="0" w:line="247" w:lineRule="auto"/>
        <w:rPr>
          <w:sz w:val="20"/>
          <w:szCs w:val="20"/>
          <w:color w:val="auto"/>
        </w:rPr>
      </w:pPr>
      <w:r>
        <w:rPr>
          <w:rFonts w:ascii="Times New Roman" w:cs="Times New Roman" w:eastAsia="Times New Roman" w:hAnsi="Times New Roman"/>
          <w:sz w:val="22"/>
          <w:szCs w:val="22"/>
          <w:color w:val="auto"/>
        </w:rPr>
        <w:t>11.3.2. If part of a Participant’s Award is subject to an Initial Deferral Election or a Regular Deferral Election, or, under the terms of an Award, a Participant’s rights with respect to Restricted Stock Units become free of a substantial risk of forfeiture as the result of the satisfaction of a performance or service condition, or the Participant’s satisfaction of the age and service conditions for retirement eligibility, and, as a result thereof, employment tax liabilities arise, then, except to the extent the Participant affirmatively elects otherwise as part of the Initial Deferral Election or Regular Deferral Election, the Participant shall be required to remit to the Company an amount sufficient to satisfy any federal, state and/or local withholding tax requirements. As part of the Participant’s Initial Deferral Election or Regular Deferral Election, the Participant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Section 11.3.2 shall be deemed allocated and offset against the number of Restricted Stock Units that may become subject to vesting under the terms of the Award on a basis pro rata to the Restricted Stock Units that give rise to the employment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20"/>
          </w:cols>
          <w:pgMar w:left="320" w:top="1422" w:right="359" w:bottom="1440" w:gutter="0" w:footer="0" w:header="0"/>
        </w:sectPr>
      </w:pPr>
    </w:p>
    <w:bookmarkStart w:id="238" w:name="page239"/>
    <w:bookmarkEnd w:id="238"/>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 xml:space="preserve">ARTICLE 12 </w:t>
      </w:r>
      <w:r>
        <w:rPr>
          <w:rFonts w:ascii="Times New Roman" w:cs="Times New Roman" w:eastAsia="Times New Roman" w:hAnsi="Times New Roman"/>
          <w:sz w:val="22"/>
          <w:szCs w:val="22"/>
          <w:color w:val="auto"/>
        </w:rPr>
        <w:t>– MISCELLANEOUS PROVISIONS</w:t>
      </w:r>
    </w:p>
    <w:p>
      <w:pPr>
        <w:spacing w:after="0" w:line="224" w:lineRule="exact"/>
        <w:rPr>
          <w:sz w:val="20"/>
          <w:szCs w:val="20"/>
          <w:color w:val="auto"/>
        </w:rPr>
      </w:pPr>
    </w:p>
    <w:p>
      <w:pPr>
        <w:ind w:right="26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contained herein shall be construed as conferring upon any Participant the right to remain in service as a Non-Employee Director or Director Emeritus or in the employment of a Participating Company as an executive or in any other capacity.</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Expenses of Plan</w:t>
      </w:r>
      <w:r>
        <w:rPr>
          <w:rFonts w:ascii="Times New Roman" w:cs="Times New Roman" w:eastAsia="Times New Roman" w:hAnsi="Times New Roman"/>
          <w:sz w:val="22"/>
          <w:szCs w:val="22"/>
          <w:color w:val="auto"/>
        </w:rPr>
        <w:t>. All expenses of the Plan shall be paid by the Participating Companies.</w:t>
      </w:r>
    </w:p>
    <w:p>
      <w:pPr>
        <w:spacing w:after="0" w:line="220"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 as the context may require.</w:t>
      </w:r>
    </w:p>
    <w:p>
      <w:pPr>
        <w:spacing w:after="0" w:line="186" w:lineRule="exact"/>
        <w:rPr>
          <w:sz w:val="20"/>
          <w:szCs w:val="20"/>
          <w:color w:val="auto"/>
        </w:rPr>
      </w:pPr>
    </w:p>
    <w:p>
      <w:pPr>
        <w:ind w:right="180" w:firstLine="1296"/>
        <w:spacing w:after="0" w:line="275" w:lineRule="auto"/>
        <w:rPr>
          <w:sz w:val="20"/>
          <w:szCs w:val="20"/>
          <w:color w:val="auto"/>
        </w:rPr>
      </w:pPr>
      <w:r>
        <w:rPr>
          <w:rFonts w:ascii="Times New Roman" w:cs="Times New Roman" w:eastAsia="Times New Roman" w:hAnsi="Times New Roman"/>
          <w:sz w:val="21"/>
          <w:szCs w:val="21"/>
          <w:color w:val="auto"/>
        </w:rPr>
        <w:t xml:space="preserve">12.4. </w:t>
      </w:r>
      <w:r>
        <w:rPr>
          <w:rFonts w:ascii="Times New Roman" w:cs="Times New Roman" w:eastAsia="Times New Roman" w:hAnsi="Times New Roman"/>
          <w:sz w:val="21"/>
          <w:szCs w:val="21"/>
          <w:u w:val="single" w:color="auto"/>
          <w:color w:val="auto"/>
        </w:rPr>
        <w:t>Law Governing Construction</w:t>
      </w:r>
      <w:r>
        <w:rPr>
          <w:rFonts w:ascii="Times New Roman" w:cs="Times New Roman" w:eastAsia="Times New Roman" w:hAnsi="Times New Roman"/>
          <w:sz w:val="21"/>
          <w:szCs w:val="21"/>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55" w:lineRule="exact"/>
        <w:rPr>
          <w:sz w:val="20"/>
          <w:szCs w:val="20"/>
          <w:color w:val="auto"/>
        </w:rPr>
      </w:pPr>
    </w:p>
    <w:p>
      <w:pPr>
        <w:ind w:right="1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Headings Not a Part Hereof</w:t>
      </w:r>
      <w:r>
        <w:rPr>
          <w:rFonts w:ascii="Times New Roman" w:cs="Times New Roman" w:eastAsia="Times New Roman" w:hAnsi="Times New Roman"/>
          <w:sz w:val="22"/>
          <w:szCs w:val="22"/>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86" w:lineRule="exact"/>
        <w:rPr>
          <w:sz w:val="20"/>
          <w:szCs w:val="20"/>
          <w:color w:val="auto"/>
        </w:rPr>
      </w:pPr>
    </w:p>
    <w:p>
      <w:pPr>
        <w:jc w:val="both"/>
        <w:ind w:right="14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Severability of Provisions</w:t>
      </w:r>
      <w:r>
        <w:rPr>
          <w:rFonts w:ascii="Times New Roman" w:cs="Times New Roman" w:eastAsia="Times New Roman" w:hAnsi="Times New Roman"/>
          <w:sz w:val="22"/>
          <w:szCs w:val="22"/>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13 – EFFECTIVE DATE</w:t>
      </w:r>
    </w:p>
    <w:p>
      <w:pPr>
        <w:spacing w:after="0" w:line="22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original effective date of the Plan is January 1, 2005. The amended and restated Plan document approved and adopted on the Restatement Effective Date shall be effective as of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160"/>
          </w:cols>
          <w:pgMar w:left="320" w:top="1418" w:right="41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220"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b w:val="1"/>
          <w:bCs w:val="1"/>
          <w:color w:val="auto"/>
        </w:rPr>
        <w:t>2002 RESTRICTED STOCK PLAN</w:t>
      </w:r>
    </w:p>
    <w:p>
      <w:pPr>
        <w:spacing w:after="0" w:line="220"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b w:val="1"/>
          <w:bCs w:val="1"/>
          <w:color w:val="auto"/>
        </w:rPr>
        <w:t>(As Amended and Restated, Effective May 14, 2024)</w:t>
      </w:r>
    </w:p>
    <w:p>
      <w:pPr>
        <w:spacing w:after="0" w:line="206" w:lineRule="exact"/>
        <w:rPr>
          <w:sz w:val="20"/>
          <w:szCs w:val="20"/>
          <w:color w:val="auto"/>
        </w:rPr>
      </w:pPr>
    </w:p>
    <w:p>
      <w:pPr>
        <w:ind w:left="644" w:hanging="644"/>
        <w:spacing w:after="0"/>
        <w:tabs>
          <w:tab w:leader="none" w:pos="644"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BACKGROUND AND PURPOSE</w:t>
      </w:r>
    </w:p>
    <w:p>
      <w:pPr>
        <w:spacing w:after="0" w:line="183" w:lineRule="exact"/>
        <w:rPr>
          <w:rFonts w:ascii="Times New Roman" w:cs="Times New Roman" w:eastAsia="Times New Roman" w:hAnsi="Times New Roman"/>
          <w:sz w:val="22"/>
          <w:szCs w:val="22"/>
          <w:b w:val="1"/>
          <w:bCs w:val="1"/>
          <w:color w:val="auto"/>
        </w:rPr>
      </w:pPr>
    </w:p>
    <w:p>
      <w:pPr>
        <w:ind w:left="4" w:right="260" w:firstLine="644"/>
        <w:spacing w:after="0" w:line="236" w:lineRule="auto"/>
        <w:tabs>
          <w:tab w:leader="none" w:pos="1297"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Background</w:t>
      </w:r>
      <w:r>
        <w:rPr>
          <w:rFonts w:ascii="Times New Roman" w:cs="Times New Roman" w:eastAsia="Times New Roman" w:hAnsi="Times New Roman"/>
          <w:sz w:val="22"/>
          <w:szCs w:val="22"/>
          <w:color w:val="auto"/>
        </w:rPr>
        <w:t>. COMCAST CORPORATION, a Pennsylvania corporation, hereby amends and restates the Comcast Corporation 2002 Restricted Stock Plan (the “Plan”) effective May 14, 2024.</w:t>
      </w:r>
    </w:p>
    <w:p>
      <w:pPr>
        <w:spacing w:after="0" w:line="150" w:lineRule="exact"/>
        <w:rPr>
          <w:rFonts w:ascii="Times New Roman" w:cs="Times New Roman" w:eastAsia="Times New Roman" w:hAnsi="Times New Roman"/>
          <w:sz w:val="22"/>
          <w:szCs w:val="22"/>
          <w:color w:val="auto"/>
        </w:rPr>
      </w:pPr>
    </w:p>
    <w:p>
      <w:pPr>
        <w:ind w:left="4" w:right="420" w:firstLine="644"/>
        <w:spacing w:after="0" w:line="225" w:lineRule="auto"/>
        <w:tabs>
          <w:tab w:leader="none" w:pos="1295"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52" w:lineRule="exact"/>
        <w:rPr>
          <w:rFonts w:ascii="Times New Roman" w:cs="Times New Roman" w:eastAsia="Times New Roman" w:hAnsi="Times New Roman"/>
          <w:sz w:val="22"/>
          <w:szCs w:val="22"/>
          <w:color w:val="auto"/>
        </w:rPr>
      </w:pPr>
    </w:p>
    <w:p>
      <w:pPr>
        <w:ind w:left="4" w:right="120" w:firstLine="644"/>
        <w:spacing w:after="0" w:line="211" w:lineRule="auto"/>
        <w:tabs>
          <w:tab w:leader="none" w:pos="1297"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 of the Amendment; Credits Affected</w:t>
      </w:r>
      <w:r>
        <w:rPr>
          <w:rFonts w:ascii="Times New Roman" w:cs="Times New Roman" w:eastAsia="Times New Roman" w:hAnsi="Times New Roman"/>
          <w:sz w:val="22"/>
          <w:szCs w:val="22"/>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51" w:lineRule="exact"/>
        <w:rPr>
          <w:rFonts w:ascii="Times New Roman" w:cs="Times New Roman" w:eastAsia="Times New Roman" w:hAnsi="Times New Roman"/>
          <w:sz w:val="22"/>
          <w:szCs w:val="22"/>
          <w:color w:val="auto"/>
        </w:rPr>
      </w:pPr>
    </w:p>
    <w:p>
      <w:pPr>
        <w:jc w:val="both"/>
        <w:ind w:left="4" w:right="340" w:firstLine="644"/>
        <w:spacing w:after="0" w:line="220" w:lineRule="auto"/>
        <w:tabs>
          <w:tab w:leader="none" w:pos="1295"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Right to Amend to Comply with Section 409A</w:t>
      </w:r>
      <w:r>
        <w:rPr>
          <w:rFonts w:ascii="Times New Roman" w:cs="Times New Roman" w:eastAsia="Times New Roman" w:hAnsi="Times New Roman"/>
          <w:sz w:val="22"/>
          <w:szCs w:val="22"/>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52" w:lineRule="exact"/>
        <w:rPr>
          <w:rFonts w:ascii="Times New Roman" w:cs="Times New Roman" w:eastAsia="Times New Roman" w:hAnsi="Times New Roman"/>
          <w:sz w:val="22"/>
          <w:szCs w:val="22"/>
          <w:color w:val="auto"/>
        </w:rPr>
      </w:pPr>
    </w:p>
    <w:p>
      <w:pPr>
        <w:ind w:left="4" w:right="300" w:firstLine="644"/>
        <w:spacing w:after="0" w:line="213" w:lineRule="auto"/>
        <w:tabs>
          <w:tab w:leader="none" w:pos="1297"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Provisions of Plan Unfunded and Limited to Select Group of Management or Highly Compensated Employees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156" w:lineRule="exact"/>
        <w:rPr>
          <w:rFonts w:ascii="Times New Roman" w:cs="Times New Roman" w:eastAsia="Times New Roman" w:hAnsi="Times New Roman"/>
          <w:sz w:val="22"/>
          <w:szCs w:val="22"/>
          <w:color w:val="auto"/>
        </w:rPr>
      </w:pPr>
    </w:p>
    <w:p>
      <w:pPr>
        <w:jc w:val="both"/>
        <w:ind w:left="4" w:right="420" w:firstLine="644"/>
        <w:spacing w:after="0" w:line="225" w:lineRule="auto"/>
        <w:tabs>
          <w:tab w:leader="none" w:pos="1354"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 to Written Forms, Elections and Notices</w:t>
      </w:r>
      <w:r>
        <w:rPr>
          <w:rFonts w:ascii="Times New Roman" w:cs="Times New Roman" w:eastAsia="Times New Roman" w:hAnsi="Times New Roman"/>
          <w:sz w:val="22"/>
          <w:szCs w:val="22"/>
          <w:color w:val="auto"/>
        </w:rPr>
        <w:t>. Any action under the Plan that requires a written form, election, notice or other action shall be treated as completed if taken via electronic or other means, to the extent authorized by the Committee.</w:t>
      </w:r>
    </w:p>
    <w:p>
      <w:pPr>
        <w:sectPr>
          <w:pgSz w:w="11900" w:h="16838" w:orient="portrait"/>
          <w:cols w:equalWidth="0" w:num="1">
            <w:col w:w="10584"/>
          </w:cols>
          <w:pgMar w:left="976" w:top="122" w:right="339" w:bottom="1440" w:gutter="0" w:footer="0" w:header="0"/>
        </w:sectPr>
      </w:pPr>
    </w:p>
    <w:bookmarkStart w:id="240" w:name="page241"/>
    <w:bookmarkEnd w:id="240"/>
    <w:p>
      <w:pPr>
        <w:ind w:left="644" w:hanging="644"/>
        <w:spacing w:after="0"/>
        <w:tabs>
          <w:tab w:leader="none" w:pos="644"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rFonts w:ascii="Times New Roman" w:cs="Times New Roman" w:eastAsia="Times New Roman" w:hAnsi="Times New Roman"/>
          <w:sz w:val="22"/>
          <w:szCs w:val="22"/>
          <w:b w:val="1"/>
          <w:bCs w:val="1"/>
          <w:color w:val="auto"/>
        </w:rPr>
      </w:pPr>
    </w:p>
    <w:p>
      <w:pPr>
        <w:ind w:left="1284" w:hanging="636"/>
        <w:spacing w:after="0"/>
        <w:tabs>
          <w:tab w:leader="none" w:pos="1284"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4" w:firstLine="644"/>
        <w:spacing w:after="0" w:line="217" w:lineRule="auto"/>
        <w:tabs>
          <w:tab w:leader="none" w:pos="1295"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amounts credited to the Income Fund or an Other Investment Fund are credited with income, gains, and losses as provided in Article 8, reduced by distributions in accordance with the Plan.</w:t>
      </w:r>
    </w:p>
    <w:p>
      <w:pPr>
        <w:spacing w:after="0" w:line="152"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Active Grantee</w:t>
      </w:r>
      <w:r>
        <w:rPr>
          <w:rFonts w:ascii="Times New Roman" w:cs="Times New Roman" w:eastAsia="Times New Roman" w:hAnsi="Times New Roman"/>
          <w:sz w:val="22"/>
          <w:szCs w:val="22"/>
          <w:color w:val="auto"/>
        </w:rPr>
        <w:t>” means each Grantee who is actively employed by a Participating Company.</w:t>
      </w:r>
    </w:p>
    <w:p>
      <w:pPr>
        <w:spacing w:after="0" w:line="179" w:lineRule="exact"/>
        <w:rPr>
          <w:rFonts w:ascii="Times New Roman" w:cs="Times New Roman" w:eastAsia="Times New Roman" w:hAnsi="Times New Roman"/>
          <w:sz w:val="22"/>
          <w:szCs w:val="22"/>
          <w:color w:val="auto"/>
        </w:rPr>
      </w:pPr>
    </w:p>
    <w:p>
      <w:pPr>
        <w:ind w:left="4" w:right="120" w:firstLine="644"/>
        <w:spacing w:after="0" w:line="217" w:lineRule="auto"/>
        <w:tabs>
          <w:tab w:leader="none" w:pos="1295"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52" w:lineRule="exact"/>
        <w:rPr>
          <w:rFonts w:ascii="Times New Roman" w:cs="Times New Roman" w:eastAsia="Times New Roman" w:hAnsi="Times New Roman"/>
          <w:sz w:val="22"/>
          <w:szCs w:val="22"/>
          <w:color w:val="auto"/>
        </w:rPr>
      </w:pPr>
    </w:p>
    <w:p>
      <w:pPr>
        <w:ind w:left="4" w:right="520" w:firstLine="644"/>
        <w:spacing w:after="0" w:line="236" w:lineRule="auto"/>
        <w:tabs>
          <w:tab w:leader="none" w:pos="1297"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Rate of Pay</w:t>
      </w:r>
      <w:r>
        <w:rPr>
          <w:rFonts w:ascii="Times New Roman" w:cs="Times New Roman" w:eastAsia="Times New Roman" w:hAnsi="Times New Roman"/>
          <w:sz w:val="22"/>
          <w:szCs w:val="22"/>
          <w:color w:val="auto"/>
        </w:rPr>
        <w:t>” means, as of any date, an employee’s annualized base pay rate. An employee’s Annual Rate of Pay shall not include sales commissions or other similar payments or awards.</w:t>
      </w:r>
    </w:p>
    <w:p>
      <w:pPr>
        <w:spacing w:after="0" w:line="150"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Interest Rate</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ind w:left="1924" w:hanging="628"/>
        <w:spacing w:after="0"/>
        <w:tabs>
          <w:tab w:leader="none" w:pos="1924" w:val="left"/>
        </w:tabs>
        <w:numPr>
          <w:ilvl w:val="2"/>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Paragraph 2(f)(ii):</w:t>
      </w:r>
    </w:p>
    <w:p>
      <w:pPr>
        <w:spacing w:after="0" w:line="179" w:lineRule="exact"/>
        <w:rPr>
          <w:rFonts w:ascii="Times New Roman" w:cs="Times New Roman" w:eastAsia="Times New Roman" w:hAnsi="Times New Roman"/>
          <w:sz w:val="22"/>
          <w:szCs w:val="22"/>
          <w:color w:val="auto"/>
        </w:rPr>
      </w:pPr>
    </w:p>
    <w:p>
      <w:pPr>
        <w:ind w:left="2584" w:hanging="640"/>
        <w:spacing w:after="0" w:line="224" w:lineRule="auto"/>
        <w:tabs>
          <w:tab w:leader="none" w:pos="2573" w:val="left"/>
        </w:tabs>
        <w:numPr>
          <w:ilvl w:val="3"/>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Interest Rate with respect to amounts credited to the Income Fund that are attributable to (1) dividends and other distributions credited with respect to Deferred Stock Units that are deferred pursuant to Initial Deferral Elections made before January 1, 2010 and (2) Diversification Elections and Special Diversification Elections made before January 1, 2010 shall be the interest rate that, when compounded annually pursuant to rules established by the Committee from time to time, is mathematically equivalent to 8% (0.08) per annum, or such other interest rate established by the Committee from time to time.</w:t>
      </w:r>
    </w:p>
    <w:p>
      <w:pPr>
        <w:spacing w:after="0" w:line="150" w:lineRule="exact"/>
        <w:rPr>
          <w:rFonts w:ascii="Times New Roman" w:cs="Times New Roman" w:eastAsia="Times New Roman" w:hAnsi="Times New Roman"/>
          <w:sz w:val="21"/>
          <w:szCs w:val="21"/>
          <w:color w:val="auto"/>
        </w:rPr>
      </w:pPr>
    </w:p>
    <w:p>
      <w:pPr>
        <w:ind w:left="2584" w:right="180" w:hanging="640"/>
        <w:spacing w:after="0" w:line="236" w:lineRule="auto"/>
        <w:tabs>
          <w:tab w:leader="none" w:pos="2575" w:val="left"/>
        </w:tabs>
        <w:numPr>
          <w:ilvl w:val="3"/>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Interest Rate with respect to amounts credited to the Income Fund that are attributable to:</w:t>
      </w:r>
    </w:p>
    <w:p>
      <w:pPr>
        <w:spacing w:after="0" w:line="150" w:lineRule="exact"/>
        <w:rPr>
          <w:rFonts w:ascii="Times New Roman" w:cs="Times New Roman" w:eastAsia="Times New Roman" w:hAnsi="Times New Roman"/>
          <w:sz w:val="22"/>
          <w:szCs w:val="22"/>
          <w:color w:val="auto"/>
        </w:rPr>
      </w:pPr>
    </w:p>
    <w:p>
      <w:pPr>
        <w:ind w:left="1944" w:right="120" w:firstLine="648"/>
        <w:spacing w:after="0" w:line="225" w:lineRule="auto"/>
        <w:tabs>
          <w:tab w:leader="none" w:pos="3235" w:val="left"/>
        </w:tabs>
        <w:numPr>
          <w:ilvl w:val="4"/>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and other distributions credited with respect to Deferred Stock Units that are deferred pursuant to Initial Deferral Elections made on or after January 1, 2010 and before January 1, 2014; and</w:t>
      </w:r>
    </w:p>
    <w:p>
      <w:pPr>
        <w:spacing w:after="0" w:line="152" w:lineRule="exact"/>
        <w:rPr>
          <w:rFonts w:ascii="Times New Roman" w:cs="Times New Roman" w:eastAsia="Times New Roman" w:hAnsi="Times New Roman"/>
          <w:sz w:val="22"/>
          <w:szCs w:val="22"/>
          <w:color w:val="auto"/>
        </w:rPr>
      </w:pPr>
    </w:p>
    <w:p>
      <w:pPr>
        <w:ind w:left="1944" w:right="420" w:firstLine="648"/>
        <w:spacing w:after="0" w:line="236" w:lineRule="auto"/>
        <w:tabs>
          <w:tab w:leader="none" w:pos="3235" w:val="left"/>
        </w:tabs>
        <w:numPr>
          <w:ilvl w:val="4"/>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Diversification Elections and Special Diversification Elections made on or after January 1, 2010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44"/>
          </w:cols>
          <w:pgMar w:left="976" w:top="1391" w:right="379" w:bottom="1440" w:gutter="0" w:footer="0" w:header="0"/>
        </w:sectPr>
      </w:pPr>
    </w:p>
    <w:bookmarkStart w:id="241" w:name="page242"/>
    <w:bookmarkEnd w:id="241"/>
    <w:p>
      <w:pPr>
        <w:ind w:left="1480" w:right="600"/>
        <w:spacing w:after="0" w:line="236" w:lineRule="auto"/>
        <w:rPr>
          <w:sz w:val="20"/>
          <w:szCs w:val="20"/>
          <w:color w:val="auto"/>
        </w:rPr>
      </w:pPr>
      <w:r>
        <w:rPr>
          <w:rFonts w:ascii="Times New Roman" w:cs="Times New Roman" w:eastAsia="Times New Roman" w:hAnsi="Times New Roman"/>
          <w:sz w:val="22"/>
          <w:szCs w:val="22"/>
          <w:color w:val="auto"/>
        </w:rPr>
        <w:t>before January 1, 2014 and Subsequent Deferral Elections made before January 1, 2021 with respect to the amounts described in this Paragraph 2(f)(i)(B)(2);</w:t>
      </w:r>
    </w:p>
    <w:p>
      <w:pPr>
        <w:spacing w:after="0" w:line="177" w:lineRule="exact"/>
        <w:rPr>
          <w:sz w:val="20"/>
          <w:szCs w:val="20"/>
          <w:color w:val="auto"/>
        </w:rPr>
      </w:pPr>
    </w:p>
    <w:p>
      <w:pPr>
        <w:jc w:val="both"/>
        <w:ind w:left="1480" w:right="220"/>
        <w:spacing w:after="0" w:line="257" w:lineRule="auto"/>
        <w:tabs>
          <w:tab w:leader="none" w:pos="212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the interest rate that, when compounded annually pursuant to rules established by the Committee from time to time, is mathematically equivalent to 12% per annum, or such other interest rate established by the Committee from time to time.</w:t>
      </w:r>
    </w:p>
    <w:p>
      <w:pPr>
        <w:spacing w:after="0" w:line="159" w:lineRule="exact"/>
        <w:rPr>
          <w:sz w:val="20"/>
          <w:szCs w:val="20"/>
          <w:color w:val="auto"/>
        </w:rPr>
      </w:pPr>
    </w:p>
    <w:p>
      <w:pPr>
        <w:ind w:left="2120" w:hanging="640"/>
        <w:spacing w:after="0"/>
        <w:tabs>
          <w:tab w:leader="none" w:pos="212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with respect to amounts credited to the Income Fund that are attributable to:</w:t>
      </w:r>
    </w:p>
    <w:p>
      <w:pPr>
        <w:spacing w:after="0" w:line="179" w:lineRule="exact"/>
        <w:rPr>
          <w:rFonts w:ascii="Times New Roman" w:cs="Times New Roman" w:eastAsia="Times New Roman" w:hAnsi="Times New Roman"/>
          <w:sz w:val="22"/>
          <w:szCs w:val="22"/>
          <w:color w:val="auto"/>
        </w:rPr>
      </w:pPr>
    </w:p>
    <w:p>
      <w:pPr>
        <w:ind w:left="1480" w:right="140" w:firstLine="648"/>
        <w:spacing w:after="0" w:line="225" w:lineRule="auto"/>
        <w:tabs>
          <w:tab w:leader="none" w:pos="2771"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and other distributions credited with respect to Deferred Stock Units that are deferred pursuant to Initial Deferral Elections made on or after January 1, 2014 and before January 1, 2021:</w:t>
      </w:r>
    </w:p>
    <w:p>
      <w:pPr>
        <w:spacing w:after="0" w:line="152" w:lineRule="exact"/>
        <w:rPr>
          <w:rFonts w:ascii="Times New Roman" w:cs="Times New Roman" w:eastAsia="Times New Roman" w:hAnsi="Times New Roman"/>
          <w:sz w:val="22"/>
          <w:szCs w:val="22"/>
          <w:color w:val="auto"/>
        </w:rPr>
      </w:pPr>
    </w:p>
    <w:p>
      <w:pPr>
        <w:ind w:left="1480" w:right="140" w:firstLine="648"/>
        <w:spacing w:after="0" w:line="236" w:lineRule="auto"/>
        <w:tabs>
          <w:tab w:leader="none" w:pos="2771"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and other distributions credited with respect to Deferred Stock Units that are deferred pursuant to Regular Deferral Elections made before January 1, 2021; and</w:t>
      </w:r>
    </w:p>
    <w:p>
      <w:pPr>
        <w:spacing w:after="0" w:line="150" w:lineRule="exact"/>
        <w:rPr>
          <w:rFonts w:ascii="Times New Roman" w:cs="Times New Roman" w:eastAsia="Times New Roman" w:hAnsi="Times New Roman"/>
          <w:sz w:val="22"/>
          <w:szCs w:val="22"/>
          <w:color w:val="auto"/>
        </w:rPr>
      </w:pPr>
    </w:p>
    <w:p>
      <w:pPr>
        <w:ind w:left="1480" w:firstLine="648"/>
        <w:spacing w:after="0" w:line="236" w:lineRule="auto"/>
        <w:tabs>
          <w:tab w:leader="none" w:pos="2771"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Diversification Elections and Special Diversification Elections that become effective on or after January 1, 2014 and before January 1, 2021, and Subsequent Deferral Elections made before January 1, 2021 with respect to the amounts described in this Paragraph 2(f)(i)(C)(3);</w:t>
      </w:r>
    </w:p>
    <w:p>
      <w:pPr>
        <w:spacing w:after="0" w:line="179" w:lineRule="exact"/>
        <w:rPr>
          <w:sz w:val="20"/>
          <w:szCs w:val="20"/>
          <w:color w:val="auto"/>
        </w:rPr>
      </w:pPr>
    </w:p>
    <w:p>
      <w:pPr>
        <w:ind w:left="1480"/>
        <w:spacing w:after="0" w:line="254" w:lineRule="auto"/>
        <w:tabs>
          <w:tab w:leader="none" w:pos="2123"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Interest Rate” shall be the Applicable Interest Rate that applies to “Protected Account Balances” under the Comcast Corporation 2005 Deferred Compensation Plan (the “2005 Deferred Compensation Plan”) if, as of the September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immediately preceding the Plan Year to which the Initial Deferral Election, Regular Deferral Election or Diversification Election applies, the sum of (x) the Grantee’s Account under the 2005 Deferred Compensation Plan to the extent such Account is credited to the Income Fund, plus (y) the Grantee’s Account under the Comcast Corporation 2002 Deferred Compensation Plan (the “2002 Deferred Compensation Plan”) to the extent such Account is credited to the Income Fund, plus (z) the portion of the Grantee’s Account under this Plan credited to the Income Fund, is less than the High-Water Mark. If the conditions described in the preceding sentence do not apply, the “Applicable Interest Rate” shall be the Applicable Interest Rate that applies under the 2005 Deferred Compensation Plan to amounts credited pursuant to Initial Deferral Elections with respect to compensation earned after December 31, 2013, that are not Protected Account Balances.</w:t>
      </w:r>
    </w:p>
    <w:p>
      <w:pPr>
        <w:spacing w:after="0" w:line="155" w:lineRule="exact"/>
        <w:rPr>
          <w:rFonts w:ascii="Times New Roman" w:cs="Times New Roman" w:eastAsia="Times New Roman" w:hAnsi="Times New Roman"/>
          <w:sz w:val="21"/>
          <w:szCs w:val="21"/>
          <w:color w:val="auto"/>
        </w:rPr>
      </w:pPr>
    </w:p>
    <w:p>
      <w:pPr>
        <w:ind w:left="1480" w:right="900" w:hanging="648"/>
        <w:spacing w:after="0" w:line="236" w:lineRule="auto"/>
        <w:tabs>
          <w:tab w:leader="none" w:pos="1474"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for the period beginning as soon as administratively practicable following (A) a significant reduction in a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00"/>
          </w:cols>
          <w:pgMar w:left="1440" w:top="1395" w:right="359" w:bottom="1440" w:gutter="0" w:footer="0" w:header="0"/>
        </w:sectPr>
      </w:pPr>
    </w:p>
    <w:bookmarkStart w:id="242" w:name="page243"/>
    <w:bookmarkEnd w:id="242"/>
    <w:p>
      <w:pPr>
        <w:ind w:left="1480"/>
        <w:spacing w:after="0" w:line="219" w:lineRule="auto"/>
        <w:rPr>
          <w:sz w:val="20"/>
          <w:szCs w:val="20"/>
          <w:color w:val="auto"/>
        </w:rPr>
      </w:pPr>
      <w:r>
        <w:rPr>
          <w:rFonts w:ascii="Times New Roman" w:cs="Times New Roman" w:eastAsia="Times New Roman" w:hAnsi="Times New Roman"/>
          <w:sz w:val="21"/>
          <w:szCs w:val="21"/>
          <w:color w:val="auto"/>
        </w:rPr>
        <w:t>compensation and services to the Company, as determined by the Committee in its sole discretion, and (B) a Grantee’s employment termination date, in each case,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spacing w:after="0" w:line="159" w:lineRule="exact"/>
        <w:rPr>
          <w:sz w:val="20"/>
          <w:szCs w:val="20"/>
          <w:color w:val="auto"/>
        </w:rPr>
      </w:pPr>
    </w:p>
    <w:p>
      <w:pPr>
        <w:ind w:left="-460" w:right="720" w:firstLine="644"/>
        <w:spacing w:after="0" w:line="236" w:lineRule="auto"/>
        <w:tabs>
          <w:tab w:leader="none" w:pos="88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AT&amp;T Broadband Transaction</w:t>
      </w:r>
      <w:r>
        <w:rPr>
          <w:rFonts w:ascii="Times New Roman" w:cs="Times New Roman" w:eastAsia="Times New Roman" w:hAnsi="Times New Roman"/>
          <w:sz w:val="22"/>
          <w:szCs w:val="22"/>
          <w:color w:val="auto"/>
        </w:rPr>
        <w:t>” means the acquisition of AT&amp;T Broadband Corp. (now known as Comcast Cable Communications, LLC) by the Company.</w:t>
      </w:r>
    </w:p>
    <w:p>
      <w:pPr>
        <w:spacing w:after="0" w:line="150"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an award of Restricted Stock or Restricted Stock Units granted under the Plan.</w:t>
      </w:r>
    </w:p>
    <w:p>
      <w:pPr>
        <w:spacing w:after="0" w:line="17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ind w:left="1480" w:right="200" w:hanging="648"/>
        <w:spacing w:after="0" w:line="236" w:lineRule="auto"/>
        <w:tabs>
          <w:tab w:leader="none" w:pos="1468"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 2(j)(ii), “Change in Control” means the occurrence of any one or more of the following events:</w:t>
      </w:r>
    </w:p>
    <w:p>
      <w:pPr>
        <w:spacing w:after="0" w:line="137"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2"/>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February 22, 2016, any person or “group” (as defined in Section 13(d) of the</w:t>
      </w:r>
    </w:p>
    <w:p>
      <w:pPr>
        <w:ind w:left="2120"/>
        <w:spacing w:after="0" w:line="21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1934 Act) (each, a “Person”), other than an employee benefit plan or trust maintained by the Company, becomes the “beneficial owner” (as defined in Rule 13d-3 under the 1934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4" w:lineRule="exact"/>
        <w:rPr>
          <w:rFonts w:ascii="Times New Roman" w:cs="Times New Roman" w:eastAsia="Times New Roman" w:hAnsi="Times New Roman"/>
          <w:sz w:val="22"/>
          <w:szCs w:val="22"/>
          <w:color w:val="auto"/>
        </w:rPr>
      </w:pPr>
    </w:p>
    <w:p>
      <w:pPr>
        <w:ind w:left="2120" w:right="220" w:hanging="640"/>
        <w:spacing w:after="0" w:line="217" w:lineRule="auto"/>
        <w:tabs>
          <w:tab w:leader="none" w:pos="2111" w:val="left"/>
        </w:tabs>
        <w:numPr>
          <w:ilvl w:val="2"/>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395" w:right="339" w:bottom="1440" w:gutter="0" w:footer="0" w:header="0"/>
        </w:sectPr>
      </w:pPr>
    </w:p>
    <w:bookmarkStart w:id="243" w:name="page244"/>
    <w:bookmarkEnd w:id="243"/>
    <w:p>
      <w:pPr>
        <w:jc w:val="both"/>
        <w:ind w:left="2120" w:right="260"/>
        <w:spacing w:after="0" w:line="225" w:lineRule="auto"/>
        <w:rPr>
          <w:sz w:val="20"/>
          <w:szCs w:val="20"/>
          <w:color w:val="auto"/>
        </w:rPr>
      </w:pPr>
      <w:r>
        <w:rPr>
          <w:rFonts w:ascii="Times New Roman" w:cs="Times New Roman" w:eastAsia="Times New Roman" w:hAnsi="Times New Roman"/>
          <w:sz w:val="22"/>
          <w:szCs w:val="22"/>
          <w:color w:val="auto"/>
        </w:rPr>
        <w:t>either were directors at the beginning of such period or whose election or nomination for election was so approved, cease for any reason to constitute a majority of members of the Board;</w:t>
      </w:r>
    </w:p>
    <w:p>
      <w:pPr>
        <w:spacing w:after="0" w:line="3" w:lineRule="exact"/>
        <w:rPr>
          <w:sz w:val="20"/>
          <w:szCs w:val="20"/>
          <w:color w:val="auto"/>
        </w:rPr>
      </w:pPr>
    </w:p>
    <w:p>
      <w:pPr>
        <w:ind w:left="2120" w:hanging="640"/>
        <w:spacing w:after="0" w:line="209" w:lineRule="auto"/>
        <w:tabs>
          <w:tab w:leader="none" w:pos="2111" w:val="left"/>
        </w:tabs>
        <w:numPr>
          <w:ilvl w:val="2"/>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(x) a merger, consolidation, reorganization or similar corporate transaction involving the Company or any of its subsidiaries with any other corporation or entity, which would result in the combined voting power of the Company’s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merger, consolidation, reorganization or other similar transaction, or (y) any sale, lease, exchange or other transfer to any Person of all or substantially all of the assets of the Company, in one transaction or a series of related transactions; or</w:t>
      </w:r>
    </w:p>
    <w:p>
      <w:pPr>
        <w:spacing w:after="0" w:line="6" w:lineRule="exact"/>
        <w:rPr>
          <w:rFonts w:ascii="Times New Roman" w:cs="Times New Roman" w:eastAsia="Times New Roman" w:hAnsi="Times New Roman"/>
          <w:sz w:val="22"/>
          <w:szCs w:val="22"/>
          <w:color w:val="auto"/>
        </w:rPr>
      </w:pPr>
    </w:p>
    <w:p>
      <w:pPr>
        <w:ind w:left="2120" w:right="580" w:hanging="640"/>
        <w:spacing w:after="0" w:line="230" w:lineRule="auto"/>
        <w:tabs>
          <w:tab w:leader="none" w:pos="2109" w:val="left"/>
        </w:tabs>
        <w:numPr>
          <w:ilvl w:val="2"/>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shareholders of the Company of a liquidation or dissolution of the Company.</w:t>
      </w:r>
    </w:p>
    <w:p>
      <w:pPr>
        <w:spacing w:after="0" w:line="150" w:lineRule="exact"/>
        <w:rPr>
          <w:rFonts w:ascii="Times New Roman" w:cs="Times New Roman" w:eastAsia="Times New Roman" w:hAnsi="Times New Roman"/>
          <w:sz w:val="22"/>
          <w:szCs w:val="22"/>
          <w:color w:val="auto"/>
        </w:rPr>
      </w:pPr>
    </w:p>
    <w:p>
      <w:pPr>
        <w:ind w:left="1480" w:right="20" w:hanging="648"/>
        <w:spacing w:after="0" w:line="217" w:lineRule="auto"/>
        <w:tabs>
          <w:tab w:leader="none" w:pos="1474"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Paragraph 8, and with respect to the distribution of amounts subject to an Award that constitute “deferred compensation” (within the meaning of Section 409A), the term “Change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rFonts w:ascii="Times New Roman" w:cs="Times New Roman" w:eastAsia="Times New Roman" w:hAnsi="Times New Roman"/>
          <w:sz w:val="22"/>
          <w:szCs w:val="22"/>
          <w:color w:val="auto"/>
        </w:rPr>
      </w:pPr>
    </w:p>
    <w:p>
      <w:pPr>
        <w:ind w:left="-460" w:right="80" w:firstLine="644"/>
        <w:spacing w:after="0" w:line="217" w:lineRule="auto"/>
        <w:tabs>
          <w:tab w:leader="none" w:pos="824"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Comcast Plan</w:t>
      </w:r>
      <w:r>
        <w:rPr>
          <w:rFonts w:ascii="Times New Roman" w:cs="Times New Roman" w:eastAsia="Times New Roman" w:hAnsi="Times New Roman"/>
          <w:sz w:val="22"/>
          <w:szCs w:val="22"/>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52" w:lineRule="exact"/>
        <w:rPr>
          <w:rFonts w:ascii="Times New Roman" w:cs="Times New Roman" w:eastAsia="Times New Roman" w:hAnsi="Times New Roman"/>
          <w:sz w:val="22"/>
          <w:szCs w:val="22"/>
          <w:color w:val="auto"/>
        </w:rPr>
      </w:pPr>
    </w:p>
    <w:p>
      <w:pPr>
        <w:ind w:left="-460" w:right="140" w:firstLine="644"/>
        <w:spacing w:after="0" w:line="225" w:lineRule="auto"/>
        <w:tabs>
          <w:tab w:leader="none" w:pos="824"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Class A Common Stock, par value $0.01, of the Company.</w:t>
      </w:r>
    </w:p>
    <w:p>
      <w:pPr>
        <w:spacing w:after="0" w:line="179" w:lineRule="exact"/>
        <w:rPr>
          <w:rFonts w:ascii="Times New Roman" w:cs="Times New Roman" w:eastAsia="Times New Roman" w:hAnsi="Times New Roman"/>
          <w:sz w:val="22"/>
          <w:szCs w:val="22"/>
          <w:color w:val="auto"/>
        </w:rPr>
      </w:pPr>
    </w:p>
    <w:p>
      <w:pPr>
        <w:ind w:left="-460" w:right="200" w:firstLine="644"/>
        <w:spacing w:after="0" w:line="236" w:lineRule="auto"/>
        <w:tabs>
          <w:tab w:leader="none" w:pos="83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Comcast Corporation, a Pennsylvania corporation, including any successor thereto by merger, consolidation, acquisition of all or substantially all the assets thereof,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20"/>
          </w:cols>
          <w:pgMar w:left="1440" w:top="1395" w:right="339" w:bottom="1440" w:gutter="0" w:footer="0" w:header="0"/>
        </w:sectPr>
      </w:pPr>
    </w:p>
    <w:bookmarkStart w:id="244" w:name="page245"/>
    <w:bookmarkEnd w:id="244"/>
    <w:p>
      <w:pPr>
        <w:ind w:left="-460" w:firstLine="644"/>
        <w:spacing w:after="0" w:line="218" w:lineRule="auto"/>
        <w:tabs>
          <w:tab w:leader="none" w:pos="885"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Stock Fund</w:t>
      </w:r>
      <w:r>
        <w:rPr>
          <w:rFonts w:ascii="Times New Roman" w:cs="Times New Roman" w:eastAsia="Times New Roman" w:hAnsi="Times New Roman"/>
          <w:sz w:val="21"/>
          <w:szCs w:val="21"/>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otherwise deliverable as Shares upon the Vesting Date associated with Restricted Stock or Restricted Stock Units, and all dividends and other distributions paid with respect to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shall be credited with interest at the Applicable Interest Rate commencing as of the date on which dividends or other distributions are paid, provided further that dividends and other distributions paid with respect to the Accounts of Non-Employee Directors after July 31, 2020 shall be credited to the Company Stock Fund as a hypothetical purchase of Common Stock at Fair Market Value on the applicable dividend or distribution payment date, and dividends and other distributions paid with respect to the Accounts of Covered Grantees after February 28, 2021 shall be credited to Other Investment Funds as a hypothetical purchase of one or more Other Investment Funds on the applicable dividend or distribution payment date. To the extent a distribution of a Grantee’s Account is attributable to amounts credited to the Company Stock Fund (i) as Deferred Stock Units that have never been the subject of a completed Diversification Election or (ii) under circumstances described in Paragraph 8(j)(ii)(A), distributions shall be made in the form of Common Stock. All other distributions of Account balances shall be made in cash.</w:t>
      </w:r>
    </w:p>
    <w:p>
      <w:pPr>
        <w:spacing w:after="0" w:line="152" w:lineRule="exact"/>
        <w:rPr>
          <w:rFonts w:ascii="Times New Roman" w:cs="Times New Roman" w:eastAsia="Times New Roman" w:hAnsi="Times New Roman"/>
          <w:sz w:val="21"/>
          <w:szCs w:val="21"/>
          <w:color w:val="auto"/>
        </w:rPr>
      </w:pPr>
    </w:p>
    <w:p>
      <w:pPr>
        <w:jc w:val="both"/>
        <w:ind w:left="-460" w:right="220" w:firstLine="644"/>
        <w:spacing w:after="0" w:line="225" w:lineRule="auto"/>
        <w:tabs>
          <w:tab w:leader="none" w:pos="885"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Grantee</w:t>
      </w:r>
      <w:r>
        <w:rPr>
          <w:rFonts w:ascii="Times New Roman" w:cs="Times New Roman" w:eastAsia="Times New Roman" w:hAnsi="Times New Roman"/>
          <w:sz w:val="22"/>
          <w:szCs w:val="22"/>
          <w:color w:val="auto"/>
        </w:rPr>
        <w:t>” means, as of any relevant date of determination, (i) any Section 16 Officer for whom disclosure was required pursuant to Item 402 of SEC Regulation S-K in the Company’s most recent filing with the SEC under the 1934 Act and (ii) any individual, as determined by the Committee in its discretion.</w:t>
      </w:r>
    </w:p>
    <w:p>
      <w:pPr>
        <w:spacing w:after="0" w:line="152" w:lineRule="exact"/>
        <w:rPr>
          <w:rFonts w:ascii="Times New Roman" w:cs="Times New Roman" w:eastAsia="Times New Roman" w:hAnsi="Times New Roman"/>
          <w:sz w:val="22"/>
          <w:szCs w:val="22"/>
          <w:color w:val="auto"/>
        </w:rPr>
      </w:pPr>
    </w:p>
    <w:p>
      <w:pPr>
        <w:ind w:left="840" w:hanging="656"/>
        <w:spacing w:after="0"/>
        <w:tabs>
          <w:tab w:leader="none" w:pos="84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means the date on which an Award is granted.</w:t>
      </w:r>
    </w:p>
    <w:p>
      <w:pPr>
        <w:spacing w:after="0" w:line="179" w:lineRule="exact"/>
        <w:rPr>
          <w:rFonts w:ascii="Times New Roman" w:cs="Times New Roman" w:eastAsia="Times New Roman" w:hAnsi="Times New Roman"/>
          <w:sz w:val="22"/>
          <w:szCs w:val="22"/>
          <w:color w:val="auto"/>
        </w:rPr>
      </w:pPr>
    </w:p>
    <w:p>
      <w:pPr>
        <w:ind w:left="840" w:hanging="656"/>
        <w:spacing w:after="0"/>
        <w:tabs>
          <w:tab w:leader="none" w:pos="84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Deceased Grantee</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Grantee whose employment by a Participating Company is terminated by death; or</w:t>
      </w:r>
    </w:p>
    <w:p>
      <w:pPr>
        <w:spacing w:after="0" w:line="179"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Grantee who dies following termination of employment by a Participating Company.</w:t>
      </w:r>
    </w:p>
    <w:p>
      <w:pPr>
        <w:spacing w:after="0" w:line="17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Deferral Eligible Employee</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for the period extending from January 1, 2014 through December 31, 2018:</w:t>
      </w:r>
    </w:p>
    <w:p>
      <w:pPr>
        <w:spacing w:after="0" w:line="179" w:lineRule="exact"/>
        <w:rPr>
          <w:rFonts w:ascii="Times New Roman" w:cs="Times New Roman" w:eastAsia="Times New Roman" w:hAnsi="Times New Roman"/>
          <w:sz w:val="22"/>
          <w:szCs w:val="22"/>
          <w:color w:val="auto"/>
        </w:rPr>
      </w:pPr>
    </w:p>
    <w:p>
      <w:pPr>
        <w:ind w:left="2120" w:right="80" w:hanging="640"/>
        <w:spacing w:after="0" w:line="220" w:lineRule="auto"/>
        <w:tabs>
          <w:tab w:leader="none" w:pos="2109" w:val="left"/>
        </w:tabs>
        <w:numPr>
          <w:ilvl w:val="2"/>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Employee whose Annual Rate of Pay is $250,000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120"/>
          </w:cols>
          <w:pgMar w:left="1440" w:top="1395" w:right="339" w:bottom="1440" w:gutter="0" w:footer="0" w:header="0"/>
        </w:sectPr>
      </w:pPr>
    </w:p>
    <w:bookmarkStart w:id="245" w:name="page246"/>
    <w:bookmarkEnd w:id="245"/>
    <w:p>
      <w:pPr>
        <w:ind w:left="3232" w:hanging="640"/>
        <w:spacing w:after="0"/>
        <w:tabs>
          <w:tab w:leader="none" w:pos="3232" w:val="left"/>
        </w:tabs>
        <w:numPr>
          <w:ilvl w:val="3"/>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New Key Employee.</w:t>
      </w:r>
    </w:p>
    <w:p>
      <w:pPr>
        <w:spacing w:after="0" w:line="179" w:lineRule="exact"/>
        <w:rPr>
          <w:rFonts w:ascii="Times New Roman" w:cs="Times New Roman" w:eastAsia="Times New Roman" w:hAnsi="Times New Roman"/>
          <w:sz w:val="22"/>
          <w:szCs w:val="22"/>
          <w:color w:val="auto"/>
        </w:rPr>
      </w:pPr>
    </w:p>
    <w:p>
      <w:pPr>
        <w:ind w:left="3232" w:right="200" w:hanging="640"/>
        <w:spacing w:after="0" w:line="236" w:lineRule="auto"/>
        <w:tabs>
          <w:tab w:leader="none" w:pos="3223" w:val="left"/>
        </w:tabs>
        <w:numPr>
          <w:ilvl w:val="3"/>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other employee of a Participating Company who is designated by the Committee, in its sole and absolute discretion, as a Deferral Eligible Employee.</w:t>
      </w:r>
    </w:p>
    <w:p>
      <w:pPr>
        <w:spacing w:after="0" w:line="150" w:lineRule="exact"/>
        <w:rPr>
          <w:rFonts w:ascii="Times New Roman" w:cs="Times New Roman" w:eastAsia="Times New Roman" w:hAnsi="Times New Roman"/>
          <w:sz w:val="22"/>
          <w:szCs w:val="22"/>
          <w:color w:val="auto"/>
        </w:rPr>
      </w:pPr>
    </w:p>
    <w:p>
      <w:pPr>
        <w:ind w:left="2592" w:hanging="648"/>
        <w:spacing w:after="0"/>
        <w:tabs>
          <w:tab w:leader="none" w:pos="2592"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on and after January 1, 2019:</w:t>
      </w:r>
    </w:p>
    <w:p>
      <w:pPr>
        <w:spacing w:after="0" w:line="179" w:lineRule="exact"/>
        <w:rPr>
          <w:rFonts w:ascii="Times New Roman" w:cs="Times New Roman" w:eastAsia="Times New Roman" w:hAnsi="Times New Roman"/>
          <w:sz w:val="22"/>
          <w:szCs w:val="22"/>
          <w:color w:val="auto"/>
        </w:rPr>
      </w:pPr>
    </w:p>
    <w:p>
      <w:pPr>
        <w:ind w:left="3232" w:right="20" w:hanging="640"/>
        <w:spacing w:after="0" w:line="220" w:lineRule="auto"/>
        <w:tabs>
          <w:tab w:leader="none" w:pos="3221" w:val="left"/>
        </w:tabs>
        <w:numPr>
          <w:ilvl w:val="3"/>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Employee whose Annual Rate of Pay is $350,000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152" w:lineRule="exact"/>
        <w:rPr>
          <w:rFonts w:ascii="Times New Roman" w:cs="Times New Roman" w:eastAsia="Times New Roman" w:hAnsi="Times New Roman"/>
          <w:sz w:val="22"/>
          <w:szCs w:val="22"/>
          <w:color w:val="auto"/>
        </w:rPr>
      </w:pPr>
    </w:p>
    <w:p>
      <w:pPr>
        <w:ind w:left="3232" w:hanging="640"/>
        <w:spacing w:after="0"/>
        <w:tabs>
          <w:tab w:leader="none" w:pos="3232" w:val="left"/>
        </w:tabs>
        <w:numPr>
          <w:ilvl w:val="3"/>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New Key Employee.</w:t>
      </w:r>
    </w:p>
    <w:p>
      <w:pPr>
        <w:spacing w:after="0" w:line="179" w:lineRule="exact"/>
        <w:rPr>
          <w:rFonts w:ascii="Times New Roman" w:cs="Times New Roman" w:eastAsia="Times New Roman" w:hAnsi="Times New Roman"/>
          <w:sz w:val="22"/>
          <w:szCs w:val="22"/>
          <w:color w:val="auto"/>
        </w:rPr>
      </w:pPr>
    </w:p>
    <w:p>
      <w:pPr>
        <w:ind w:left="3232" w:right="200" w:hanging="640"/>
        <w:spacing w:after="0" w:line="236" w:lineRule="auto"/>
        <w:tabs>
          <w:tab w:leader="none" w:pos="3223" w:val="left"/>
        </w:tabs>
        <w:numPr>
          <w:ilvl w:val="3"/>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other employee of a Participating Company who is designated by the Committee, in its sole and absolute discretion, as a Deferral Eligible Employee.</w:t>
      </w:r>
    </w:p>
    <w:p>
      <w:pPr>
        <w:spacing w:after="0" w:line="177" w:lineRule="exact"/>
        <w:rPr>
          <w:rFonts w:ascii="Times New Roman" w:cs="Times New Roman" w:eastAsia="Times New Roman" w:hAnsi="Times New Roman"/>
          <w:sz w:val="22"/>
          <w:szCs w:val="22"/>
          <w:color w:val="auto"/>
        </w:rPr>
      </w:pPr>
    </w:p>
    <w:p>
      <w:pPr>
        <w:ind w:left="-8" w:right="220" w:firstLine="8"/>
        <w:spacing w:after="0" w:line="256" w:lineRule="auto"/>
        <w:tabs>
          <w:tab w:leader="none" w:pos="6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Paragraph 2(t)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49" w:lineRule="exact"/>
        <w:rPr>
          <w:rFonts w:ascii="Times New Roman" w:cs="Times New Roman" w:eastAsia="Times New Roman" w:hAnsi="Times New Roman"/>
          <w:sz w:val="22"/>
          <w:szCs w:val="22"/>
          <w:color w:val="auto"/>
        </w:rPr>
      </w:pPr>
    </w:p>
    <w:p>
      <w:pPr>
        <w:ind w:left="1932" w:hanging="636"/>
        <w:spacing w:after="0"/>
        <w:tabs>
          <w:tab w:leader="none" w:pos="1932"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Stock Units</w:t>
      </w:r>
      <w:r>
        <w:rPr>
          <w:rFonts w:ascii="Times New Roman" w:cs="Times New Roman" w:eastAsia="Times New Roman" w:hAnsi="Times New Roman"/>
          <w:sz w:val="22"/>
          <w:szCs w:val="22"/>
          <w:color w:val="auto"/>
        </w:rPr>
        <w:t>” means the number of hypothetical Shares subject to an Election.</w:t>
      </w:r>
    </w:p>
    <w:p>
      <w:pPr>
        <w:spacing w:after="0" w:line="179" w:lineRule="exact"/>
        <w:rPr>
          <w:rFonts w:ascii="Times New Roman" w:cs="Times New Roman" w:eastAsia="Times New Roman" w:hAnsi="Times New Roman"/>
          <w:sz w:val="22"/>
          <w:szCs w:val="22"/>
          <w:color w:val="auto"/>
        </w:rPr>
      </w:pPr>
    </w:p>
    <w:p>
      <w:pPr>
        <w:ind w:left="1932" w:hanging="636"/>
        <w:spacing w:after="0"/>
        <w:tabs>
          <w:tab w:leader="none" w:pos="1932"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jc w:val="both"/>
        <w:ind w:left="2592" w:right="320" w:hanging="648"/>
        <w:spacing w:after="0" w:line="220" w:lineRule="auto"/>
        <w:tabs>
          <w:tab w:leader="none" w:pos="2580" w:val="left"/>
        </w:tabs>
        <w:numPr>
          <w:ilvl w:val="2"/>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two-calendar year period; or</w:t>
      </w:r>
    </w:p>
    <w:p>
      <w:pPr>
        <w:spacing w:after="0" w:line="152" w:lineRule="exact"/>
        <w:rPr>
          <w:rFonts w:ascii="Times New Roman" w:cs="Times New Roman" w:eastAsia="Times New Roman" w:hAnsi="Times New Roman"/>
          <w:sz w:val="22"/>
          <w:szCs w:val="22"/>
          <w:color w:val="auto"/>
        </w:rPr>
      </w:pPr>
    </w:p>
    <w:p>
      <w:pPr>
        <w:ind w:left="2592" w:hanging="648"/>
        <w:spacing w:after="0" w:line="255" w:lineRule="auto"/>
        <w:tabs>
          <w:tab w:leader="none" w:pos="2586" w:val="left"/>
        </w:tabs>
        <w:numPr>
          <w:ilvl w:val="2"/>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different from the definition in Paragraph 2(v)(i) above, “Disability” as it may be defined in such Grantee’s employment agreement between the Grantee and the Company or an Affiliate, if any.</w:t>
      </w:r>
    </w:p>
    <w:p>
      <w:pPr>
        <w:spacing w:after="0" w:line="134" w:lineRule="exact"/>
        <w:rPr>
          <w:rFonts w:ascii="Times New Roman" w:cs="Times New Roman" w:eastAsia="Times New Roman" w:hAnsi="Times New Roman"/>
          <w:sz w:val="21"/>
          <w:szCs w:val="21"/>
          <w:color w:val="auto"/>
        </w:rPr>
      </w:pPr>
    </w:p>
    <w:p>
      <w:pPr>
        <w:ind w:left="1932" w:hanging="636"/>
        <w:spacing w:after="0"/>
        <w:tabs>
          <w:tab w:leader="none" w:pos="1932"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Disabled Grantee</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ind w:left="2572" w:hanging="628"/>
        <w:spacing w:after="0"/>
        <w:tabs>
          <w:tab w:leader="none" w:pos="2572" w:val="left"/>
        </w:tabs>
        <w:numPr>
          <w:ilvl w:val="2"/>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Grantee whose employment by a Participating Company is terminated by reason of Disability;</w:t>
      </w:r>
    </w:p>
    <w:p>
      <w:pPr>
        <w:spacing w:after="0" w:line="179" w:lineRule="exact"/>
        <w:rPr>
          <w:rFonts w:ascii="Times New Roman" w:cs="Times New Roman" w:eastAsia="Times New Roman" w:hAnsi="Times New Roman"/>
          <w:sz w:val="22"/>
          <w:szCs w:val="22"/>
          <w:color w:val="auto"/>
        </w:rPr>
      </w:pPr>
    </w:p>
    <w:p>
      <w:pPr>
        <w:ind w:left="2592" w:right="40" w:hanging="648"/>
        <w:spacing w:after="0" w:line="236" w:lineRule="auto"/>
        <w:tabs>
          <w:tab w:leader="none" w:pos="2586" w:val="left"/>
        </w:tabs>
        <w:numPr>
          <w:ilvl w:val="2"/>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duly-appointed legal guardian of an individual described in Paragraph 2(w)(i) acting on behalf of such individual.</w:t>
      </w:r>
    </w:p>
    <w:p>
      <w:pPr>
        <w:spacing w:after="0" w:line="150" w:lineRule="exact"/>
        <w:rPr>
          <w:rFonts w:ascii="Times New Roman" w:cs="Times New Roman" w:eastAsia="Times New Roman" w:hAnsi="Times New Roman"/>
          <w:sz w:val="22"/>
          <w:szCs w:val="22"/>
          <w:color w:val="auto"/>
        </w:rPr>
      </w:pPr>
    </w:p>
    <w:p>
      <w:pPr>
        <w:ind w:left="652" w:right="120" w:firstLine="644"/>
        <w:spacing w:after="0" w:line="236" w:lineRule="auto"/>
        <w:tabs>
          <w:tab w:leader="none" w:pos="1943"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Diversification Election</w:t>
      </w:r>
      <w:r>
        <w:rPr>
          <w:rFonts w:ascii="Times New Roman" w:cs="Times New Roman" w:eastAsia="Times New Roman" w:hAnsi="Times New Roman"/>
          <w:sz w:val="22"/>
          <w:szCs w:val="22"/>
          <w:color w:val="auto"/>
        </w:rPr>
        <w:t>” means a Grantee’s election to have a portion of the Grantee’s Account credited in the form of Deferred Stock Units and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72"/>
          </w:cols>
          <w:pgMar w:left="328" w:top="1395" w:right="399" w:bottom="1440" w:gutter="0" w:footer="0" w:header="0"/>
        </w:sectPr>
      </w:pPr>
    </w:p>
    <w:bookmarkStart w:id="246" w:name="page247"/>
    <w:bookmarkEnd w:id="246"/>
    <w:p>
      <w:pPr>
        <w:spacing w:after="0" w:line="220" w:lineRule="auto"/>
        <w:rPr>
          <w:sz w:val="20"/>
          <w:szCs w:val="20"/>
          <w:color w:val="auto"/>
        </w:rPr>
      </w:pPr>
      <w:r>
        <w:rPr>
          <w:rFonts w:ascii="Times New Roman" w:cs="Times New Roman" w:eastAsia="Times New Roman" w:hAnsi="Times New Roman"/>
          <w:sz w:val="22"/>
          <w:szCs w:val="22"/>
          <w:color w:val="auto"/>
        </w:rPr>
        <w:t>any grant of Restricted Stock or Restricted Stock Units deemed liquidated and credited thereafter under the Income Fund or an Other Investment Fund, as provided in Paragraph 8(k)(i), if (and to the extent that) it is approved by the Committee or its delegate in accordance with Paragraph 8(k)(ii), provided that no Diversification Election by a Grantee who is a Non-Employee Director shall be recognized on or after July 31, 2020.</w:t>
      </w:r>
    </w:p>
    <w:p>
      <w:pPr>
        <w:spacing w:after="0" w:line="152" w:lineRule="exact"/>
        <w:rPr>
          <w:sz w:val="20"/>
          <w:szCs w:val="20"/>
          <w:color w:val="auto"/>
        </w:rPr>
      </w:pPr>
    </w:p>
    <w:p>
      <w:pPr>
        <w:ind w:right="280" w:firstLine="644"/>
        <w:spacing w:after="0" w:line="236" w:lineRule="auto"/>
        <w:tabs>
          <w:tab w:leader="none" w:pos="129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means, as applicable, an Initial Deferral Election, Regular Deferral Election, or a Subsequent Deferral Election.</w:t>
      </w:r>
    </w:p>
    <w:p>
      <w:pPr>
        <w:spacing w:after="0" w:line="150"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an employee of a Participating Company, as determined by the Committee.</w:t>
      </w:r>
    </w:p>
    <w:p>
      <w:pPr>
        <w:spacing w:after="0" w:line="179" w:lineRule="exact"/>
        <w:rPr>
          <w:sz w:val="20"/>
          <w:szCs w:val="20"/>
          <w:color w:val="auto"/>
        </w:rPr>
      </w:pPr>
    </w:p>
    <w:p>
      <w:pPr>
        <w:ind w:left="1300" w:hanging="656"/>
        <w:spacing w:after="0"/>
        <w:tabs>
          <w:tab w:leader="none" w:pos="130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ind w:left="1940" w:right="80" w:hanging="648"/>
        <w:spacing w:after="0" w:line="220" w:lineRule="auto"/>
        <w:tabs>
          <w:tab w:leader="none" w:pos="1928"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or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52" w:lineRule="exact"/>
        <w:rPr>
          <w:rFonts w:ascii="Times New Roman" w:cs="Times New Roman" w:eastAsia="Times New Roman" w:hAnsi="Times New Roman"/>
          <w:sz w:val="22"/>
          <w:szCs w:val="22"/>
          <w:color w:val="auto"/>
        </w:rPr>
      </w:pPr>
    </w:p>
    <w:p>
      <w:pPr>
        <w:ind w:left="1940" w:right="100" w:hanging="648"/>
        <w:spacing w:after="0" w:line="220" w:lineRule="auto"/>
        <w:tabs>
          <w:tab w:leader="none" w:pos="1934"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or shares of any Other Investment Fund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52" w:lineRule="exact"/>
        <w:rPr>
          <w:rFonts w:ascii="Times New Roman" w:cs="Times New Roman" w:eastAsia="Times New Roman" w:hAnsi="Times New Roman"/>
          <w:sz w:val="22"/>
          <w:szCs w:val="22"/>
          <w:color w:val="auto"/>
        </w:rPr>
      </w:pPr>
    </w:p>
    <w:p>
      <w:pPr>
        <w:ind w:left="1940" w:right="160" w:hanging="648"/>
        <w:spacing w:after="0" w:line="236" w:lineRule="auto"/>
        <w:tabs>
          <w:tab w:leader="none" w:pos="1940"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or shares of any Other Investment Fund are not so listed nor trades of shares so reported, Fair Market Value shall be determined by the Committee in good faith.</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(ab)</w:t>
            </w:r>
          </w:p>
        </w:tc>
        <w:tc>
          <w:tcPr>
            <w:tcW w:w="94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8"/>
              </w:rPr>
              <w:t>“Family Member” has the meaning given to such term in General Instructions A.1(a)(5) to Form S-8 under</w:t>
            </w:r>
          </w:p>
        </w:tc>
        <w:tc>
          <w:tcPr>
            <w:tcW w:w="0" w:type="dxa"/>
            <w:vAlign w:val="bottom"/>
          </w:tcPr>
          <w:p>
            <w:pPr>
              <w:spacing w:after="0"/>
              <w:rPr>
                <w:sz w:val="1"/>
                <w:szCs w:val="1"/>
                <w:color w:val="auto"/>
              </w:rPr>
            </w:pPr>
          </w:p>
        </w:tc>
      </w:tr>
      <w:tr>
        <w:trPr>
          <w:trHeight w:val="20"/>
        </w:trPr>
        <w:tc>
          <w:tcPr>
            <w:tcW w:w="140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amended, and any successor thereto.</w:t>
            </w:r>
          </w:p>
        </w:tc>
        <w:tc>
          <w:tcPr>
            <w:tcW w:w="0" w:type="dxa"/>
            <w:vAlign w:val="bottom"/>
          </w:tcPr>
          <w:p>
            <w:pPr>
              <w:spacing w:after="0" w:line="20" w:lineRule="exact"/>
              <w:rPr>
                <w:sz w:val="1"/>
                <w:szCs w:val="1"/>
                <w:color w:val="auto"/>
              </w:rPr>
            </w:pPr>
          </w:p>
        </w:tc>
      </w:tr>
      <w:tr>
        <w:trPr>
          <w:trHeight w:val="276"/>
        </w:trPr>
        <w:tc>
          <w:tcPr>
            <w:tcW w:w="27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the Securities Act of 1933, as</w:t>
            </w:r>
          </w:p>
        </w:tc>
        <w:tc>
          <w:tcPr>
            <w:tcW w:w="77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(ac)</w:t>
            </w:r>
          </w:p>
        </w:tc>
        <w:tc>
          <w:tcPr>
            <w:tcW w:w="940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“Grandfathered Amount” means amounts described in Paragraph 1(c) that were deferred under the Plan</w:t>
            </w:r>
          </w:p>
        </w:tc>
        <w:tc>
          <w:tcPr>
            <w:tcW w:w="0" w:type="dxa"/>
            <w:vAlign w:val="bottom"/>
          </w:tcPr>
          <w:p>
            <w:pPr>
              <w:spacing w:after="0"/>
              <w:rPr>
                <w:sz w:val="1"/>
                <w:szCs w:val="1"/>
                <w:color w:val="auto"/>
              </w:rPr>
            </w:pPr>
          </w:p>
        </w:tc>
      </w:tr>
      <w:tr>
        <w:trPr>
          <w:trHeight w:val="20"/>
        </w:trPr>
        <w:tc>
          <w:tcPr>
            <w:tcW w:w="14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January 1, 2005.</w:t>
            </w:r>
          </w:p>
        </w:tc>
        <w:tc>
          <w:tcPr>
            <w:tcW w:w="0" w:type="dxa"/>
            <w:vAlign w:val="bottom"/>
          </w:tcPr>
          <w:p>
            <w:pPr>
              <w:spacing w:after="0" w:line="20" w:lineRule="exact"/>
              <w:rPr>
                <w:sz w:val="1"/>
                <w:szCs w:val="1"/>
                <w:color w:val="auto"/>
              </w:rPr>
            </w:pPr>
          </w:p>
        </w:tc>
      </w:tr>
      <w:tr>
        <w:trPr>
          <w:trHeight w:val="276"/>
        </w:trPr>
        <w:tc>
          <w:tcPr>
            <w:tcW w:w="34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and that were earned and vested before</w:t>
            </w:r>
          </w:p>
        </w:tc>
        <w:tc>
          <w:tcPr>
            <w:tcW w:w="7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(ad)</w:t>
            </w:r>
          </w:p>
        </w:tc>
        <w:tc>
          <w:tcPr>
            <w:tcW w:w="94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“Grantee” means an Eligible Employee or Non-Employee Director who is granted an Award.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(ae)</w:t>
            </w:r>
          </w:p>
        </w:tc>
        <w:tc>
          <w:tcPr>
            <w:tcW w:w="940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Hardship</w:t>
            </w:r>
            <w:r>
              <w:rPr>
                <w:rFonts w:ascii="Times New Roman" w:cs="Times New Roman" w:eastAsia="Times New Roman" w:hAnsi="Times New Roman"/>
                <w:sz w:val="22"/>
                <w:szCs w:val="22"/>
                <w:color w:val="auto"/>
              </w:rPr>
              <w:t>” means an “unforeseeable emergency,” as defined in Section 409A. The Committee shall</w:t>
            </w:r>
          </w:p>
        </w:tc>
        <w:tc>
          <w:tcPr>
            <w:tcW w:w="0" w:type="dxa"/>
            <w:vAlign w:val="bottom"/>
          </w:tcPr>
          <w:p>
            <w:pPr>
              <w:spacing w:after="0"/>
              <w:rPr>
                <w:sz w:val="1"/>
                <w:szCs w:val="1"/>
                <w:color w:val="auto"/>
              </w:rPr>
            </w:pPr>
          </w:p>
        </w:tc>
      </w:tr>
    </w:tbl>
    <w:p>
      <w:pPr>
        <w:ind w:right="20"/>
        <w:spacing w:after="0" w:line="210" w:lineRule="auto"/>
        <w:rPr>
          <w:sz w:val="20"/>
          <w:szCs w:val="20"/>
          <w:color w:val="auto"/>
        </w:rPr>
      </w:pPr>
      <w:r>
        <w:rPr>
          <w:rFonts w:ascii="Times New Roman" w:cs="Times New Roman" w:eastAsia="Times New Roman" w:hAnsi="Times New Roman"/>
          <w:sz w:val="22"/>
          <w:szCs w:val="22"/>
          <w:color w:val="auto"/>
        </w:rPr>
        <w:t>determine whether the circumstances of the Grantee constitute an unforeseeable emergency and thus a Hardship within the meaning of this Paragraph 2(ee).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2(ee) for all Grantees in similar circumstances.</w:t>
      </w:r>
    </w:p>
    <w:p>
      <w:pPr>
        <w:spacing w:after="0" w:line="15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(af)</w:t>
        <w:tab/>
        <w:t>“</w:t>
      </w:r>
      <w:r>
        <w:rPr>
          <w:rFonts w:ascii="Times New Roman" w:cs="Times New Roman" w:eastAsia="Times New Roman" w:hAnsi="Times New Roman"/>
          <w:sz w:val="22"/>
          <w:szCs w:val="22"/>
          <w:u w:val="single" w:color="auto"/>
          <w:color w:val="auto"/>
        </w:rPr>
        <w:t>High Balance Participant</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0"/>
          </w:cols>
          <w:pgMar w:left="980" w:top="1395" w:right="339" w:bottom="1440" w:gutter="0" w:footer="0" w:header="0"/>
        </w:sectPr>
      </w:pPr>
    </w:p>
    <w:bookmarkStart w:id="247" w:name="page248"/>
    <w:bookmarkEnd w:id="247"/>
    <w:p>
      <w:pPr>
        <w:ind w:left="1480" w:right="180" w:hanging="648"/>
        <w:spacing w:after="0" w:line="236" w:lineRule="auto"/>
        <w:tabs>
          <w:tab w:leader="none" w:pos="1468"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Grantee the value of whose Account that is deemed invested in the Income Fund is greater than or equal to the Income Fund Limit, as determined by the Committee;</w:t>
      </w:r>
    </w:p>
    <w:p>
      <w:pPr>
        <w:spacing w:after="0" w:line="150" w:lineRule="exact"/>
        <w:rPr>
          <w:rFonts w:ascii="Times New Roman" w:cs="Times New Roman" w:eastAsia="Times New Roman" w:hAnsi="Times New Roman"/>
          <w:sz w:val="22"/>
          <w:szCs w:val="22"/>
          <w:color w:val="auto"/>
        </w:rPr>
      </w:pPr>
    </w:p>
    <w:p>
      <w:pPr>
        <w:ind w:left="1480" w:right="800" w:hanging="648"/>
        <w:spacing w:after="0" w:line="236" w:lineRule="auto"/>
        <w:tabs>
          <w:tab w:leader="none" w:pos="1474"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July 31, 2020, a Grantee who is, as of any relevant date of determination, a Non-Employee Director; and</w:t>
      </w:r>
    </w:p>
    <w:p>
      <w:pPr>
        <w:spacing w:after="0" w:line="150" w:lineRule="exact"/>
        <w:rPr>
          <w:rFonts w:ascii="Times New Roman" w:cs="Times New Roman" w:eastAsia="Times New Roman" w:hAnsi="Times New Roman"/>
          <w:sz w:val="22"/>
          <w:szCs w:val="22"/>
          <w:color w:val="auto"/>
        </w:rPr>
      </w:pPr>
    </w:p>
    <w:p>
      <w:pPr>
        <w:ind w:left="1480" w:right="100" w:hanging="648"/>
        <w:spacing w:after="0" w:line="236" w:lineRule="auto"/>
        <w:tabs>
          <w:tab w:leader="none" w:pos="148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February 28, 2021, a Grantee who is, as of any relevant date of determination, a Covered Grantee.</w:t>
      </w:r>
    </w:p>
    <w:p>
      <w:pPr>
        <w:spacing w:after="0" w:line="150"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22"/>
          <w:szCs w:val="22"/>
          <w:color w:val="auto"/>
        </w:rPr>
        <w:t>(ag)</w:t>
        <w:tab/>
        <w:t>“</w:t>
      </w:r>
      <w:r>
        <w:rPr>
          <w:rFonts w:ascii="Times New Roman" w:cs="Times New Roman" w:eastAsia="Times New Roman" w:hAnsi="Times New Roman"/>
          <w:sz w:val="22"/>
          <w:szCs w:val="22"/>
          <w:u w:val="single" w:color="auto"/>
          <w:color w:val="auto"/>
        </w:rPr>
        <w:t>High-Water Mark</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left="1480" w:right="80" w:hanging="648"/>
        <w:spacing w:after="0" w:line="236" w:lineRule="auto"/>
        <w:tabs>
          <w:tab w:leader="none" w:pos="1468"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pacing w:after="0" w:line="151" w:lineRule="exact"/>
        <w:rPr>
          <w:rFonts w:ascii="Times New Roman" w:cs="Times New Roman" w:eastAsia="Times New Roman" w:hAnsi="Times New Roman"/>
          <w:sz w:val="21"/>
          <w:szCs w:val="21"/>
          <w:color w:val="auto"/>
        </w:rPr>
      </w:pPr>
    </w:p>
    <w:p>
      <w:pPr>
        <w:ind w:left="2120" w:hanging="640"/>
        <w:spacing w:after="0" w:line="236" w:lineRule="auto"/>
        <w:tabs>
          <w:tab w:leader="none" w:pos="2109"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Grantee’s Account under the 2005 Deferred Compensation Plan, to the extent credited to the Income Fund; plus</w:t>
      </w:r>
    </w:p>
    <w:p>
      <w:pPr>
        <w:spacing w:after="0" w:line="150" w:lineRule="exact"/>
        <w:rPr>
          <w:rFonts w:ascii="Times New Roman" w:cs="Times New Roman" w:eastAsia="Times New Roman" w:hAnsi="Times New Roman"/>
          <w:sz w:val="22"/>
          <w:szCs w:val="22"/>
          <w:color w:val="auto"/>
        </w:rPr>
      </w:pPr>
    </w:p>
    <w:p>
      <w:pPr>
        <w:ind w:left="2120" w:hanging="640"/>
        <w:spacing w:after="0" w:line="236" w:lineRule="auto"/>
        <w:tabs>
          <w:tab w:leader="none" w:pos="2111"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Grantee’s Account under the 2002 Deferred Compensation Plan, to the extent credited to the Income Fund; plus</w:t>
      </w:r>
    </w:p>
    <w:p>
      <w:pPr>
        <w:spacing w:after="0" w:line="150"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Grantee’s Account under this Plan credited to the Income Fund.</w:t>
      </w:r>
    </w:p>
    <w:p>
      <w:pPr>
        <w:spacing w:after="0" w:line="179" w:lineRule="exact"/>
        <w:rPr>
          <w:rFonts w:ascii="Times New Roman" w:cs="Times New Roman" w:eastAsia="Times New Roman" w:hAnsi="Times New Roman"/>
          <w:sz w:val="22"/>
          <w:szCs w:val="22"/>
          <w:color w:val="auto"/>
        </w:rPr>
      </w:pPr>
    </w:p>
    <w:p>
      <w:pPr>
        <w:ind w:left="1480" w:right="20" w:hanging="648"/>
        <w:spacing w:after="0" w:line="217" w:lineRule="auto"/>
        <w:tabs>
          <w:tab w:leader="none" w:pos="147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amounts credited to the Income Fund on account of Diversification Elections and Special Diversification Elections made after 2014, the sum of (x) plus (y) where (x) equals the highest of the sum of the amounts described in Paragraphs 2(ee)(i)(A), (B) and (C) as of the last day of any calendar quarter beginning after December 31, 2008 and before January 1, 2014, and (y) equals the sum of:</w:t>
      </w:r>
    </w:p>
    <w:p>
      <w:pPr>
        <w:spacing w:after="0" w:line="152" w:lineRule="exact"/>
        <w:rPr>
          <w:rFonts w:ascii="Times New Roman" w:cs="Times New Roman" w:eastAsia="Times New Roman" w:hAnsi="Times New Roman"/>
          <w:sz w:val="22"/>
          <w:szCs w:val="22"/>
          <w:color w:val="auto"/>
        </w:rPr>
      </w:pPr>
    </w:p>
    <w:p>
      <w:pPr>
        <w:ind w:left="2120" w:right="60" w:hanging="640"/>
        <w:spacing w:after="0" w:line="220" w:lineRule="auto"/>
        <w:tabs>
          <w:tab w:leader="none" w:pos="2109"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credited to the Income Fund with respect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152" w:lineRule="exact"/>
        <w:rPr>
          <w:rFonts w:ascii="Times New Roman" w:cs="Times New Roman" w:eastAsia="Times New Roman" w:hAnsi="Times New Roman"/>
          <w:sz w:val="22"/>
          <w:szCs w:val="22"/>
          <w:color w:val="auto"/>
        </w:rPr>
      </w:pPr>
    </w:p>
    <w:p>
      <w:pPr>
        <w:ind w:left="2120" w:right="40" w:hanging="640"/>
        <w:spacing w:after="0" w:line="220" w:lineRule="auto"/>
        <w:tabs>
          <w:tab w:leader="none" w:pos="2111"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deferred portion of a Grantee’s cash bonus award earned for 2013 to the extent credited to the Income Fund and payable, but for the Grantee’s deferral election under the 2005 Deferred Compensation Plan after December 31, 2013 and on or before September 30, 2014; plus</w:t>
      </w:r>
    </w:p>
    <w:p>
      <w:pPr>
        <w:spacing w:after="0" w:line="152" w:lineRule="exact"/>
        <w:rPr>
          <w:rFonts w:ascii="Times New Roman" w:cs="Times New Roman" w:eastAsia="Times New Roman" w:hAnsi="Times New Roman"/>
          <w:sz w:val="22"/>
          <w:szCs w:val="22"/>
          <w:color w:val="auto"/>
        </w:rPr>
      </w:pPr>
    </w:p>
    <w:p>
      <w:pPr>
        <w:ind w:left="2120" w:right="240" w:hanging="640"/>
        <w:spacing w:after="0" w:line="255" w:lineRule="auto"/>
        <w:tabs>
          <w:tab w:leader="none" w:pos="2111"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credited to the Income Fund pursuant to a Diversification Election or Special Diversification Election made by a Grantee before January 1, 2014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100"/>
          </w:cols>
          <w:pgMar w:left="1440" w:top="1395" w:right="359" w:bottom="1440" w:gutter="0" w:footer="0" w:header="0"/>
        </w:sectPr>
      </w:pPr>
    </w:p>
    <w:bookmarkStart w:id="248" w:name="page249"/>
    <w:bookmarkEnd w:id="248"/>
    <w:p>
      <w:pPr>
        <w:ind w:left="3232" w:right="280"/>
        <w:spacing w:after="0" w:line="236" w:lineRule="auto"/>
        <w:rPr>
          <w:sz w:val="20"/>
          <w:szCs w:val="20"/>
          <w:color w:val="auto"/>
        </w:rPr>
      </w:pPr>
      <w:r>
        <w:rPr>
          <w:rFonts w:ascii="Times New Roman" w:cs="Times New Roman" w:eastAsia="Times New Roman" w:hAnsi="Times New Roman"/>
          <w:sz w:val="22"/>
          <w:szCs w:val="22"/>
          <w:color w:val="auto"/>
        </w:rPr>
        <w:t>Restricted Stock Units that vest after December 31, 2013 and on or before September 30, 2014.</w:t>
      </w:r>
    </w:p>
    <w:p>
      <w:pPr>
        <w:spacing w:after="0" w:line="150" w:lineRule="exact"/>
        <w:rPr>
          <w:sz w:val="20"/>
          <w:szCs w:val="20"/>
          <w:color w:val="auto"/>
        </w:rPr>
      </w:pPr>
    </w:p>
    <w:p>
      <w:pPr>
        <w:ind w:left="652" w:firstLine="648"/>
        <w:spacing w:after="0" w:line="217" w:lineRule="auto"/>
        <w:rPr>
          <w:sz w:val="20"/>
          <w:szCs w:val="20"/>
          <w:color w:val="auto"/>
        </w:rPr>
      </w:pPr>
      <w:r>
        <w:rPr>
          <w:rFonts w:ascii="Times New Roman" w:cs="Times New Roman" w:eastAsia="Times New Roman" w:hAnsi="Times New Roman"/>
          <w:sz w:val="21"/>
          <w:szCs w:val="21"/>
          <w:color w:val="auto"/>
        </w:rPr>
        <w:t>(ah) “</w:t>
      </w:r>
      <w:r>
        <w:rPr>
          <w:rFonts w:ascii="Times New Roman" w:cs="Times New Roman" w:eastAsia="Times New Roman" w:hAnsi="Times New Roman"/>
          <w:sz w:val="21"/>
          <w:szCs w:val="21"/>
          <w:u w:val="single" w:color="auto"/>
          <w:color w:val="auto"/>
        </w:rPr>
        <w:t>Income Fund</w:t>
      </w:r>
      <w:r>
        <w:rPr>
          <w:rFonts w:ascii="Times New Roman" w:cs="Times New Roman" w:eastAsia="Times New Roman" w:hAnsi="Times New Roman"/>
          <w:sz w:val="21"/>
          <w:szCs w:val="21"/>
          <w:color w:val="auto"/>
        </w:rPr>
        <w:t>” means a hypothetical investment fund pursuant to which an amount equal to the Fair Market Value of Deferred Stock Units subject to a Diversification Election is credited as of the effective date of such Diversification Election and, except as otherwise provided in Paragraph 8(j) and Paragraph 8(k), as to which interest is credited thereafter until the date of distribution at the Applicable Interest Rate. In addition, the Income Fund shall also be deemed to hold dividend equivalents and earnings on dividend equivalents credited to a Grantee’s Account as described in Paragraph 2(b) and Paragraph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Grantee’s account under such</w:t>
      </w:r>
    </w:p>
    <w:p>
      <w:pPr>
        <w:spacing w:after="0" w:line="5" w:lineRule="exact"/>
        <w:rPr>
          <w:sz w:val="20"/>
          <w:szCs w:val="20"/>
          <w:color w:val="auto"/>
        </w:rPr>
      </w:pPr>
    </w:p>
    <w:p>
      <w:pPr>
        <w:ind w:left="652" w:right="360"/>
        <w:spacing w:after="0" w:line="211" w:lineRule="auto"/>
        <w:rPr>
          <w:sz w:val="20"/>
          <w:szCs w:val="20"/>
          <w:color w:val="auto"/>
        </w:rPr>
      </w:pPr>
      <w:r>
        <w:rPr>
          <w:rFonts w:ascii="Times New Roman" w:cs="Times New Roman" w:eastAsia="Times New Roman" w:hAnsi="Times New Roman"/>
          <w:sz w:val="22"/>
          <w:szCs w:val="22"/>
          <w:color w:val="auto"/>
        </w:rPr>
        <w:t>2005 Deferred Compensation Plan. The “</w:t>
      </w:r>
      <w:r>
        <w:rPr>
          <w:rFonts w:ascii="Times New Roman" w:cs="Times New Roman" w:eastAsia="Times New Roman" w:hAnsi="Times New Roman"/>
          <w:sz w:val="22"/>
          <w:szCs w:val="22"/>
          <w:u w:val="single" w:color="auto"/>
          <w:color w:val="auto"/>
        </w:rPr>
        <w:t>9% Fund</w:t>
      </w:r>
      <w:r>
        <w:rPr>
          <w:rFonts w:ascii="Times New Roman" w:cs="Times New Roman" w:eastAsia="Times New Roman" w:hAnsi="Times New Roman"/>
          <w:sz w:val="22"/>
          <w:szCs w:val="22"/>
          <w:color w:val="auto"/>
        </w:rPr>
        <w:t>” means that portion of the Income Fund with respect to which the Applicable Interest Rate is 9%. The “</w:t>
      </w:r>
      <w:r>
        <w:rPr>
          <w:rFonts w:ascii="Times New Roman" w:cs="Times New Roman" w:eastAsia="Times New Roman" w:hAnsi="Times New Roman"/>
          <w:sz w:val="22"/>
          <w:szCs w:val="22"/>
          <w:u w:val="single" w:color="auto"/>
          <w:color w:val="auto"/>
        </w:rPr>
        <w:t>12% Fund</w:t>
      </w:r>
      <w:r>
        <w:rPr>
          <w:rFonts w:ascii="Times New Roman" w:cs="Times New Roman" w:eastAsia="Times New Roman" w:hAnsi="Times New Roman"/>
          <w:sz w:val="22"/>
          <w:szCs w:val="22"/>
          <w:color w:val="auto"/>
        </w:rPr>
        <w:t>” means that portion of the Income Fund with respect to which the Applicable Interest Rate is 12%. The “</w:t>
      </w:r>
      <w:r>
        <w:rPr>
          <w:rFonts w:ascii="Times New Roman" w:cs="Times New Roman" w:eastAsia="Times New Roman" w:hAnsi="Times New Roman"/>
          <w:sz w:val="22"/>
          <w:szCs w:val="22"/>
          <w:u w:val="single" w:color="auto"/>
          <w:color w:val="auto"/>
        </w:rPr>
        <w:t>Prime Plus One Fund</w:t>
      </w:r>
      <w:r>
        <w:rPr>
          <w:rFonts w:ascii="Times New Roman" w:cs="Times New Roman" w:eastAsia="Times New Roman" w:hAnsi="Times New Roman"/>
          <w:sz w:val="22"/>
          <w:szCs w:val="22"/>
          <w:color w:val="auto"/>
        </w:rPr>
        <w:t>” means that portion of the Income Fund with respect to which the Applicable Interest Rate is described in Paragraph 2(f)(ii). For purposes of this Paragraph 2(hh), the Income Fund shall include amounts credited to the Income Fund under the 2002 Deferred Compensation Plan and the 2005 Deferred Compensation Plan.</w:t>
      </w:r>
    </w:p>
    <w:p>
      <w:pPr>
        <w:spacing w:after="0" w:line="154" w:lineRule="exact"/>
        <w:rPr>
          <w:sz w:val="20"/>
          <w:szCs w:val="20"/>
          <w:color w:val="auto"/>
        </w:rPr>
      </w:pPr>
    </w:p>
    <w:p>
      <w:pPr>
        <w:ind w:left="1292"/>
        <w:spacing w:after="0"/>
        <w:tabs>
          <w:tab w:leader="none" w:pos="1912" w:val="left"/>
        </w:tabs>
        <w:rPr>
          <w:sz w:val="20"/>
          <w:szCs w:val="20"/>
          <w:color w:val="auto"/>
        </w:rPr>
      </w:pPr>
      <w:r>
        <w:rPr>
          <w:rFonts w:ascii="Times New Roman" w:cs="Times New Roman" w:eastAsia="Times New Roman" w:hAnsi="Times New Roman"/>
          <w:sz w:val="22"/>
          <w:szCs w:val="22"/>
          <w:color w:val="auto"/>
        </w:rPr>
        <w:t>(ai)</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Fund Limit</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left="2592" w:right="120" w:hanging="648"/>
        <w:spacing w:after="0" w:line="215" w:lineRule="auto"/>
        <w:tabs>
          <w:tab w:leader="none" w:pos="258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Grantees other than Non-Employee Directors and Covered Grantees, $100 million, provided that if the amount credited to a Grantee’s Income Fund is greater than $100 million as of December 31, 2019, the Income Fund Limit applicable to such Grantee for any applicable Plan Year shall be equal to the amount credited to a Grantee’s Income Fund as of the December 31 immediately preceding such applicable Plan Year until such balance is equal to or less than $100 million.</w:t>
      </w:r>
    </w:p>
    <w:p>
      <w:pPr>
        <w:spacing w:after="0" w:line="152" w:lineRule="exact"/>
        <w:rPr>
          <w:rFonts w:ascii="Times New Roman" w:cs="Times New Roman" w:eastAsia="Times New Roman" w:hAnsi="Times New Roman"/>
          <w:sz w:val="22"/>
          <w:szCs w:val="22"/>
          <w:color w:val="auto"/>
        </w:rPr>
      </w:pPr>
    </w:p>
    <w:p>
      <w:pPr>
        <w:ind w:left="2592" w:right="160" w:hanging="648"/>
        <w:spacing w:after="0" w:line="236" w:lineRule="auto"/>
        <w:tabs>
          <w:tab w:leader="none" w:pos="2586"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Grantees who are Non-Employee Directors, effective as of July 31, 2020, $0 (zero dollars).</w:t>
      </w:r>
    </w:p>
    <w:p>
      <w:pPr>
        <w:spacing w:after="0" w:line="150" w:lineRule="exact"/>
        <w:rPr>
          <w:rFonts w:ascii="Times New Roman" w:cs="Times New Roman" w:eastAsia="Times New Roman" w:hAnsi="Times New Roman"/>
          <w:sz w:val="22"/>
          <w:szCs w:val="22"/>
          <w:color w:val="auto"/>
        </w:rPr>
      </w:pPr>
    </w:p>
    <w:p>
      <w:pPr>
        <w:ind w:left="2592" w:right="360" w:hanging="648"/>
        <w:spacing w:after="0" w:line="236" w:lineRule="auto"/>
        <w:tabs>
          <w:tab w:leader="none" w:pos="259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Grantees who are Covered Grantees, effective as of February 28, 2021, $0 (zero dollars).</w:t>
      </w:r>
    </w:p>
    <w:p>
      <w:pPr>
        <w:spacing w:after="0" w:line="150" w:lineRule="exact"/>
        <w:rPr>
          <w:rFonts w:ascii="Times New Roman" w:cs="Times New Roman" w:eastAsia="Times New Roman" w:hAnsi="Times New Roman"/>
          <w:sz w:val="22"/>
          <w:szCs w:val="22"/>
          <w:color w:val="auto"/>
        </w:rPr>
      </w:pPr>
    </w:p>
    <w:p>
      <w:pPr>
        <w:ind w:left="2592" w:right="820" w:hanging="648"/>
        <w:spacing w:after="0" w:line="236" w:lineRule="auto"/>
        <w:tabs>
          <w:tab w:leader="none" w:pos="258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last day of the month following the date a Grantee first becomes a Non-Employee Director or a Covered Grantee, $0 (zero dollars).</w:t>
      </w:r>
    </w:p>
    <w:p>
      <w:pPr>
        <w:spacing w:after="0" w:line="177" w:lineRule="exact"/>
        <w:rPr>
          <w:sz w:val="20"/>
          <w:szCs w:val="20"/>
          <w:color w:val="auto"/>
        </w:rPr>
      </w:pPr>
    </w:p>
    <w:p>
      <w:pPr>
        <w:ind w:left="-8" w:right="140" w:firstLine="8"/>
        <w:spacing w:after="0" w:line="257" w:lineRule="auto"/>
        <w:tabs>
          <w:tab w:leader="none" w:pos="62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waive or modify downward the Income Fund Limit applicable to one or more High Balance Participants in its discretion. For purposes of this Paragraph 2(ii), the Income Fund shall include amounts credited to the Income Fund under the 2002 Deferred Compensation Plan and 2005 Deferred Compensation Plan.</w:t>
      </w:r>
    </w:p>
    <w:p>
      <w:pPr>
        <w:spacing w:after="0" w:line="159" w:lineRule="exact"/>
        <w:rPr>
          <w:sz w:val="20"/>
          <w:szCs w:val="20"/>
          <w:color w:val="auto"/>
        </w:rPr>
      </w:pPr>
    </w:p>
    <w:p>
      <w:pPr>
        <w:ind w:left="652" w:right="120" w:firstLine="648"/>
        <w:spacing w:after="0" w:line="225" w:lineRule="auto"/>
        <w:rPr>
          <w:sz w:val="20"/>
          <w:szCs w:val="20"/>
          <w:color w:val="auto"/>
        </w:rPr>
      </w:pPr>
      <w:r>
        <w:rPr>
          <w:rFonts w:ascii="Times New Roman" w:cs="Times New Roman" w:eastAsia="Times New Roman" w:hAnsi="Times New Roman"/>
          <w:sz w:val="22"/>
          <w:szCs w:val="22"/>
          <w:color w:val="auto"/>
        </w:rPr>
        <w:t>(aj) “</w:t>
      </w:r>
      <w:r>
        <w:rPr>
          <w:rFonts w:ascii="Times New Roman" w:cs="Times New Roman" w:eastAsia="Times New Roman" w:hAnsi="Times New Roman"/>
          <w:sz w:val="22"/>
          <w:szCs w:val="22"/>
          <w:u w:val="single" w:color="auto"/>
          <w:color w:val="auto"/>
        </w:rPr>
        <w:t>Initial Deferral Election</w:t>
      </w:r>
      <w:r>
        <w:rPr>
          <w:rFonts w:ascii="Times New Roman" w:cs="Times New Roman" w:eastAsia="Times New Roman" w:hAnsi="Times New Roman"/>
          <w:sz w:val="22"/>
          <w:szCs w:val="22"/>
          <w:color w:val="auto"/>
        </w:rPr>
        <w:t>” means a written election on a form provided by the Committee, pursuant to which a Grantee: (i) elects, within the time or times specified in Paragraph 8(a)(i), to defer the distribution date of Shares issuable with respect to Restricted Stock Units; and (ii) designates the distribution date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32"/>
          </w:cols>
          <w:pgMar w:left="328" w:top="1395" w:right="339" w:bottom="1440" w:gutter="0" w:footer="0" w:header="0"/>
        </w:sectPr>
      </w:pPr>
    </w:p>
    <w:bookmarkStart w:id="249" w:name="page250"/>
    <w:bookmarkEnd w:id="249"/>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(ak)</w:t>
        <w:tab/>
        <w:t>“</w:t>
      </w:r>
      <w:r>
        <w:rPr>
          <w:rFonts w:ascii="Times New Roman" w:cs="Times New Roman" w:eastAsia="Times New Roman" w:hAnsi="Times New Roman"/>
          <w:sz w:val="22"/>
          <w:szCs w:val="22"/>
          <w:u w:val="single" w:color="auto"/>
          <w:color w:val="auto"/>
        </w:rPr>
        <w:t>New Key Employee</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left="1940" w:right="700" w:hanging="648"/>
        <w:spacing w:after="0" w:line="236" w:lineRule="auto"/>
        <w:tabs>
          <w:tab w:leader="none" w:pos="1928"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for the period extending from January 1, 2014 through December 31, 2018, each employee of a Participating Company who:</w:t>
      </w:r>
    </w:p>
    <w:p>
      <w:pPr>
        <w:spacing w:after="0" w:line="150" w:lineRule="exact"/>
        <w:rPr>
          <w:rFonts w:ascii="Times New Roman" w:cs="Times New Roman" w:eastAsia="Times New Roman" w:hAnsi="Times New Roman"/>
          <w:sz w:val="22"/>
          <w:szCs w:val="22"/>
          <w:color w:val="auto"/>
        </w:rPr>
      </w:pPr>
    </w:p>
    <w:p>
      <w:pPr>
        <w:ind w:left="2580" w:right="560" w:hanging="640"/>
        <w:spacing w:after="0" w:line="236" w:lineRule="auto"/>
        <w:tabs>
          <w:tab w:leader="none" w:pos="2569"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an employee of a Participating Company and has an Annual Rate of Pay of $250,000 or more as of his employment commencement date; or</w:t>
      </w:r>
    </w:p>
    <w:p>
      <w:pPr>
        <w:spacing w:after="0" w:line="150" w:lineRule="exact"/>
        <w:rPr>
          <w:rFonts w:ascii="Times New Roman" w:cs="Times New Roman" w:eastAsia="Times New Roman" w:hAnsi="Times New Roman"/>
          <w:sz w:val="22"/>
          <w:szCs w:val="22"/>
          <w:color w:val="auto"/>
        </w:rPr>
      </w:pPr>
    </w:p>
    <w:p>
      <w:pPr>
        <w:ind w:left="2580" w:right="320" w:hanging="640"/>
        <w:spacing w:after="0" w:line="236" w:lineRule="auto"/>
        <w:tabs>
          <w:tab w:leader="none" w:pos="2571"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 Annual Rate of Pay that is increased to $250,000 or more and who, immediately preceding such increase, was not a Deferral Eligible Employee.</w:t>
      </w:r>
    </w:p>
    <w:p>
      <w:pPr>
        <w:spacing w:after="0" w:line="150"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on and after January 1, 2019, each employee of a Participating Company who:</w:t>
      </w:r>
    </w:p>
    <w:p>
      <w:pPr>
        <w:spacing w:after="0" w:line="179" w:lineRule="exact"/>
        <w:rPr>
          <w:rFonts w:ascii="Times New Roman" w:cs="Times New Roman" w:eastAsia="Times New Roman" w:hAnsi="Times New Roman"/>
          <w:sz w:val="22"/>
          <w:szCs w:val="22"/>
          <w:color w:val="auto"/>
        </w:rPr>
      </w:pPr>
    </w:p>
    <w:p>
      <w:pPr>
        <w:ind w:left="2580" w:right="560" w:hanging="640"/>
        <w:spacing w:after="0" w:line="236" w:lineRule="auto"/>
        <w:tabs>
          <w:tab w:leader="none" w:pos="2569"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an employee of a Participating Company and has an Annual Rate of Pay of $350,000 or more as of his employment commencement date; or</w:t>
      </w:r>
    </w:p>
    <w:p>
      <w:pPr>
        <w:spacing w:after="0" w:line="150" w:lineRule="exact"/>
        <w:rPr>
          <w:rFonts w:ascii="Times New Roman" w:cs="Times New Roman" w:eastAsia="Times New Roman" w:hAnsi="Times New Roman"/>
          <w:sz w:val="22"/>
          <w:szCs w:val="22"/>
          <w:color w:val="auto"/>
        </w:rPr>
      </w:pPr>
    </w:p>
    <w:p>
      <w:pPr>
        <w:ind w:left="2580" w:right="320" w:hanging="640"/>
        <w:spacing w:after="0" w:line="236" w:lineRule="auto"/>
        <w:tabs>
          <w:tab w:leader="none" w:pos="2571"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 Annual Rate of Pay that is increased to $350,000 or more and who, immediately preceding such increase, was not a Deferral Eligible Employee.</w:t>
      </w:r>
    </w:p>
    <w:p>
      <w:pPr>
        <w:spacing w:after="0" w:line="1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(al) “</w:t>
      </w:r>
      <w:r>
        <w:rPr>
          <w:rFonts w:ascii="Times New Roman" w:cs="Times New Roman" w:eastAsia="Times New Roman" w:hAnsi="Times New Roman"/>
          <w:sz w:val="21"/>
          <w:szCs w:val="21"/>
          <w:u w:val="single" w:color="auto"/>
          <w:color w:val="auto"/>
        </w:rPr>
        <w:t>Non-Employee Director</w:t>
      </w:r>
      <w:r>
        <w:rPr>
          <w:rFonts w:ascii="Times New Roman" w:cs="Times New Roman" w:eastAsia="Times New Roman" w:hAnsi="Times New Roman"/>
          <w:sz w:val="21"/>
          <w:szCs w:val="21"/>
          <w:color w:val="auto"/>
        </w:rPr>
        <w:t>” means an individual who is a member of the Board, and who is not an Eligible Employee, including an individual who is a member of the Board and who previously was an employee of the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(am)</w:t>
            </w:r>
          </w:p>
        </w:tc>
        <w:tc>
          <w:tcPr>
            <w:tcW w:w="910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w w:val="98"/>
              </w:rPr>
              <w:t>“Normal Retirement” means a Grantee’s termination of employment that is treated by the Participating</w:t>
            </w:r>
          </w:p>
        </w:tc>
      </w:tr>
      <w:tr>
        <w:trPr>
          <w:trHeight w:val="276"/>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 as a</w:t>
            </w:r>
          </w:p>
        </w:tc>
        <w:tc>
          <w:tcPr>
            <w:tcW w:w="16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6"/>
              </w:rPr>
              <w:t>retirement under its</w:t>
            </w:r>
          </w:p>
        </w:tc>
        <w:tc>
          <w:tcPr>
            <w:tcW w:w="7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employment policies and practices as in effect from time to time.</w:t>
            </w:r>
          </w:p>
        </w:tc>
      </w:tr>
      <w:tr>
        <w:trPr>
          <w:trHeight w:val="352"/>
        </w:trPr>
        <w:tc>
          <w:tcPr>
            <w:tcW w:w="11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(an)</w:t>
            </w:r>
          </w:p>
        </w:tc>
        <w:tc>
          <w:tcPr>
            <w:tcW w:w="910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“Other Available Shares” means, as of any date, the sum of:</w:t>
            </w:r>
          </w:p>
        </w:tc>
      </w:tr>
      <w:tr>
        <w:trPr>
          <w:trHeight w:val="20"/>
        </w:trPr>
        <w:tc>
          <w:tcPr>
            <w:tcW w:w="1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(i)</w:t>
            </w:r>
          </w:p>
        </w:tc>
        <w:tc>
          <w:tcPr>
            <w:tcW w:w="852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7"/>
              </w:rPr>
              <w:t>The total number of Shares owned by a Grantee or such Grantee’s Family Member that were not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20" w:type="dxa"/>
            <w:vAlign w:val="bottom"/>
            <w:gridSpan w:val="4"/>
          </w:tcPr>
          <w:p>
            <w:pPr>
              <w:ind w:left="200"/>
              <w:spacing w:after="0" w:line="216" w:lineRule="exact"/>
              <w:rPr>
                <w:sz w:val="20"/>
                <w:szCs w:val="20"/>
                <w:color w:val="auto"/>
              </w:rPr>
            </w:pPr>
            <w:r>
              <w:rPr>
                <w:rFonts w:ascii="Times New Roman" w:cs="Times New Roman" w:eastAsia="Times New Roman" w:hAnsi="Times New Roman"/>
                <w:sz w:val="22"/>
                <w:szCs w:val="22"/>
                <w:color w:val="auto"/>
              </w:rPr>
              <w:t>acquired by such Grantee or such Grantee’s Family Member pursuant to a Comcast Plan or</w:t>
            </w:r>
          </w:p>
        </w:tc>
      </w:tr>
      <w:tr>
        <w:trPr>
          <w:trHeight w:val="28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otherwise in connection with the performance of services to the Company or an Affiliate; plus</w:t>
            </w:r>
          </w:p>
        </w:tc>
      </w:tr>
      <w:tr>
        <w:trPr>
          <w:trHeight w:val="432"/>
        </w:trPr>
        <w:tc>
          <w:tcPr>
            <w:tcW w:w="1160" w:type="dxa"/>
            <w:vAlign w:val="bottom"/>
          </w:tcPr>
          <w:p>
            <w:pPr>
              <w:spacing w:after="0"/>
              <w:rPr>
                <w:sz w:val="24"/>
                <w:szCs w:val="24"/>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(ii)</w:t>
            </w:r>
          </w:p>
        </w:tc>
        <w:tc>
          <w:tcPr>
            <w:tcW w:w="85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The excess, if any of:</w:t>
            </w:r>
          </w:p>
        </w:tc>
      </w:tr>
      <w:tr>
        <w:trPr>
          <w:trHeight w:val="366"/>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w:t>
            </w:r>
          </w:p>
        </w:tc>
        <w:tc>
          <w:tcPr>
            <w:tcW w:w="78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8"/>
              </w:rPr>
              <w:t>The total number of Shares owned by a Grantee or such Grantee’s Family Member other</w:t>
            </w:r>
          </w:p>
        </w:tc>
      </w:tr>
      <w:tr>
        <w:trPr>
          <w:trHeight w:val="28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than the Shares described in Paragraph 2(nn)(i); over</w:t>
            </w:r>
          </w:p>
        </w:tc>
      </w:tr>
      <w:tr>
        <w:trPr>
          <w:trHeight w:val="43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w:t>
            </w:r>
          </w:p>
        </w:tc>
        <w:tc>
          <w:tcPr>
            <w:tcW w:w="78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The sum of:</w:t>
            </w:r>
          </w:p>
        </w:tc>
      </w:tr>
      <w:tr>
        <w:trPr>
          <w:trHeight w:val="366"/>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w:t>
            </w:r>
          </w:p>
        </w:tc>
        <w:tc>
          <w:tcPr>
            <w:tcW w:w="72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The number of such Shares owned by such Grantee or such Grantee’s Family</w:t>
            </w:r>
          </w:p>
        </w:tc>
      </w:tr>
      <w:tr>
        <w:trPr>
          <w:trHeight w:val="28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Member for less than six months; plus</w:t>
            </w:r>
          </w:p>
        </w:tc>
      </w:tr>
      <w:tr>
        <w:trPr>
          <w:trHeight w:val="366"/>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w:t>
            </w:r>
          </w:p>
        </w:tc>
        <w:tc>
          <w:tcPr>
            <w:tcW w:w="72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The number of such Shares owned by such Grantee or such Grantee’s Family</w:t>
            </w:r>
          </w:p>
        </w:tc>
      </w:tr>
      <w:tr>
        <w:trPr>
          <w:trHeight w:val="28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Member that has, within the preceding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440"/>
          </w:cols>
          <w:pgMar w:left="980" w:top="1395" w:right="479" w:bottom="1440" w:gutter="0" w:footer="0" w:header="0"/>
        </w:sectPr>
      </w:pPr>
    </w:p>
    <w:bookmarkStart w:id="250" w:name="page251"/>
    <w:bookmarkEnd w:id="250"/>
    <w:p>
      <w:pPr>
        <w:ind w:left="1944" w:right="840"/>
        <w:spacing w:after="0" w:line="236" w:lineRule="auto"/>
        <w:rPr>
          <w:sz w:val="20"/>
          <w:szCs w:val="20"/>
          <w:color w:val="auto"/>
        </w:rPr>
      </w:pPr>
      <w:r>
        <w:rPr>
          <w:rFonts w:ascii="Times New Roman" w:cs="Times New Roman" w:eastAsia="Times New Roman" w:hAnsi="Times New Roman"/>
          <w:sz w:val="22"/>
          <w:szCs w:val="22"/>
          <w:color w:val="auto"/>
        </w:rPr>
        <w:t>six months, been the subject of a certification pursuant to Paragraph 9(c)(ii) or any similar certification under any other Comcast Plan; plus</w:t>
      </w:r>
    </w:p>
    <w:p>
      <w:pPr>
        <w:spacing w:after="0" w:line="150" w:lineRule="exact"/>
        <w:rPr>
          <w:sz w:val="20"/>
          <w:szCs w:val="20"/>
          <w:color w:val="auto"/>
        </w:rPr>
      </w:pPr>
    </w:p>
    <w:p>
      <w:pPr>
        <w:ind w:left="1944" w:right="200" w:firstLine="648"/>
        <w:spacing w:after="0" w:line="215" w:lineRule="auto"/>
        <w:tabs>
          <w:tab w:leader="none" w:pos="3235"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52" w:lineRule="exact"/>
        <w:rPr>
          <w:rFonts w:ascii="Times New Roman" w:cs="Times New Roman" w:eastAsia="Times New Roman" w:hAnsi="Times New Roman"/>
          <w:sz w:val="22"/>
          <w:szCs w:val="22"/>
          <w:color w:val="auto"/>
        </w:rPr>
      </w:pPr>
    </w:p>
    <w:p>
      <w:pPr>
        <w:ind w:left="1944" w:right="20" w:firstLine="648"/>
        <w:spacing w:after="0" w:line="231" w:lineRule="auto"/>
        <w:tabs>
          <w:tab w:leader="none" w:pos="3235"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77" w:lineRule="exact"/>
        <w:rPr>
          <w:rFonts w:ascii="Times New Roman" w:cs="Times New Roman" w:eastAsia="Times New Roman" w:hAnsi="Times New Roman"/>
          <w:sz w:val="21"/>
          <w:szCs w:val="21"/>
          <w:color w:val="auto"/>
        </w:rPr>
      </w:pPr>
    </w:p>
    <w:p>
      <w:pPr>
        <w:ind w:left="4" w:hanging="4"/>
        <w:spacing w:after="0" w:line="253" w:lineRule="auto"/>
        <w:tabs>
          <w:tab w:leader="none" w:pos="647"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Paragraph 2(nn), a Share that is subject to an Election pursuant to Paragraph 8 or a deferral election pursuant to another Comcast Plan shall not be treated as owned by a Grantee until all conditions to the delivery of such Share have lapsed. For purposes of determining the number of Other Available Shares, the term “Shares” shall also include the securities held by a Grantee or such Grantee’s Family Member immediately before the consummation of the AT&amp;T Broadband Transaction that have converted into Shares.</w:t>
      </w:r>
    </w:p>
    <w:p>
      <w:pPr>
        <w:spacing w:after="0" w:line="152" w:lineRule="exact"/>
        <w:rPr>
          <w:sz w:val="20"/>
          <w:szCs w:val="20"/>
          <w:color w:val="auto"/>
        </w:rPr>
      </w:pPr>
    </w:p>
    <w:p>
      <w:pPr>
        <w:ind w:left="4" w:right="60" w:firstLine="648"/>
        <w:spacing w:after="0" w:line="217" w:lineRule="auto"/>
        <w:rPr>
          <w:sz w:val="20"/>
          <w:szCs w:val="20"/>
          <w:color w:val="auto"/>
        </w:rPr>
      </w:pPr>
      <w:r>
        <w:rPr>
          <w:rFonts w:ascii="Times New Roman" w:cs="Times New Roman" w:eastAsia="Times New Roman" w:hAnsi="Times New Roman"/>
          <w:sz w:val="22"/>
          <w:szCs w:val="22"/>
          <w:color w:val="auto"/>
        </w:rPr>
        <w:t>(ao) “</w:t>
      </w:r>
      <w:r>
        <w:rPr>
          <w:rFonts w:ascii="Times New Roman" w:cs="Times New Roman" w:eastAsia="Times New Roman" w:hAnsi="Times New Roman"/>
          <w:sz w:val="22"/>
          <w:szCs w:val="22"/>
          <w:u w:val="single" w:color="auto"/>
          <w:color w:val="auto"/>
        </w:rPr>
        <w:t>Other Investment Fund</w:t>
      </w:r>
      <w:r>
        <w:rPr>
          <w:rFonts w:ascii="Times New Roman" w:cs="Times New Roman" w:eastAsia="Times New Roman" w:hAnsi="Times New Roman"/>
          <w:sz w:val="22"/>
          <w:szCs w:val="22"/>
          <w:color w:val="auto"/>
        </w:rPr>
        <w:t>” means the Company Stock Fund and such other hypothetical investment funds designated by the Committee, pursuant to which income, gains, and losses are credited to a Grantee’s Account as if the Account, to the extent deemed invested in such Other Investment Fund, were credited with income, gains, and losses as if actually invested in such Other Investment Fund. The Grantee shall designate the Other Investment Funds in which the Grantee’s Account shall be invested in accordance with rules established by the Committee.</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253"/>
        </w:trPr>
        <w:tc>
          <w:tcPr>
            <w:tcW w:w="12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(ap)</w:t>
            </w:r>
          </w:p>
        </w:tc>
        <w:tc>
          <w:tcPr>
            <w:tcW w:w="904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“Participating Company” means the Company and each of the Subsidiary Companies.</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(aq)</w:t>
            </w:r>
          </w:p>
        </w:tc>
        <w:tc>
          <w:tcPr>
            <w:tcW w:w="904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w w:val="98"/>
              </w:rPr>
              <w:t>“Performance-Based Compensation” means “Performance-Based Compensation” within the meaning of</w:t>
            </w: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w w:val="98"/>
              </w:rPr>
              <w:t>Section 409A.</w:t>
            </w:r>
          </w:p>
        </w:tc>
        <w:tc>
          <w:tcPr>
            <w:tcW w:w="1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5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12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(ar)</w:t>
            </w:r>
          </w:p>
        </w:tc>
        <w:tc>
          <w:tcPr>
            <w:tcW w:w="904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“Performance Period” means a period of at least 12 months during which a Grantee may earn</w:t>
            </w:r>
          </w:p>
        </w:tc>
        <w:tc>
          <w:tcPr>
            <w:tcW w:w="0" w:type="dxa"/>
            <w:vAlign w:val="bottom"/>
          </w:tcPr>
          <w:p>
            <w:pPr>
              <w:spacing w:after="0"/>
              <w:rPr>
                <w:sz w:val="1"/>
                <w:szCs w:val="1"/>
                <w:color w:val="auto"/>
              </w:rPr>
            </w:pPr>
          </w:p>
        </w:tc>
      </w:tr>
      <w:tr>
        <w:trPr>
          <w:trHeight w:val="20"/>
        </w:trPr>
        <w:tc>
          <w:tcPr>
            <w:tcW w:w="1400" w:type="dxa"/>
            <w:vAlign w:val="bottom"/>
            <w:tcBorders>
              <w:right w:val="single" w:sz="8" w:color="auto"/>
            </w:tcBorders>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0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Performance-Based Compensation.</w:t>
            </w:r>
          </w:p>
        </w:tc>
        <w:tc>
          <w:tcPr>
            <w:tcW w:w="720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12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(as)</w:t>
            </w:r>
          </w:p>
        </w:tc>
        <w:tc>
          <w:tcPr>
            <w:tcW w:w="904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w w:val="99"/>
              </w:rPr>
              <w:t>“Person” means an individual, a corporation, a partnership, an association, a trust or any other entity or</w:t>
            </w: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organization.</w:t>
            </w:r>
          </w:p>
        </w:tc>
        <w:tc>
          <w:tcPr>
            <w:tcW w:w="1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12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(at)</w:t>
            </w:r>
          </w:p>
        </w:tc>
        <w:tc>
          <w:tcPr>
            <w:tcW w:w="904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w w:val="98"/>
              </w:rPr>
              <w:t>“Plan” means the Comcast Corporation 2002 Restricted Stock Plan, as set forth herein, and as amended</w:t>
            </w:r>
          </w:p>
        </w:tc>
        <w:tc>
          <w:tcPr>
            <w:tcW w:w="0" w:type="dxa"/>
            <w:vAlign w:val="bottom"/>
          </w:tcPr>
          <w:p>
            <w:pPr>
              <w:spacing w:after="0"/>
              <w:rPr>
                <w:sz w:val="1"/>
                <w:szCs w:val="1"/>
                <w:color w:val="auto"/>
              </w:rPr>
            </w:pPr>
          </w:p>
        </w:tc>
      </w:tr>
      <w:tr>
        <w:trPr>
          <w:trHeight w:val="20"/>
        </w:trPr>
        <w:tc>
          <w:tcPr>
            <w:tcW w:w="14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gridSpan w:val="2"/>
            <w:vMerge w:val="restart"/>
          </w:tcPr>
          <w:p>
            <w:pPr>
              <w:spacing w:after="0" w:line="20" w:lineRule="exact"/>
              <w:rPr>
                <w:sz w:val="1"/>
                <w:szCs w:val="1"/>
                <w:color w:val="auto"/>
              </w:rPr>
            </w:pPr>
          </w:p>
        </w:tc>
        <w:tc>
          <w:tcPr>
            <w:tcW w:w="80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from time to time.</w:t>
            </w:r>
          </w:p>
        </w:tc>
        <w:tc>
          <w:tcPr>
            <w:tcW w:w="460" w:type="dxa"/>
            <w:vAlign w:val="bottom"/>
            <w:gridSpan w:val="2"/>
            <w:vMerge w:val="continue"/>
          </w:tcPr>
          <w:p>
            <w:pPr>
              <w:spacing w:after="0"/>
              <w:rPr>
                <w:sz w:val="23"/>
                <w:szCs w:val="23"/>
                <w:color w:val="auto"/>
              </w:rPr>
            </w:pPr>
          </w:p>
        </w:tc>
        <w:tc>
          <w:tcPr>
            <w:tcW w:w="808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12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(au)</w:t>
            </w:r>
          </w:p>
        </w:tc>
        <w:tc>
          <w:tcPr>
            <w:tcW w:w="904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“Plan Year” means the calendar year.</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584"/>
          </w:cols>
          <w:pgMar w:left="976" w:top="1395" w:right="339" w:bottom="1440" w:gutter="0" w:footer="0" w:header="0"/>
        </w:sectPr>
      </w:pPr>
    </w:p>
    <w:bookmarkStart w:id="251" w:name="page252"/>
    <w:bookmarkEnd w:id="251"/>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(av) “</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on the last business day preceding the first day of such calendar year, and as adjusted as of the last business day preceding the first day of each calendar year beginning thereafter.</w:t>
      </w:r>
    </w:p>
    <w:p>
      <w:pPr>
        <w:spacing w:after="0" w:line="152" w:lineRule="exact"/>
        <w:rPr>
          <w:sz w:val="20"/>
          <w:szCs w:val="20"/>
          <w:color w:val="auto"/>
        </w:rPr>
      </w:pPr>
    </w:p>
    <w:p>
      <w:pPr>
        <w:ind w:right="20" w:firstLine="648"/>
        <w:spacing w:after="0" w:line="225" w:lineRule="auto"/>
        <w:rPr>
          <w:sz w:val="20"/>
          <w:szCs w:val="20"/>
          <w:color w:val="auto"/>
        </w:rPr>
      </w:pPr>
      <w:r>
        <w:rPr>
          <w:rFonts w:ascii="Times New Roman" w:cs="Times New Roman" w:eastAsia="Times New Roman" w:hAnsi="Times New Roman"/>
          <w:sz w:val="22"/>
          <w:szCs w:val="22"/>
          <w:color w:val="auto"/>
        </w:rPr>
        <w:t>(aw) “</w:t>
      </w:r>
      <w:r>
        <w:rPr>
          <w:rFonts w:ascii="Times New Roman" w:cs="Times New Roman" w:eastAsia="Times New Roman" w:hAnsi="Times New Roman"/>
          <w:sz w:val="22"/>
          <w:szCs w:val="22"/>
          <w:u w:val="single" w:color="auto"/>
          <w:color w:val="auto"/>
        </w:rPr>
        <w:t>Regular Deferral Election</w:t>
      </w:r>
      <w:r>
        <w:rPr>
          <w:rFonts w:ascii="Times New Roman" w:cs="Times New Roman" w:eastAsia="Times New Roman" w:hAnsi="Times New Roman"/>
          <w:sz w:val="22"/>
          <w:szCs w:val="22"/>
          <w:color w:val="auto"/>
        </w:rPr>
        <w:t>” means a written election on a form provided by the Committee, pursuant to which a Grantee: (i) elects, within the time or times specified in Paragraph 8(a)(ii), to defer the distribution date of Shares issuable with respect to Restricted Stock Units; and (ii) designates the distribution date of such Shares.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(ax)</w:t>
            </w:r>
          </w:p>
        </w:tc>
        <w:tc>
          <w:tcPr>
            <w:tcW w:w="94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“Restricted Stock” means Shares subject to restrictions as set forth in an Award.</w:t>
            </w:r>
          </w:p>
        </w:tc>
      </w:tr>
      <w:tr>
        <w:trPr>
          <w:trHeight w:val="20"/>
        </w:trPr>
        <w:tc>
          <w:tcPr>
            <w:tcW w:w="1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41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(ay)</w:t>
            </w:r>
          </w:p>
        </w:tc>
        <w:tc>
          <w:tcPr>
            <w:tcW w:w="94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7"/>
              </w:rPr>
              <w:t>“Restricted Stock Unit” means a unit that entitles the Grantee, upon the Vesting Date set forth in an Award,</w:t>
            </w:r>
          </w:p>
        </w:tc>
      </w:tr>
      <w:tr>
        <w:trPr>
          <w:trHeight w:val="276"/>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 receive one</w:t>
            </w:r>
          </w:p>
        </w:tc>
        <w:tc>
          <w:tcPr>
            <w:tcW w:w="18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Share.</w:t>
            </w:r>
          </w:p>
        </w:tc>
        <w:tc>
          <w:tcPr>
            <w:tcW w:w="7300" w:type="dxa"/>
            <w:vAlign w:val="bottom"/>
          </w:tcPr>
          <w:p>
            <w:pPr>
              <w:spacing w:after="0"/>
              <w:rPr>
                <w:sz w:val="23"/>
                <w:szCs w:val="23"/>
                <w:color w:val="auto"/>
              </w:rPr>
            </w:pPr>
          </w:p>
        </w:tc>
      </w:tr>
      <w:tr>
        <w:trPr>
          <w:trHeight w:val="35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(az)</w:t>
            </w:r>
          </w:p>
        </w:tc>
        <w:tc>
          <w:tcPr>
            <w:tcW w:w="940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“Retired Grantee” means a Grantee who has terminated employment pursuant to a Normal Retirement.</w:t>
            </w: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r>
      <w:tr>
        <w:trPr>
          <w:trHeight w:val="41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(ba)</w:t>
            </w:r>
          </w:p>
        </w:tc>
        <w:tc>
          <w:tcPr>
            <w:tcW w:w="94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“Rule 16b-3” means Rule 16b-3 promulgated under the 1934 Act, as in effect from time to time.</w:t>
            </w:r>
          </w:p>
        </w:tc>
      </w:tr>
      <w:tr>
        <w:trPr>
          <w:trHeight w:val="20"/>
        </w:trPr>
        <w:tc>
          <w:tcPr>
            <w:tcW w:w="1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bl>
    <w:p>
      <w:pPr>
        <w:spacing w:after="0" w:line="176" w:lineRule="exact"/>
        <w:rPr>
          <w:sz w:val="20"/>
          <w:szCs w:val="20"/>
          <w:color w:val="auto"/>
        </w:rPr>
      </w:pPr>
    </w:p>
    <w:p>
      <w:pPr>
        <w:ind w:left="1280" w:hanging="636"/>
        <w:spacing w:after="0"/>
        <w:tabs>
          <w:tab w:leader="none" w:pos="128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16 Officer</w:t>
      </w:r>
      <w:r>
        <w:rPr>
          <w:rFonts w:ascii="Times New Roman" w:cs="Times New Roman" w:eastAsia="Times New Roman" w:hAnsi="Times New Roman"/>
          <w:sz w:val="22"/>
          <w:szCs w:val="22"/>
          <w:color w:val="auto"/>
        </w:rPr>
        <w:t>” means an “officer” of the Company, as defined pursuant to Rule 16a-1(f) under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1934 Act.</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(bc)</w:t>
            </w:r>
          </w:p>
        </w:tc>
        <w:tc>
          <w:tcPr>
            <w:tcW w:w="924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“Share” or “Shares” means a share or shares of Common Stock.</w:t>
            </w: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22"/>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(bd)</w:t>
            </w:r>
          </w:p>
        </w:tc>
        <w:tc>
          <w:tcPr>
            <w:tcW w:w="924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u w:val="single" w:color="auto"/>
                <w:color w:val="auto"/>
                <w:w w:val="97"/>
              </w:rPr>
              <w:t>Special Diversification Election</w:t>
            </w:r>
            <w:r>
              <w:rPr>
                <w:rFonts w:ascii="Times New Roman" w:cs="Times New Roman" w:eastAsia="Times New Roman" w:hAnsi="Times New Roman"/>
                <w:sz w:val="22"/>
                <w:szCs w:val="22"/>
                <w:color w:val="auto"/>
                <w:w w:val="97"/>
              </w:rPr>
              <w:t>” means, with respect to each separate Award, a Diversification Election</w:t>
            </w:r>
          </w:p>
        </w:tc>
      </w:tr>
    </w:tbl>
    <w:p>
      <w:pPr>
        <w:ind w:right="220"/>
        <w:spacing w:after="0" w:line="214" w:lineRule="auto"/>
        <w:rPr>
          <w:sz w:val="20"/>
          <w:szCs w:val="20"/>
          <w:color w:val="auto"/>
        </w:rPr>
      </w:pPr>
      <w:r>
        <w:rPr>
          <w:rFonts w:ascii="Times New Roman" w:cs="Times New Roman" w:eastAsia="Times New Roman" w:hAnsi="Times New Roman"/>
          <w:sz w:val="22"/>
          <w:szCs w:val="22"/>
          <w:color w:val="auto"/>
        </w:rPr>
        <w:t>made before October 22, 2020 by a Grantee other than a Non-Employee Director to have more than 40 percent of the Deferred Stock Units credited to such Grantee’s Account in the Company Stock Fund liquidated and credited thereafter under the Income Fund or an Other Investment Fund, as provided in Paragraph 8(k)(i), if (and to the extent that) it is approved by the Committee or its delegate in accordance with Paragraph 8(k)(ii).</w:t>
      </w:r>
    </w:p>
    <w:p>
      <w:pPr>
        <w:spacing w:after="0" w:line="154"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(be) “</w:t>
      </w:r>
      <w:r>
        <w:rPr>
          <w:rFonts w:ascii="Times New Roman" w:cs="Times New Roman" w:eastAsia="Times New Roman" w:hAnsi="Times New Roman"/>
          <w:sz w:val="22"/>
          <w:szCs w:val="22"/>
          <w:u w:val="single" w:color="auto"/>
          <w:color w:val="auto"/>
        </w:rPr>
        <w:t>Subsequent Deferral Election</w:t>
      </w:r>
      <w:r>
        <w:rPr>
          <w:rFonts w:ascii="Times New Roman" w:cs="Times New Roman" w:eastAsia="Times New Roman" w:hAnsi="Times New Roman"/>
          <w:sz w:val="22"/>
          <w:szCs w:val="22"/>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(bf)</w:t>
            </w:r>
          </w:p>
        </w:tc>
        <w:tc>
          <w:tcPr>
            <w:tcW w:w="92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“Subsidiary Companies” means all business entities that, at the time in question, are subsidiaries of the</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88"/>
              </w:rPr>
              <w:t>Company, within</w:t>
            </w:r>
          </w:p>
        </w:tc>
        <w:tc>
          <w:tcPr>
            <w:tcW w:w="196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380" w:type="dxa"/>
            <w:vAlign w:val="bottom"/>
            <w:gridSpan w:val="2"/>
            <w:vMerge w:val="continue"/>
          </w:tcPr>
          <w:p>
            <w:pPr>
              <w:spacing w:after="0"/>
              <w:rPr>
                <w:sz w:val="23"/>
                <w:szCs w:val="23"/>
                <w:color w:val="auto"/>
              </w:rPr>
            </w:pPr>
          </w:p>
        </w:tc>
        <w:tc>
          <w:tcPr>
            <w:tcW w:w="90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the meaning of section 424(f) of the Code.</w:t>
            </w:r>
          </w:p>
        </w:tc>
        <w:tc>
          <w:tcPr>
            <w:tcW w:w="0" w:type="dxa"/>
            <w:vAlign w:val="bottom"/>
          </w:tcPr>
          <w:p>
            <w:pPr>
              <w:spacing w:after="0"/>
              <w:rPr>
                <w:sz w:val="1"/>
                <w:szCs w:val="1"/>
                <w:color w:val="auto"/>
              </w:rPr>
            </w:pPr>
          </w:p>
        </w:tc>
      </w:tr>
      <w:tr>
        <w:trPr>
          <w:trHeight w:val="36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(bg)</w:t>
            </w:r>
          </w:p>
        </w:tc>
        <w:tc>
          <w:tcPr>
            <w:tcW w:w="92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u w:val="single" w:color="auto"/>
                <w:color w:val="auto"/>
                <w:w w:val="97"/>
              </w:rPr>
              <w:t>Successor-in-Interest</w:t>
            </w:r>
            <w:r>
              <w:rPr>
                <w:rFonts w:ascii="Times New Roman" w:cs="Times New Roman" w:eastAsia="Times New Roman" w:hAnsi="Times New Roman"/>
                <w:sz w:val="22"/>
                <w:szCs w:val="22"/>
                <w:color w:val="auto"/>
                <w:w w:val="97"/>
              </w:rPr>
              <w:t>” means the estate or beneficiary to whom the right to payment under the Plan shall</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have passed by will or the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40"/>
          </w:cols>
          <w:pgMar w:left="980" w:top="1395" w:right="379" w:bottom="1440" w:gutter="0" w:footer="0" w:header="0"/>
        </w:sectPr>
      </w:pPr>
    </w:p>
    <w:bookmarkStart w:id="252" w:name="page253"/>
    <w:bookmarkEnd w:id="252"/>
    <w:tbl>
      <w:tblPr>
        <w:tblLayout w:type="fixed"/>
        <w:tblInd w:w="4" w:type="dxa"/>
        <w:tblCellMar>
          <w:top w:w="0" w:type="dxa"/>
          <w:left w:w="0" w:type="dxa"/>
          <w:bottom w:w="0" w:type="dxa"/>
          <w:right w:w="0" w:type="dxa"/>
        </w:tblCellMar>
      </w:tblPr>
      <w:tr>
        <w:trPr>
          <w:trHeight w:val="253"/>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(bh)</w:t>
            </w:r>
          </w:p>
        </w:tc>
        <w:tc>
          <w:tcPr>
            <w:tcW w:w="942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“Terminating Event” means a Change in Control.</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1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(bi)</w:t>
            </w:r>
          </w:p>
        </w:tc>
        <w:tc>
          <w:tcPr>
            <w:tcW w:w="942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“Third Party” means any Person, together with such Person’s Affiliates, provided that the term “Third</w:t>
            </w:r>
          </w:p>
        </w:tc>
      </w:tr>
      <w:tr>
        <w:trPr>
          <w:trHeight w:val="276"/>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Party” shall not</w:t>
            </w:r>
          </w:p>
        </w:tc>
        <w:tc>
          <w:tcPr>
            <w:tcW w:w="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4"/>
              </w:rPr>
              <w:t>include the</w:t>
            </w:r>
          </w:p>
        </w:tc>
        <w:tc>
          <w:tcPr>
            <w:tcW w:w="82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Company or an Affiliate of the Company.</w:t>
            </w:r>
          </w:p>
        </w:tc>
      </w:tr>
      <w:tr>
        <w:trPr>
          <w:trHeight w:val="35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(bj)</w:t>
            </w:r>
          </w:p>
        </w:tc>
        <w:tc>
          <w:tcPr>
            <w:tcW w:w="942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w w:val="97"/>
              </w:rPr>
              <w:t>“Vesting Date” means, as applicable: (i) the date on which the restrictions imposed on a Share of Restricted</w:t>
            </w:r>
          </w:p>
        </w:tc>
      </w:tr>
      <w:tr>
        <w:trPr>
          <w:trHeight w:val="20"/>
        </w:trPr>
        <w:tc>
          <w:tcPr>
            <w:tcW w:w="1420" w:type="dxa"/>
            <w:vAlign w:val="bottom"/>
            <w:tcBorders>
              <w:right w:val="single" w:sz="8" w:color="auto"/>
            </w:tcBorders>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r>
      <w:tr>
        <w:trPr>
          <w:trHeight w:val="276"/>
        </w:trPr>
        <w:tc>
          <w:tcPr>
            <w:tcW w:w="105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Stock lapse or (ii) the date on which the Grantee vests in a Restricted Stock Unit.</w:t>
            </w:r>
          </w:p>
        </w:tc>
      </w:tr>
      <w:tr>
        <w:trPr>
          <w:trHeight w:val="35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(bk)</w:t>
            </w:r>
          </w:p>
        </w:tc>
        <w:tc>
          <w:tcPr>
            <w:tcW w:w="942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“1933 Act” means the Securities Act of 1933, as amended.</w:t>
            </w:r>
          </w:p>
        </w:tc>
      </w:tr>
      <w:tr>
        <w:trPr>
          <w:trHeight w:val="20"/>
        </w:trPr>
        <w:tc>
          <w:tcPr>
            <w:tcW w:w="1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380" w:type="dxa"/>
            <w:vAlign w:val="bottom"/>
            <w:gridSpan w:val="4"/>
          </w:tcPr>
          <w:p>
            <w:pPr>
              <w:spacing w:after="0" w:line="20" w:lineRule="exact"/>
              <w:rPr>
                <w:sz w:val="1"/>
                <w:szCs w:val="1"/>
                <w:color w:val="auto"/>
              </w:rPr>
            </w:pPr>
          </w:p>
        </w:tc>
      </w:tr>
      <w:tr>
        <w:trPr>
          <w:trHeight w:val="41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(bl)</w:t>
            </w:r>
          </w:p>
        </w:tc>
        <w:tc>
          <w:tcPr>
            <w:tcW w:w="942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“1934 Act” means the Securities Exchange Act of 1934, as amended.</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bl>
    <w:p>
      <w:pPr>
        <w:spacing w:after="0" w:line="185" w:lineRule="exact"/>
        <w:rPr>
          <w:sz w:val="20"/>
          <w:szCs w:val="20"/>
          <w:color w:val="auto"/>
        </w:rPr>
      </w:pPr>
    </w:p>
    <w:p>
      <w:pPr>
        <w:ind w:left="644" w:hanging="644"/>
        <w:spacing w:after="0"/>
        <w:tabs>
          <w:tab w:leader="none" w:pos="644"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TO BE GRANTED</w:t>
      </w:r>
    </w:p>
    <w:p>
      <w:pPr>
        <w:spacing w:after="0" w:line="210" w:lineRule="exact"/>
        <w:rPr>
          <w:sz w:val="20"/>
          <w:szCs w:val="20"/>
          <w:color w:val="auto"/>
        </w:rPr>
      </w:pPr>
    </w:p>
    <w:p>
      <w:pPr>
        <w:ind w:left="1284" w:hanging="636"/>
        <w:spacing w:after="0"/>
        <w:tabs>
          <w:tab w:leader="none" w:pos="128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that may be granted under the Plan are:</w:t>
      </w:r>
    </w:p>
    <w:p>
      <w:pPr>
        <w:spacing w:after="0" w:line="193" w:lineRule="exact"/>
        <w:rPr>
          <w:sz w:val="20"/>
          <w:szCs w:val="20"/>
          <w:color w:val="auto"/>
        </w:rPr>
      </w:pPr>
    </w:p>
    <w:p>
      <w:pPr>
        <w:ind w:left="4" w:right="100" w:firstLine="644"/>
        <w:spacing w:after="0" w:line="225" w:lineRule="auto"/>
        <w:tabs>
          <w:tab w:leader="none" w:pos="1297"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52" w:lineRule="exact"/>
        <w:rPr>
          <w:rFonts w:ascii="Times New Roman" w:cs="Times New Roman" w:eastAsia="Times New Roman" w:hAnsi="Times New Roman"/>
          <w:sz w:val="22"/>
          <w:szCs w:val="22"/>
          <w:color w:val="auto"/>
        </w:rPr>
      </w:pPr>
    </w:p>
    <w:p>
      <w:pPr>
        <w:ind w:left="4" w:right="20" w:firstLine="644"/>
        <w:spacing w:after="0" w:line="220" w:lineRule="auto"/>
        <w:tabs>
          <w:tab w:leader="none" w:pos="1295"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4.0 million Shares.</w:t>
      </w:r>
    </w:p>
    <w:p>
      <w:pPr>
        <w:spacing w:after="0" w:line="14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SUBJECT TO THE PLAN</w:t>
      </w:r>
    </w:p>
    <w:p>
      <w:pPr>
        <w:spacing w:after="0" w:line="183" w:lineRule="exact"/>
        <w:rPr>
          <w:rFonts w:ascii="Times New Roman" w:cs="Times New Roman" w:eastAsia="Times New Roman" w:hAnsi="Times New Roman"/>
          <w:sz w:val="22"/>
          <w:szCs w:val="22"/>
          <w:b w:val="1"/>
          <w:bCs w:val="1"/>
          <w:color w:val="auto"/>
        </w:rPr>
      </w:pPr>
    </w:p>
    <w:p>
      <w:pPr>
        <w:ind w:left="4" w:right="140" w:firstLine="644"/>
        <w:spacing w:after="0" w:line="236" w:lineRule="auto"/>
        <w:tabs>
          <w:tab w:leader="none" w:pos="1297"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Shares Available for Grant</w:t>
      </w:r>
      <w:r>
        <w:rPr>
          <w:rFonts w:ascii="Times New Roman" w:cs="Times New Roman" w:eastAsia="Times New Roman" w:hAnsi="Times New Roman"/>
          <w:sz w:val="21"/>
          <w:szCs w:val="21"/>
          <w:color w:val="auto"/>
        </w:rPr>
        <w:t>. Subject to adjustment as provided in Paragraph 10, not more than 304 million Shares in the aggregate may be issued under the Plan pursuant to the grant of Awards. The Shares issued under the Plan may, at the Company’s option, be either Shares held in treasury or Shares originally issued for such purpose.</w:t>
      </w:r>
    </w:p>
    <w:p>
      <w:pPr>
        <w:spacing w:after="0" w:line="151" w:lineRule="exact"/>
        <w:rPr>
          <w:rFonts w:ascii="Times New Roman" w:cs="Times New Roman" w:eastAsia="Times New Roman" w:hAnsi="Times New Roman"/>
          <w:sz w:val="21"/>
          <w:szCs w:val="21"/>
          <w:color w:val="auto"/>
        </w:rPr>
      </w:pPr>
    </w:p>
    <w:p>
      <w:pPr>
        <w:ind w:left="4" w:right="140" w:firstLine="644"/>
        <w:spacing w:after="0" w:line="225" w:lineRule="auto"/>
        <w:tabs>
          <w:tab w:leader="none" w:pos="1295"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Returned to the Reserve</w:t>
      </w:r>
      <w:r>
        <w:rPr>
          <w:rFonts w:ascii="Times New Roman" w:cs="Times New Roman" w:eastAsia="Times New Roman" w:hAnsi="Times New Roman"/>
          <w:sz w:val="22"/>
          <w:szCs w:val="22"/>
          <w:color w:val="auto"/>
        </w:rPr>
        <w:t>. If Restricted Stock or Restricted Stock Units are forfeited pursuant to the terms of an Award, the Shares underlying such forfeited Award shall return to the pool of Shares available for issuance under the Plan.</w:t>
      </w:r>
    </w:p>
    <w:p>
      <w:pPr>
        <w:spacing w:after="0" w:line="152" w:lineRule="exact"/>
        <w:rPr>
          <w:rFonts w:ascii="Times New Roman" w:cs="Times New Roman" w:eastAsia="Times New Roman" w:hAnsi="Times New Roman"/>
          <w:sz w:val="22"/>
          <w:szCs w:val="22"/>
          <w:color w:val="auto"/>
        </w:rPr>
      </w:pPr>
    </w:p>
    <w:p>
      <w:pPr>
        <w:ind w:left="4" w:right="160" w:firstLine="644"/>
        <w:spacing w:after="0" w:line="225" w:lineRule="auto"/>
        <w:tabs>
          <w:tab w:leader="none" w:pos="1297"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Recycling Prohibitions</w:t>
      </w:r>
      <w:r>
        <w:rPr>
          <w:rFonts w:ascii="Times New Roman" w:cs="Times New Roman" w:eastAsia="Times New Roman" w:hAnsi="Times New Roman"/>
          <w:sz w:val="22"/>
          <w:szCs w:val="22"/>
          <w:color w:val="auto"/>
        </w:rPr>
        <w:t>. If the Company withholds Shares to satisfy its tax withholding obligations, such withheld Shares shall not again become available for Awards or increase the number of Shares available for grant under Paragraph 4(a).</w:t>
      </w:r>
    </w:p>
    <w:p>
      <w:pPr>
        <w:spacing w:after="0" w:line="14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OF THE PLAN</w:t>
      </w:r>
    </w:p>
    <w:p>
      <w:pPr>
        <w:spacing w:after="0" w:line="183" w:lineRule="exact"/>
        <w:rPr>
          <w:rFonts w:ascii="Times New Roman" w:cs="Times New Roman" w:eastAsia="Times New Roman" w:hAnsi="Times New Roman"/>
          <w:sz w:val="22"/>
          <w:szCs w:val="22"/>
          <w:b w:val="1"/>
          <w:bCs w:val="1"/>
          <w:color w:val="auto"/>
        </w:rPr>
      </w:pPr>
    </w:p>
    <w:p>
      <w:pPr>
        <w:ind w:left="4" w:right="80" w:firstLine="644"/>
        <w:spacing w:after="0" w:line="225" w:lineRule="auto"/>
        <w:tabs>
          <w:tab w:leader="none" w:pos="1297"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152" w:lineRule="exact"/>
        <w:rPr>
          <w:rFonts w:ascii="Times New Roman" w:cs="Times New Roman" w:eastAsia="Times New Roman" w:hAnsi="Times New Roman"/>
          <w:sz w:val="22"/>
          <w:szCs w:val="22"/>
          <w:color w:val="auto"/>
        </w:rPr>
      </w:pPr>
    </w:p>
    <w:p>
      <w:pPr>
        <w:ind w:left="4" w:right="480" w:firstLine="644"/>
        <w:spacing w:after="0" w:line="236" w:lineRule="auto"/>
        <w:tabs>
          <w:tab w:leader="none" w:pos="1295"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Subject to the express terms and conditions set forth in the Plan, the Committee shall have the power, from time to time, to select those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64"/>
          </w:cols>
          <w:pgMar w:left="976" w:top="1372" w:right="359" w:bottom="1440" w:gutter="0" w:footer="0" w:header="0"/>
        </w:sectPr>
      </w:pPr>
    </w:p>
    <w:bookmarkStart w:id="253" w:name="page254"/>
    <w:bookmarkEnd w:id="253"/>
    <w:p>
      <w:pPr>
        <w:ind w:left="4" w:right="20"/>
        <w:spacing w:after="0" w:line="231" w:lineRule="auto"/>
        <w:rPr>
          <w:sz w:val="20"/>
          <w:szCs w:val="20"/>
          <w:color w:val="auto"/>
        </w:rPr>
      </w:pPr>
      <w:r>
        <w:rPr>
          <w:rFonts w:ascii="Times New Roman" w:cs="Times New Roman" w:eastAsia="Times New Roman" w:hAnsi="Times New Roman"/>
          <w:sz w:val="21"/>
          <w:szCs w:val="21"/>
          <w:color w:val="auto"/>
        </w:rPr>
        <w:t>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The determination of the Committee in all such matters shall be conclusive.</w:t>
      </w:r>
    </w:p>
    <w:p>
      <w:pPr>
        <w:spacing w:after="0" w:line="150" w:lineRule="exact"/>
        <w:rPr>
          <w:sz w:val="20"/>
          <w:szCs w:val="20"/>
          <w:color w:val="auto"/>
        </w:rPr>
      </w:pPr>
    </w:p>
    <w:p>
      <w:pPr>
        <w:ind w:left="4" w:firstLine="644"/>
        <w:spacing w:after="0" w:line="225" w:lineRule="auto"/>
        <w:tabs>
          <w:tab w:leader="none" w:pos="1297"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52" w:lineRule="exact"/>
        <w:rPr>
          <w:rFonts w:ascii="Times New Roman" w:cs="Times New Roman" w:eastAsia="Times New Roman" w:hAnsi="Times New Roman"/>
          <w:sz w:val="22"/>
          <w:szCs w:val="22"/>
          <w:color w:val="auto"/>
        </w:rPr>
      </w:pPr>
    </w:p>
    <w:p>
      <w:pPr>
        <w:ind w:left="4" w:right="60" w:firstLine="644"/>
        <w:spacing w:after="0" w:line="215" w:lineRule="auto"/>
        <w:tabs>
          <w:tab w:leader="none" w:pos="1295"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Exculpation</w:t>
      </w:r>
      <w:r>
        <w:rPr>
          <w:rFonts w:ascii="Times New Roman" w:cs="Times New Roman" w:eastAsia="Times New Roman" w:hAnsi="Times New Roman"/>
          <w:sz w:val="22"/>
          <w:szCs w:val="22"/>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52" w:lineRule="exact"/>
        <w:rPr>
          <w:rFonts w:ascii="Times New Roman" w:cs="Times New Roman" w:eastAsia="Times New Roman" w:hAnsi="Times New Roman"/>
          <w:sz w:val="22"/>
          <w:szCs w:val="22"/>
          <w:color w:val="auto"/>
        </w:rPr>
      </w:pPr>
    </w:p>
    <w:p>
      <w:pPr>
        <w:ind w:left="4" w:right="240" w:firstLine="644"/>
        <w:spacing w:after="0" w:line="215" w:lineRule="auto"/>
        <w:tabs>
          <w:tab w:leader="none" w:pos="1297"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52" w:lineRule="exact"/>
        <w:rPr>
          <w:rFonts w:ascii="Times New Roman" w:cs="Times New Roman" w:eastAsia="Times New Roman" w:hAnsi="Times New Roman"/>
          <w:sz w:val="22"/>
          <w:szCs w:val="22"/>
          <w:color w:val="auto"/>
        </w:rPr>
      </w:pPr>
    </w:p>
    <w:p>
      <w:pPr>
        <w:ind w:left="4" w:right="20" w:firstLine="644"/>
        <w:spacing w:after="0" w:line="217" w:lineRule="auto"/>
        <w:tabs>
          <w:tab w:leader="none" w:pos="1354"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152" w:lineRule="exact"/>
        <w:rPr>
          <w:rFonts w:ascii="Times New Roman" w:cs="Times New Roman" w:eastAsia="Times New Roman" w:hAnsi="Times New Roman"/>
          <w:sz w:val="22"/>
          <w:szCs w:val="22"/>
          <w:color w:val="auto"/>
        </w:rPr>
      </w:pPr>
    </w:p>
    <w:p>
      <w:pPr>
        <w:ind w:left="1944" w:right="440" w:hanging="648"/>
        <w:spacing w:after="0" w:line="236" w:lineRule="auto"/>
        <w:tabs>
          <w:tab w:leader="none" w:pos="1932"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time as the Committee shall, in its sole and absolute discretion, revoke such delegation of authority;</w:t>
      </w:r>
    </w:p>
    <w:p>
      <w:pPr>
        <w:spacing w:after="0" w:line="150" w:lineRule="exact"/>
        <w:rPr>
          <w:rFonts w:ascii="Times New Roman" w:cs="Times New Roman" w:eastAsia="Times New Roman" w:hAnsi="Times New Roman"/>
          <w:sz w:val="22"/>
          <w:szCs w:val="22"/>
          <w:color w:val="auto"/>
        </w:rPr>
      </w:pPr>
    </w:p>
    <w:p>
      <w:pPr>
        <w:ind w:left="1944" w:right="80" w:hanging="648"/>
        <w:spacing w:after="0" w:line="225" w:lineRule="auto"/>
        <w:tabs>
          <w:tab w:leader="none" w:pos="1938"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52" w:lineRule="exact"/>
        <w:rPr>
          <w:rFonts w:ascii="Times New Roman" w:cs="Times New Roman" w:eastAsia="Times New Roman" w:hAnsi="Times New Roman"/>
          <w:sz w:val="22"/>
          <w:szCs w:val="22"/>
          <w:color w:val="auto"/>
        </w:rPr>
      </w:pPr>
    </w:p>
    <w:p>
      <w:pPr>
        <w:ind w:left="1944" w:right="780" w:hanging="648"/>
        <w:spacing w:after="0" w:line="236" w:lineRule="auto"/>
        <w:tabs>
          <w:tab w:leader="none" w:pos="1944"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delegate shall notify the Committee that he or she declines to continue to exercise such authority.</w:t>
      </w:r>
    </w:p>
    <w:p>
      <w:pPr>
        <w:spacing w:after="0" w:line="14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210" w:lineRule="exact"/>
        <w:rPr>
          <w:rFonts w:ascii="Times New Roman" w:cs="Times New Roman" w:eastAsia="Times New Roman" w:hAnsi="Times New Roman"/>
          <w:sz w:val="22"/>
          <w:szCs w:val="22"/>
          <w:b w:val="1"/>
          <w:bCs w:val="1"/>
          <w:color w:val="auto"/>
        </w:rPr>
      </w:pPr>
    </w:p>
    <w:p>
      <w:pPr>
        <w:ind w:left="64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Awards may be granted only to Eligible Employees and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544"/>
          </w:cols>
          <w:pgMar w:left="976" w:top="1395" w:right="379" w:bottom="1440" w:gutter="0" w:footer="0" w:header="0"/>
        </w:sectPr>
      </w:pPr>
    </w:p>
    <w:bookmarkStart w:id="254" w:name="page255"/>
    <w:bookmarkEnd w:id="254"/>
    <w:p>
      <w:pPr>
        <w:ind w:left="644" w:hanging="644"/>
        <w:spacing w:after="0"/>
        <w:tabs>
          <w:tab w:leader="none" w:pos="644" w:val="left"/>
        </w:tabs>
        <w:numPr>
          <w:ilvl w:val="0"/>
          <w:numId w:val="2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STOCK AND RESTRICTED STOCK UNIT AWARDS</w:t>
      </w:r>
    </w:p>
    <w:p>
      <w:pPr>
        <w:spacing w:after="0" w:line="210" w:lineRule="exact"/>
        <w:rPr>
          <w:sz w:val="20"/>
          <w:szCs w:val="20"/>
          <w:color w:val="auto"/>
        </w:rPr>
      </w:pPr>
    </w:p>
    <w:p>
      <w:pPr>
        <w:ind w:left="4" w:right="140" w:firstLine="648"/>
        <w:spacing w:after="0" w:line="253" w:lineRule="auto"/>
        <w:rPr>
          <w:sz w:val="20"/>
          <w:szCs w:val="20"/>
          <w:color w:val="auto"/>
        </w:rPr>
      </w:pPr>
      <w:r>
        <w:rPr>
          <w:rFonts w:ascii="Times New Roman" w:cs="Times New Roman" w:eastAsia="Times New Roman" w:hAnsi="Times New Roman"/>
          <w:sz w:val="22"/>
          <w:szCs w:val="22"/>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7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The terms and conditions of Awards shall be set forth in writing as determined from time to time by the</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Committee, consistent, however, with the following:</w:t>
      </w:r>
    </w:p>
    <w:p>
      <w:pPr>
        <w:spacing w:after="0" w:line="169" w:lineRule="exact"/>
        <w:rPr>
          <w:sz w:val="20"/>
          <w:szCs w:val="20"/>
          <w:color w:val="auto"/>
        </w:rPr>
      </w:pPr>
    </w:p>
    <w:p>
      <w:pPr>
        <w:ind w:left="1284" w:hanging="636"/>
        <w:spacing w:after="0"/>
        <w:tabs>
          <w:tab w:leader="none" w:pos="1284"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of Grant</w:t>
      </w:r>
      <w:r>
        <w:rPr>
          <w:rFonts w:ascii="Times New Roman" w:cs="Times New Roman" w:eastAsia="Times New Roman" w:hAnsi="Times New Roman"/>
          <w:sz w:val="22"/>
          <w:szCs w:val="22"/>
          <w:color w:val="auto"/>
        </w:rPr>
        <w:t>. All Awards shall be granted on or before May 19, 2026.</w:t>
      </w:r>
    </w:p>
    <w:p>
      <w:pPr>
        <w:spacing w:after="0" w:line="179" w:lineRule="exact"/>
        <w:rPr>
          <w:rFonts w:ascii="Times New Roman" w:cs="Times New Roman" w:eastAsia="Times New Roman" w:hAnsi="Times New Roman"/>
          <w:sz w:val="22"/>
          <w:szCs w:val="22"/>
          <w:color w:val="auto"/>
        </w:rPr>
      </w:pPr>
    </w:p>
    <w:p>
      <w:pPr>
        <w:ind w:left="4" w:right="60" w:firstLine="644"/>
        <w:spacing w:after="0" w:line="236" w:lineRule="auto"/>
        <w:tabs>
          <w:tab w:leader="none" w:pos="1295"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w:t>
      </w:r>
      <w:r>
        <w:rPr>
          <w:rFonts w:ascii="Times New Roman" w:cs="Times New Roman" w:eastAsia="Times New Roman" w:hAnsi="Times New Roman"/>
          <w:sz w:val="22"/>
          <w:szCs w:val="22"/>
          <w:color w:val="auto"/>
        </w:rPr>
        <w:t>. The provisions of Awards need not be the same with respect to each Grantee. No cash or other consideration shall be required to be paid by the Grantee in exchange for an Award.</w:t>
      </w:r>
    </w:p>
    <w:p>
      <w:pPr>
        <w:spacing w:after="0" w:line="150" w:lineRule="exact"/>
        <w:rPr>
          <w:rFonts w:ascii="Times New Roman" w:cs="Times New Roman" w:eastAsia="Times New Roman" w:hAnsi="Times New Roman"/>
          <w:sz w:val="22"/>
          <w:szCs w:val="22"/>
          <w:color w:val="auto"/>
        </w:rPr>
      </w:pPr>
    </w:p>
    <w:p>
      <w:pPr>
        <w:ind w:left="4" w:right="400" w:firstLine="644"/>
        <w:spacing w:after="0" w:line="225" w:lineRule="auto"/>
        <w:tabs>
          <w:tab w:leader="none" w:pos="1297"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and Agreements</w:t>
      </w:r>
      <w:r>
        <w:rPr>
          <w:rFonts w:ascii="Times New Roman" w:cs="Times New Roman" w:eastAsia="Times New Roman" w:hAnsi="Times New Roman"/>
          <w:sz w:val="22"/>
          <w:szCs w:val="22"/>
          <w:color w:val="auto"/>
        </w:rPr>
        <w:t>. Each Grantee shall be provided with an agreement specifying the terms of an Award. The Company shall arrange for the recording of Grantee’s ownership of the Restricted Stock on a book entry recordkeeping system maintained on behalf of the Company.</w:t>
      </w:r>
    </w:p>
    <w:p>
      <w:pPr>
        <w:spacing w:after="0" w:line="152" w:lineRule="exact"/>
        <w:rPr>
          <w:rFonts w:ascii="Times New Roman" w:cs="Times New Roman" w:eastAsia="Times New Roman" w:hAnsi="Times New Roman"/>
          <w:sz w:val="22"/>
          <w:szCs w:val="22"/>
          <w:color w:val="auto"/>
        </w:rPr>
      </w:pPr>
    </w:p>
    <w:p>
      <w:pPr>
        <w:ind w:left="4" w:right="340" w:firstLine="644"/>
        <w:spacing w:after="0" w:line="225" w:lineRule="auto"/>
        <w:tabs>
          <w:tab w:leader="none" w:pos="1295"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152" w:lineRule="exact"/>
        <w:rPr>
          <w:rFonts w:ascii="Times New Roman" w:cs="Times New Roman" w:eastAsia="Times New Roman" w:hAnsi="Times New Roman"/>
          <w:sz w:val="22"/>
          <w:szCs w:val="22"/>
          <w:color w:val="auto"/>
        </w:rPr>
      </w:pPr>
    </w:p>
    <w:p>
      <w:pPr>
        <w:ind w:left="4" w:right="20" w:firstLine="644"/>
        <w:spacing w:after="0" w:line="211" w:lineRule="auto"/>
        <w:tabs>
          <w:tab w:leader="none" w:pos="1297"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Vesting/Lapse of Restrictions</w:t>
      </w:r>
      <w:r>
        <w:rPr>
          <w:rFonts w:ascii="Times New Roman" w:cs="Times New Roman" w:eastAsia="Times New Roman" w:hAnsi="Times New Roman"/>
          <w:sz w:val="22"/>
          <w:szCs w:val="22"/>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w:t>
      </w:r>
    </w:p>
    <w:p>
      <w:pPr>
        <w:spacing w:after="0" w:line="151" w:lineRule="exact"/>
        <w:rPr>
          <w:rFonts w:ascii="Times New Roman" w:cs="Times New Roman" w:eastAsia="Times New Roman" w:hAnsi="Times New Roman"/>
          <w:sz w:val="22"/>
          <w:szCs w:val="22"/>
          <w:color w:val="auto"/>
        </w:rPr>
      </w:pPr>
    </w:p>
    <w:p>
      <w:pPr>
        <w:ind w:left="4" w:firstLine="644"/>
        <w:spacing w:after="0" w:line="215" w:lineRule="auto"/>
        <w:tabs>
          <w:tab w:leader="none" w:pos="130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the Grantee</w:t>
      </w:r>
      <w:r>
        <w:rPr>
          <w:rFonts w:ascii="Times New Roman" w:cs="Times New Roman" w:eastAsia="Times New Roman" w:hAnsi="Times New Roman"/>
          <w:sz w:val="22"/>
          <w:szCs w:val="22"/>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152" w:lineRule="exact"/>
        <w:rPr>
          <w:rFonts w:ascii="Times New Roman" w:cs="Times New Roman" w:eastAsia="Times New Roman" w:hAnsi="Times New Roman"/>
          <w:sz w:val="22"/>
          <w:szCs w:val="22"/>
          <w:color w:val="auto"/>
        </w:rPr>
      </w:pPr>
    </w:p>
    <w:p>
      <w:pPr>
        <w:ind w:left="4" w:right="440" w:firstLine="644"/>
        <w:spacing w:after="0" w:line="236" w:lineRule="auto"/>
        <w:tabs>
          <w:tab w:leader="none" w:pos="1295"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With respect to Awards of Restricted Stock Units granted on and after March 1, 2015, the Committee may, in its discretion, provide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584"/>
          </w:cols>
          <w:pgMar w:left="976" w:top="1391" w:right="339" w:bottom="1440" w:gutter="0" w:footer="0" w:header="0"/>
        </w:sectPr>
      </w:pPr>
    </w:p>
    <w:bookmarkStart w:id="255" w:name="page256"/>
    <w:bookmarkEnd w:id="255"/>
    <w:p>
      <w:pPr>
        <w:ind w:left="4" w:right="220"/>
        <w:spacing w:after="0" w:line="220" w:lineRule="auto"/>
        <w:rPr>
          <w:sz w:val="20"/>
          <w:szCs w:val="20"/>
          <w:color w:val="auto"/>
        </w:rPr>
      </w:pPr>
      <w:r>
        <w:rPr>
          <w:rFonts w:ascii="Times New Roman" w:cs="Times New Roman" w:eastAsia="Times New Roman" w:hAnsi="Times New Roman"/>
          <w:sz w:val="22"/>
          <w:szCs w:val="22"/>
          <w:color w:val="auto"/>
        </w:rPr>
        <w:t>payment of dividend equivalents with respect to Restricted Stock Units, which may be paid directly to the Grantee, accrued and paid by the Company at such time or times specified in the applicable agreement specifying the terms of an Award, or treated as reinvested in additional Restricted Stock Units, or a combination thereof, as determined by the Committee in its sole discretion.</w:t>
      </w:r>
    </w:p>
    <w:p>
      <w:pPr>
        <w:spacing w:after="0" w:line="152" w:lineRule="exact"/>
        <w:rPr>
          <w:sz w:val="20"/>
          <w:szCs w:val="20"/>
          <w:color w:val="auto"/>
        </w:rPr>
      </w:pPr>
    </w:p>
    <w:p>
      <w:pPr>
        <w:ind w:left="4" w:right="140" w:firstLine="644"/>
        <w:spacing w:after="0" w:line="212" w:lineRule="auto"/>
        <w:tabs>
          <w:tab w:leader="none" w:pos="1295"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Grantee’s Employment</w:t>
      </w:r>
      <w:r>
        <w:rPr>
          <w:rFonts w:ascii="Times New Roman" w:cs="Times New Roman" w:eastAsia="Times New Roman" w:hAnsi="Times New Roman"/>
          <w:sz w:val="22"/>
          <w:szCs w:val="22"/>
          <w:color w:val="auto"/>
        </w:rPr>
        <w:t>. A transfer of an Eligible Employee between two employers, each of which is a Participating Company, shall not be deemed a termination of employment. A Grantee who is a Non-Employee Director shall be treated as having been terminated upon the Grantee’s termination of service as a Non-Employee Director, provided that if such a Grantee is designated as a Director Emeritus upon termination of service as a Non-Employee Director, such Non-Employee Director shall not be treated as having been terminated until the Grantee’s termination of service as a Director Emeritus. In the event that a Grantee’s employment with all Participating Companies terminates, all Restricted Shares and/or Restricted Stock Units as to which a Vesting Date has not occurred shall be forfeited by the Grantee and deemed canceled by the Company.</w:t>
      </w:r>
    </w:p>
    <w:p>
      <w:pPr>
        <w:spacing w:after="0" w:line="156" w:lineRule="exact"/>
        <w:rPr>
          <w:rFonts w:ascii="Times New Roman" w:cs="Times New Roman" w:eastAsia="Times New Roman" w:hAnsi="Times New Roman"/>
          <w:sz w:val="22"/>
          <w:szCs w:val="22"/>
          <w:color w:val="auto"/>
        </w:rPr>
      </w:pPr>
    </w:p>
    <w:p>
      <w:pPr>
        <w:ind w:left="4" w:firstLine="644"/>
        <w:spacing w:after="0" w:line="211" w:lineRule="auto"/>
        <w:tabs>
          <w:tab w:leader="none" w:pos="1288"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w:t>
      </w:r>
      <w:r>
        <w:rPr>
          <w:rFonts w:ascii="Times New Roman" w:cs="Times New Roman" w:eastAsia="Times New Roman" w:hAnsi="Times New Roman"/>
          <w:sz w:val="22"/>
          <w:szCs w:val="22"/>
          <w:color w:val="auto"/>
        </w:rPr>
        <w:t>. For purposes of the Plan, the Company may satisfy its obligation to deliver Shares issuable under the Plan by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4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DEFERRAL ELECTIONS</w:t>
      </w:r>
    </w:p>
    <w:p>
      <w:pPr>
        <w:spacing w:after="0" w:line="210" w:lineRule="exact"/>
        <w:rPr>
          <w:sz w:val="20"/>
          <w:szCs w:val="20"/>
          <w:color w:val="auto"/>
        </w:rPr>
      </w:pPr>
    </w:p>
    <w:p>
      <w:pPr>
        <w:ind w:left="4" w:right="480" w:firstLine="648"/>
        <w:spacing w:after="0" w:line="257" w:lineRule="auto"/>
        <w:rPr>
          <w:sz w:val="20"/>
          <w:szCs w:val="20"/>
          <w:color w:val="auto"/>
        </w:rPr>
      </w:pPr>
      <w:r>
        <w:rPr>
          <w:rFonts w:ascii="Times New Roman" w:cs="Times New Roman" w:eastAsia="Times New Roman" w:hAnsi="Times New Roman"/>
          <w:sz w:val="22"/>
          <w:szCs w:val="22"/>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59" w:lineRule="exact"/>
        <w:rPr>
          <w:sz w:val="20"/>
          <w:szCs w:val="20"/>
          <w:color w:val="auto"/>
        </w:rPr>
      </w:pPr>
    </w:p>
    <w:p>
      <w:pPr>
        <w:ind w:left="1284" w:hanging="636"/>
        <w:spacing w:after="0"/>
        <w:tabs>
          <w:tab w:leader="none" w:pos="1284"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Deferral Election and Regular Deferral Election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24" w:hanging="628"/>
        <w:spacing w:after="0"/>
        <w:tabs>
          <w:tab w:leader="none" w:pos="1924"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Deferral Election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584" w:right="160" w:hanging="640"/>
        <w:spacing w:after="0" w:line="217" w:lineRule="auto"/>
        <w:tabs>
          <w:tab w:leader="none" w:pos="2573"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Deferral Election to defer the receipt of such Shares on a form provided by the Committee for this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584"/>
          </w:cols>
          <w:pgMar w:left="976" w:top="1395" w:right="339" w:bottom="1440" w:gutter="0" w:footer="0" w:header="0"/>
        </w:sectPr>
      </w:pPr>
    </w:p>
    <w:bookmarkStart w:id="256" w:name="page257"/>
    <w:bookmarkEnd w:id="256"/>
    <w:p>
      <w:pPr>
        <w:ind w:left="2120" w:right="200" w:hanging="640"/>
        <w:spacing w:after="0" w:line="215" w:lineRule="auto"/>
        <w:tabs>
          <w:tab w:leader="none" w:pos="2111" w:val="left"/>
        </w:tabs>
        <w:numPr>
          <w:ilvl w:val="2"/>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Deadline for Initial Deferral Election</w:t>
      </w:r>
      <w:r>
        <w:rPr>
          <w:rFonts w:ascii="Times New Roman" w:cs="Times New Roman" w:eastAsia="Times New Roman" w:hAnsi="Times New Roman"/>
          <w:sz w:val="21"/>
          <w:szCs w:val="21"/>
          <w:color w:val="auto"/>
        </w:rPr>
        <w:t>. No Initial Deferral Election to defer the receipt of Shares issuable with respect to Restricted Stock Units that are not Performance-Based Compensation shall be effective unless it is filed with the Committee on or before 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Committee at least six months before the end of the Performance Period during which such Performance-Based Compensation may be earned.</w:t>
      </w:r>
    </w:p>
    <w:p>
      <w:pPr>
        <w:spacing w:after="0" w:line="151" w:lineRule="exact"/>
        <w:rPr>
          <w:rFonts w:ascii="Times New Roman" w:cs="Times New Roman" w:eastAsia="Times New Roman" w:hAnsi="Times New Roman"/>
          <w:sz w:val="21"/>
          <w:szCs w:val="21"/>
          <w:color w:val="auto"/>
        </w:rPr>
      </w:pPr>
    </w:p>
    <w:p>
      <w:pPr>
        <w:ind w:left="1480" w:hanging="648"/>
        <w:spacing w:after="0"/>
        <w:tabs>
          <w:tab w:leader="none" w:pos="1480"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Deferral Election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120" w:right="40" w:hanging="640"/>
        <w:spacing w:after="0" w:line="217" w:lineRule="auto"/>
        <w:tabs>
          <w:tab w:leader="none" w:pos="2109" w:val="left"/>
        </w:tabs>
        <w:numPr>
          <w:ilvl w:val="2"/>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Each Grantee who is a Deferral Eligible Employee shall have the right to defer the receipt of some or all of the Shares issuable with respect to Restricted Stock Units as to which a Vesting Date has not yet occurred, and that are not subject to an Initial Deferral Election, by filing a Regular Deferral Election to defer the receipt of such Shares on a form provided by the Committee for this purpose.</w:t>
      </w:r>
    </w:p>
    <w:p>
      <w:pPr>
        <w:spacing w:after="0" w:line="152" w:lineRule="exact"/>
        <w:rPr>
          <w:rFonts w:ascii="Times New Roman" w:cs="Times New Roman" w:eastAsia="Times New Roman" w:hAnsi="Times New Roman"/>
          <w:sz w:val="22"/>
          <w:szCs w:val="22"/>
          <w:color w:val="auto"/>
        </w:rPr>
      </w:pPr>
    </w:p>
    <w:p>
      <w:pPr>
        <w:ind w:left="2120" w:right="40" w:hanging="640"/>
        <w:spacing w:after="0" w:line="220" w:lineRule="auto"/>
        <w:tabs>
          <w:tab w:leader="none" w:pos="2111" w:val="left"/>
        </w:tabs>
        <w:numPr>
          <w:ilvl w:val="2"/>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for Regular Deferral Election</w:t>
      </w:r>
      <w:r>
        <w:rPr>
          <w:rFonts w:ascii="Times New Roman" w:cs="Times New Roman" w:eastAsia="Times New Roman" w:hAnsi="Times New Roman"/>
          <w:sz w:val="22"/>
          <w:szCs w:val="22"/>
          <w:color w:val="auto"/>
        </w:rPr>
        <w:t>. No Regular Deferral Election to defer the receipt of Shares issuable with respect to Restricted Stock Units shall be effective unless it is filed with the Committee on or before the close of business at least one year before the scheduled Vesting Date of such Restricted Stock Units.</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831"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Failure of Vesting Date to Occur</w:t>
      </w:r>
      <w:r>
        <w:rPr>
          <w:rFonts w:ascii="Times New Roman" w:cs="Times New Roman" w:eastAsia="Times New Roman" w:hAnsi="Times New Roman"/>
          <w:sz w:val="22"/>
          <w:szCs w:val="22"/>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52" w:lineRule="exact"/>
        <w:rPr>
          <w:rFonts w:ascii="Times New Roman" w:cs="Times New Roman" w:eastAsia="Times New Roman" w:hAnsi="Times New Roman"/>
          <w:sz w:val="22"/>
          <w:szCs w:val="22"/>
          <w:color w:val="auto"/>
        </w:rPr>
      </w:pPr>
    </w:p>
    <w:p>
      <w:pPr>
        <w:ind w:left="-460" w:right="240" w:firstLine="644"/>
        <w:spacing w:after="0" w:line="213" w:lineRule="auto"/>
        <w:tabs>
          <w:tab w:leader="none" w:pos="833"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The distribution date may vary with each separate Election. A Grantee may elect distribution to commence on the earlier of a date within 60 days following the Grantee’s death or the date otherwise specified pursuant to an Initial Deferral Election, a Regular Deferral Election, or a Subsequent Deferral Election.</w:t>
      </w:r>
    </w:p>
    <w:p>
      <w:pPr>
        <w:spacing w:after="0" w:line="156"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Deferral Election</w:t>
      </w:r>
      <w:r>
        <w:rPr>
          <w:rFonts w:ascii="Times New Roman" w:cs="Times New Roman" w:eastAsia="Times New Roman" w:hAnsi="Times New Roman"/>
          <w:sz w:val="22"/>
          <w:szCs w:val="22"/>
          <w:color w:val="auto"/>
        </w:rPr>
        <w:t>. Except as otherwise specifically provided by the Plan:</w:t>
      </w:r>
    </w:p>
    <w:p>
      <w:pPr>
        <w:spacing w:after="0" w:line="179" w:lineRule="exact"/>
        <w:rPr>
          <w:rFonts w:ascii="Times New Roman" w:cs="Times New Roman" w:eastAsia="Times New Roman" w:hAnsi="Times New Roman"/>
          <w:sz w:val="22"/>
          <w:szCs w:val="22"/>
          <w:color w:val="auto"/>
        </w:rPr>
      </w:pPr>
    </w:p>
    <w:p>
      <w:pPr>
        <w:ind w:left="2120" w:right="500" w:hanging="640"/>
        <w:spacing w:after="0" w:line="225" w:lineRule="auto"/>
        <w:tabs>
          <w:tab w:leader="none" w:pos="2109"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Initial Deferral Elections made with respect to Restricted Stock Units subject to Awards granted before January 1, 2021, no distribution pursuant to an Initial Deferral Election may be made earlier than January 2nd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120"/>
          </w:cols>
          <w:pgMar w:left="1440" w:top="1395" w:right="339" w:bottom="1440" w:gutter="0" w:footer="0" w:header="0"/>
        </w:sectPr>
      </w:pPr>
    </w:p>
    <w:bookmarkStart w:id="257" w:name="page258"/>
    <w:bookmarkEnd w:id="257"/>
    <w:p>
      <w:pPr>
        <w:ind w:left="2120" w:right="300"/>
        <w:spacing w:after="0" w:line="210" w:lineRule="auto"/>
        <w:rPr>
          <w:sz w:val="20"/>
          <w:szCs w:val="20"/>
          <w:color w:val="auto"/>
        </w:rPr>
      </w:pPr>
      <w:r>
        <w:rPr>
          <w:rFonts w:ascii="Times New Roman" w:cs="Times New Roman" w:eastAsia="Times New Roman" w:hAnsi="Times New Roman"/>
          <w:sz w:val="22"/>
          <w:szCs w:val="22"/>
          <w:color w:val="auto"/>
        </w:rPr>
        <w:t>the third calendar year beginning after the Vesting Date, nor later than January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of the eleventh calendar year beginning after the Vesting Date.</w:t>
      </w:r>
    </w:p>
    <w:p>
      <w:pPr>
        <w:spacing w:after="0" w:line="151" w:lineRule="exact"/>
        <w:rPr>
          <w:sz w:val="20"/>
          <w:szCs w:val="20"/>
          <w:color w:val="auto"/>
        </w:rPr>
      </w:pPr>
    </w:p>
    <w:p>
      <w:pPr>
        <w:ind w:left="2120" w:right="260" w:hanging="640"/>
        <w:spacing w:after="0" w:line="206" w:lineRule="auto"/>
        <w:tabs>
          <w:tab w:leader="none" w:pos="2111" w:val="left"/>
        </w:tabs>
        <w:numPr>
          <w:ilvl w:val="2"/>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Initial Deferral Elections made with respect to Restricted Stock Units subject to Awards granted after December 31, 2020, no distribution pursuant to an Initial Deferral Election may be made earlier than January 2nd of the second calendar year beginning after the Vesting Date, nor later than January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of the seventh calendar year beginning after the Vesting Date.</w:t>
      </w:r>
    </w:p>
    <w:p>
      <w:pPr>
        <w:spacing w:after="0" w:line="151"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Deferral Election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120" w:right="280" w:hanging="640"/>
        <w:spacing w:after="0" w:line="234" w:lineRule="auto"/>
        <w:tabs>
          <w:tab w:leader="none" w:pos="2109" w:val="left"/>
        </w:tabs>
        <w:numPr>
          <w:ilvl w:val="2"/>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Regular Deferral Elections made with respect to Restricted Stock Units subject to Awards granted before January 1, 2021, no distribution pursuant to an Initial Deferral Election may be made earlier than the fifth anniversary of the Vesting Date, nor later than January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of the eleventh calendar year beginning after the Vesting Date.</w:t>
      </w:r>
    </w:p>
    <w:p>
      <w:pPr>
        <w:spacing w:after="0" w:line="70" w:lineRule="exact"/>
        <w:rPr>
          <w:rFonts w:ascii="Times New Roman" w:cs="Times New Roman" w:eastAsia="Times New Roman" w:hAnsi="Times New Roman"/>
          <w:sz w:val="21"/>
          <w:szCs w:val="21"/>
          <w:color w:val="auto"/>
        </w:rPr>
      </w:pPr>
    </w:p>
    <w:p>
      <w:pPr>
        <w:ind w:left="2120" w:right="260" w:hanging="640"/>
        <w:spacing w:after="0" w:line="234" w:lineRule="auto"/>
        <w:tabs>
          <w:tab w:leader="none" w:pos="2111" w:val="left"/>
        </w:tabs>
        <w:numPr>
          <w:ilvl w:val="2"/>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Regular Deferral Elections made with respect to Restricted Stock Units subject to Awards granted after December 31, 2021, no distribution pursuant to an Initial Deferral Election may be made earlier than the fifth anniversary of the Vesting Date, nor later than January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of the eighth calendar year beginning after the Vesting Date.</w:t>
      </w:r>
    </w:p>
    <w:p>
      <w:pPr>
        <w:spacing w:after="0" w:line="70" w:lineRule="exact"/>
        <w:rPr>
          <w:rFonts w:ascii="Times New Roman" w:cs="Times New Roman" w:eastAsia="Times New Roman" w:hAnsi="Times New Roman"/>
          <w:sz w:val="21"/>
          <w:szCs w:val="21"/>
          <w:color w:val="auto"/>
        </w:rPr>
      </w:pPr>
    </w:p>
    <w:p>
      <w:pPr>
        <w:ind w:left="-460" w:right="240" w:firstLine="644"/>
        <w:spacing w:after="0" w:line="255" w:lineRule="auto"/>
        <w:tabs>
          <w:tab w:leader="none" w:pos="885"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Elections</w:t>
      </w:r>
      <w:r>
        <w:rPr>
          <w:rFonts w:ascii="Times New Roman" w:cs="Times New Roman" w:eastAsia="Times New Roman" w:hAnsi="Times New Roman"/>
          <w:sz w:val="21"/>
          <w:szCs w:val="21"/>
          <w:color w:val="auto"/>
        </w:rPr>
        <w:t>. Notwithstanding anything in this Paragraph 8(d) to the contrary, no Subsequent Deferral Election shall be effective until 12 months after the date on which such Subsequent Deferral Election is made.</w:t>
      </w:r>
    </w:p>
    <w:p>
      <w:pPr>
        <w:spacing w:after="0" w:line="134" w:lineRule="exact"/>
        <w:rPr>
          <w:rFonts w:ascii="Times New Roman" w:cs="Times New Roman" w:eastAsia="Times New Roman" w:hAnsi="Times New Roman"/>
          <w:sz w:val="21"/>
          <w:szCs w:val="21"/>
          <w:color w:val="auto"/>
        </w:rPr>
      </w:pPr>
    </w:p>
    <w:p>
      <w:pPr>
        <w:ind w:left="1480" w:hanging="648"/>
        <w:spacing w:after="0" w:line="224" w:lineRule="auto"/>
        <w:tabs>
          <w:tab w:leader="none" w:pos="1468" w:val="left"/>
        </w:tabs>
        <w:numPr>
          <w:ilvl w:val="1"/>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Active Grantee, and each Grantee designated by the Committee who has served as a Non-Employee Director or Section 16 Officer at any time on or after January 1, 2019 (whether or not such individual is an Active Grantee) (A) who has previously made an Initial Deferral Election or a Regular Deferral Election to receive a distribution of part or all of his or her Account, or (B) who, pursuant to this Paragraph 8(d)(i) has made a Subsequent Deferral Election to defer the distribution date for Shares issuable with respect to Restricted Stock Units may delay the payment date for an additional period from the originally-elected distribution date, provided that—</w:t>
      </w:r>
    </w:p>
    <w:p>
      <w:pPr>
        <w:spacing w:after="0" w:line="150" w:lineRule="exact"/>
        <w:rPr>
          <w:rFonts w:ascii="Times New Roman" w:cs="Times New Roman" w:eastAsia="Times New Roman" w:hAnsi="Times New Roman"/>
          <w:sz w:val="21"/>
          <w:szCs w:val="21"/>
          <w:color w:val="auto"/>
        </w:rPr>
      </w:pPr>
    </w:p>
    <w:p>
      <w:pPr>
        <w:ind w:left="2120" w:right="100" w:hanging="640"/>
        <w:spacing w:after="0" w:line="217" w:lineRule="auto"/>
        <w:tabs>
          <w:tab w:leader="none" w:pos="2109" w:val="left"/>
        </w:tabs>
        <w:numPr>
          <w:ilvl w:val="2"/>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Deferral Elections made with respect to Restricted Stock Units subject to Awards granted before January 1, 2021, no distribution pursuant to an Initial Deferral Election may be made earlier than the fifth anniversary of the previously-elected distribution date, nor later than the tenth anniversary of the previously-elected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060"/>
          </w:cols>
          <w:pgMar w:left="1440" w:top="1389" w:right="399" w:bottom="1440" w:gutter="0" w:footer="0" w:header="0"/>
        </w:sectPr>
      </w:pPr>
    </w:p>
    <w:bookmarkStart w:id="258" w:name="page259"/>
    <w:bookmarkEnd w:id="258"/>
    <w:p>
      <w:pPr>
        <w:ind w:left="2120" w:right="120" w:hanging="640"/>
        <w:spacing w:after="0" w:line="217" w:lineRule="auto"/>
        <w:tabs>
          <w:tab w:leader="none" w:pos="2111" w:val="left"/>
        </w:tabs>
        <w:numPr>
          <w:ilvl w:val="2"/>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Deferral Elections made with respect to Restricted Stock Units subject to Awards granted after December 31, 2020, no distribution pursuant to an Initial Deferral Election may be made earlier than the fifth anniversary of the previously-elected distribution date, nor later than the seventh anniversary of the previously-elected distribution date;</w:t>
      </w:r>
    </w:p>
    <w:p>
      <w:pPr>
        <w:spacing w:after="0" w:line="179" w:lineRule="exact"/>
        <w:rPr>
          <w:rFonts w:ascii="Times New Roman" w:cs="Times New Roman" w:eastAsia="Times New Roman" w:hAnsi="Times New Roman"/>
          <w:sz w:val="22"/>
          <w:szCs w:val="22"/>
          <w:color w:val="auto"/>
        </w:rPr>
      </w:pPr>
    </w:p>
    <w:p>
      <w:pPr>
        <w:ind w:left="1480"/>
        <w:spacing w:after="0" w:line="263" w:lineRule="auto"/>
        <w:tabs>
          <w:tab w:leader="none" w:pos="2119" w:val="left"/>
        </w:tabs>
        <w:numPr>
          <w:ilvl w:val="2"/>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filing a Subsequent Deferral Election with the Committee on or before the close of business at least one year before the date on which the distribution would otherwise be made. The number of Subsequent Deferral Elections under this Paragraph 8(d)(i) shall not be limited. Notwithstanding the foregoing, except as otherwise provided by the Committee, an Active Grantee who returns to service with a Participating Company following a termination of service may not make a Subsequent Deferral Election with respect to amounts subject to an Initial Deferral Election or a Subsequent Deferral Election that was filed with the Committee before such return to service.</w:t>
      </w:r>
    </w:p>
    <w:p>
      <w:pPr>
        <w:spacing w:after="0" w:line="145" w:lineRule="exact"/>
        <w:rPr>
          <w:rFonts w:ascii="Times New Roman" w:cs="Times New Roman" w:eastAsia="Times New Roman" w:hAnsi="Times New Roman"/>
          <w:sz w:val="21"/>
          <w:szCs w:val="21"/>
          <w:color w:val="auto"/>
        </w:rPr>
      </w:pPr>
    </w:p>
    <w:p>
      <w:pPr>
        <w:ind w:left="1480" w:right="40" w:hanging="648"/>
        <w:spacing w:after="0" w:line="215" w:lineRule="auto"/>
        <w:tabs>
          <w:tab w:leader="none" w:pos="1474"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Deceased Grantee’s Successor-in-Interest may elect to file a Subsequent Deferral Election to defer the distribution date for the Deceased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Deceased Grantee’s last Election.</w:t>
      </w:r>
    </w:p>
    <w:p>
      <w:pPr>
        <w:spacing w:after="0" w:line="152" w:lineRule="exact"/>
        <w:rPr>
          <w:rFonts w:ascii="Times New Roman" w:cs="Times New Roman" w:eastAsia="Times New Roman" w:hAnsi="Times New Roman"/>
          <w:sz w:val="22"/>
          <w:szCs w:val="22"/>
          <w:color w:val="auto"/>
        </w:rPr>
      </w:pPr>
    </w:p>
    <w:p>
      <w:pPr>
        <w:ind w:left="1480" w:right="20" w:hanging="648"/>
        <w:spacing w:after="0" w:line="217" w:lineRule="auto"/>
        <w:tabs>
          <w:tab w:leader="none" w:pos="1480"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Retired Grantee may elect to defer the distribution date of the Retired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Retired Grantee’s last Election.</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 of Accounts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480" w:right="140" w:hanging="648"/>
        <w:spacing w:after="0" w:line="255" w:lineRule="auto"/>
        <w:tabs>
          <w:tab w:leader="none" w:pos="1468"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Manner of Distribution</w:t>
      </w:r>
      <w:r>
        <w:rPr>
          <w:rFonts w:ascii="Times New Roman" w:cs="Times New Roman" w:eastAsia="Times New Roman" w:hAnsi="Times New Roman"/>
          <w:sz w:val="21"/>
          <w:szCs w:val="21"/>
          <w:color w:val="auto"/>
        </w:rPr>
        <w:t>. Amounts credited to an Account shall be distributed pursuant to an Initial Deferral Election, a Regular Deferral Election, or a Subsequent Deferral Election in either:</w:t>
      </w:r>
    </w:p>
    <w:p>
      <w:pPr>
        <w:spacing w:after="0" w:line="134" w:lineRule="exact"/>
        <w:rPr>
          <w:rFonts w:ascii="Times New Roman" w:cs="Times New Roman" w:eastAsia="Times New Roman" w:hAnsi="Times New Roman"/>
          <w:sz w:val="21"/>
          <w:szCs w:val="21"/>
          <w:color w:val="auto"/>
        </w:rPr>
      </w:pPr>
    </w:p>
    <w:p>
      <w:pPr>
        <w:ind w:left="2120" w:hanging="640"/>
        <w:spacing w:after="0"/>
        <w:tabs>
          <w:tab w:leader="none" w:pos="2120"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or</w:t>
      </w:r>
    </w:p>
    <w:p>
      <w:pPr>
        <w:spacing w:after="0" w:line="179" w:lineRule="exact"/>
        <w:rPr>
          <w:rFonts w:ascii="Times New Roman" w:cs="Times New Roman" w:eastAsia="Times New Roman" w:hAnsi="Times New Roman"/>
          <w:sz w:val="22"/>
          <w:szCs w:val="22"/>
          <w:color w:val="auto"/>
        </w:rPr>
      </w:pPr>
    </w:p>
    <w:p>
      <w:pPr>
        <w:ind w:left="2120" w:right="100" w:hanging="640"/>
        <w:spacing w:after="0" w:line="220" w:lineRule="auto"/>
        <w:tabs>
          <w:tab w:leader="none" w:pos="2111"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Initial Deferral Elections, Regular Deferral Elections, and Subsequent Deferral Elections made with respect to Restricted Stock Units subject to Awards granted before January 1, 2021, substantially equal monthly or annual installments over a five- (5), ten- (10) or fifteen- (15) year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080"/>
          </w:cols>
          <w:pgMar w:left="1440" w:top="1395" w:right="379" w:bottom="1440" w:gutter="0" w:footer="0" w:header="0"/>
        </w:sectPr>
      </w:pPr>
    </w:p>
    <w:bookmarkStart w:id="259" w:name="page260"/>
    <w:bookmarkEnd w:id="259"/>
    <w:p>
      <w:pPr>
        <w:ind w:left="2120" w:right="20" w:hanging="640"/>
        <w:spacing w:after="0" w:line="220" w:lineRule="auto"/>
        <w:tabs>
          <w:tab w:leader="none" w:pos="2111" w:val="left"/>
        </w:tabs>
        <w:numPr>
          <w:ilvl w:val="2"/>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Initial Deferral Elections, Regular Deferral Elections, and Subsequent Deferral Elections made with respect to Restricted Stock Units subject to Awards granted after December 31, 2020, substantially equal monthly or annual installments over a five- (5) or ten- (10) year period.</w:t>
      </w:r>
    </w:p>
    <w:p>
      <w:pPr>
        <w:spacing w:after="0" w:line="179" w:lineRule="exact"/>
        <w:rPr>
          <w:rFonts w:ascii="Times New Roman" w:cs="Times New Roman" w:eastAsia="Times New Roman" w:hAnsi="Times New Roman"/>
          <w:sz w:val="22"/>
          <w:szCs w:val="22"/>
          <w:color w:val="auto"/>
        </w:rPr>
      </w:pPr>
    </w:p>
    <w:p>
      <w:pPr>
        <w:ind w:left="1480" w:right="180"/>
        <w:spacing w:after="0" w:line="271" w:lineRule="auto"/>
        <w:tabs>
          <w:tab w:leader="none" w:pos="2117" w:val="left"/>
        </w:tabs>
        <w:numPr>
          <w:ilvl w:val="2"/>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Installment distributions payable in the form of shares of Common Stock shall be rounded to the next lower whole share.</w:t>
      </w:r>
    </w:p>
    <w:p>
      <w:pPr>
        <w:spacing w:after="0" w:line="130" w:lineRule="exact"/>
        <w:rPr>
          <w:rFonts w:ascii="Times New Roman" w:cs="Times New Roman" w:eastAsia="Times New Roman" w:hAnsi="Times New Roman"/>
          <w:sz w:val="22"/>
          <w:szCs w:val="22"/>
          <w:color w:val="auto"/>
        </w:rPr>
      </w:pPr>
    </w:p>
    <w:p>
      <w:pPr>
        <w:ind w:left="1480" w:hanging="648"/>
        <w:spacing w:after="0" w:line="224" w:lineRule="auto"/>
        <w:tabs>
          <w:tab w:leader="none" w:pos="1474"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 to Provide for Distribution in Full Upon or Following a Change in Control</w:t>
      </w:r>
      <w:r>
        <w:rPr>
          <w:rFonts w:ascii="Times New Roman" w:cs="Times New Roman" w:eastAsia="Times New Roman" w:hAnsi="Times New Roman"/>
          <w:sz w:val="21"/>
          <w:szCs w:val="21"/>
          <w:color w:val="auto"/>
        </w:rPr>
        <w:t>. To the extent permitted by Section 409A, in connection with a Change in Control, and for the 12-month period following a Change in Control, the Committee may exercise its discretion to terminate the deferral provisions of the Plan and, notwithstanding any other provision of the Plan or the terms of any Initial Deferral Election, Regular Deferral Election or Subsequent Deferral Election, distribute the Account of each Grantee in full and thereby effect the revocation of any outstanding Initial Deferral Elections, Regular Deferral Election or Subsequent Deferral Elections.</w:t>
      </w:r>
    </w:p>
    <w:p>
      <w:pPr>
        <w:spacing w:after="0" w:line="150" w:lineRule="exact"/>
        <w:rPr>
          <w:rFonts w:ascii="Times New Roman" w:cs="Times New Roman" w:eastAsia="Times New Roman" w:hAnsi="Times New Roman"/>
          <w:sz w:val="21"/>
          <w:szCs w:val="21"/>
          <w:color w:val="auto"/>
        </w:rPr>
      </w:pPr>
    </w:p>
    <w:p>
      <w:pPr>
        <w:ind w:left="-460" w:right="80" w:firstLine="644"/>
        <w:spacing w:after="0" w:line="220" w:lineRule="auto"/>
        <w:tabs>
          <w:tab w:leader="none" w:pos="83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Hardship</w:t>
      </w:r>
      <w:r>
        <w:rPr>
          <w:rFonts w:ascii="Times New Roman" w:cs="Times New Roman" w:eastAsia="Times New Roman" w:hAnsi="Times New Roman"/>
          <w:sz w:val="22"/>
          <w:szCs w:val="22"/>
          <w:color w:val="auto"/>
        </w:rPr>
        <w:t>. Notwithstanding the terms of an Initial Deferral Election, Regular Deferral Election or Subsequent Deferral Election, if, at the Grantee’s request, the Committee determines that the Grantee has incurred a Hardship, the Committee may, in its discretion, authorize the immediate distribution of all or any portion of the Grantee’s Account.</w:t>
      </w:r>
    </w:p>
    <w:p>
      <w:pPr>
        <w:spacing w:after="0" w:line="152" w:lineRule="exact"/>
        <w:rPr>
          <w:rFonts w:ascii="Times New Roman" w:cs="Times New Roman" w:eastAsia="Times New Roman" w:hAnsi="Times New Roman"/>
          <w:sz w:val="22"/>
          <w:szCs w:val="22"/>
          <w:color w:val="auto"/>
        </w:rPr>
      </w:pPr>
    </w:p>
    <w:p>
      <w:pPr>
        <w:ind w:left="-460" w:right="520" w:firstLine="644"/>
        <w:spacing w:after="0" w:line="225" w:lineRule="auto"/>
        <w:tabs>
          <w:tab w:leader="none" w:pos="831"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Acceleration Events</w:t>
      </w:r>
      <w:r>
        <w:rPr>
          <w:rFonts w:ascii="Times New Roman" w:cs="Times New Roman" w:eastAsia="Times New Roman" w:hAnsi="Times New Roman"/>
          <w:sz w:val="22"/>
          <w:szCs w:val="22"/>
          <w:color w:val="auto"/>
        </w:rPr>
        <w:t>. To the extent permitted by Section 409A, notwithstanding the terms of an Initial Deferral Election, Regular Deferral Election or Subsequent Deferral Election, distribution of all or part of a Grantee’s Account may be made:</w:t>
      </w:r>
    </w:p>
    <w:p>
      <w:pPr>
        <w:spacing w:after="0" w:line="152" w:lineRule="exact"/>
        <w:rPr>
          <w:rFonts w:ascii="Times New Roman" w:cs="Times New Roman" w:eastAsia="Times New Roman" w:hAnsi="Times New Roman"/>
          <w:sz w:val="22"/>
          <w:szCs w:val="22"/>
          <w:color w:val="auto"/>
        </w:rPr>
      </w:pPr>
    </w:p>
    <w:p>
      <w:pPr>
        <w:jc w:val="both"/>
        <w:ind w:left="1480" w:right="240" w:hanging="648"/>
        <w:spacing w:after="0" w:line="255" w:lineRule="auto"/>
        <w:tabs>
          <w:tab w:leader="none" w:pos="1468"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fulfill a domestic relations order (as defined in section 414(p)(1)(B) of the Code) to the extent permitted by Treasury Regulations section 1.409A-3(j)(4)(ii) or any successor provision of law).</w:t>
      </w:r>
    </w:p>
    <w:p>
      <w:pPr>
        <w:spacing w:after="0" w:line="135" w:lineRule="exact"/>
        <w:rPr>
          <w:sz w:val="20"/>
          <w:szCs w:val="20"/>
          <w:color w:val="auto"/>
        </w:rPr>
      </w:pPr>
    </w:p>
    <w:p>
      <w:pPr>
        <w:ind w:left="1480" w:right="340" w:hanging="648"/>
        <w:spacing w:after="0" w:line="255" w:lineRule="auto"/>
        <w:tabs>
          <w:tab w:leader="none" w:pos="1474"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to comply with laws relating to avoidance of conflicts of interest, as provided in Treasury Regulation section 1.409A-3(j)(4)(iii) (or any successor provision of law).</w:t>
      </w:r>
    </w:p>
    <w:p>
      <w:pPr>
        <w:spacing w:after="0" w:line="134" w:lineRule="exact"/>
        <w:rPr>
          <w:rFonts w:ascii="Times New Roman" w:cs="Times New Roman" w:eastAsia="Times New Roman" w:hAnsi="Times New Roman"/>
          <w:sz w:val="21"/>
          <w:szCs w:val="21"/>
          <w:color w:val="auto"/>
        </w:rPr>
      </w:pPr>
    </w:p>
    <w:p>
      <w:pPr>
        <w:ind w:left="1480" w:hanging="648"/>
        <w:spacing w:after="0" w:line="236" w:lineRule="auto"/>
        <w:tabs>
          <w:tab w:leader="none" w:pos="148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employment taxes to the extent permitted by Treasury Regulation section 1.409A-3(j)(4)(vi) (or any successor provision of law).</w:t>
      </w:r>
    </w:p>
    <w:p>
      <w:pPr>
        <w:spacing w:after="0" w:line="150" w:lineRule="exact"/>
        <w:rPr>
          <w:rFonts w:ascii="Times New Roman" w:cs="Times New Roman" w:eastAsia="Times New Roman" w:hAnsi="Times New Roman"/>
          <w:sz w:val="22"/>
          <w:szCs w:val="22"/>
          <w:color w:val="auto"/>
        </w:rPr>
      </w:pPr>
    </w:p>
    <w:p>
      <w:pPr>
        <w:ind w:left="1480" w:hanging="648"/>
        <w:spacing w:after="0" w:line="225" w:lineRule="auto"/>
        <w:tabs>
          <w:tab w:leader="none" w:pos="1468"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recognition of income as the result of a failure to comply with Section 409A, to the extent permitted by Treasury Regulation section 1.409A-3(j)(4)(vii) (or any successor provision of law).</w:t>
      </w:r>
    </w:p>
    <w:p>
      <w:pPr>
        <w:spacing w:after="0" w:line="152" w:lineRule="exact"/>
        <w:rPr>
          <w:rFonts w:ascii="Times New Roman" w:cs="Times New Roman" w:eastAsia="Times New Roman" w:hAnsi="Times New Roman"/>
          <w:sz w:val="22"/>
          <w:szCs w:val="22"/>
          <w:color w:val="auto"/>
        </w:rPr>
      </w:pPr>
    </w:p>
    <w:p>
      <w:pPr>
        <w:ind w:left="1480" w:right="120" w:hanging="648"/>
        <w:spacing w:after="0" w:line="236" w:lineRule="auto"/>
        <w:tabs>
          <w:tab w:leader="none" w:pos="1475"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state, local or foreign taxes to the extent permitted by Treasury Regulation section 1.409A-3(j)(4)(xi) (or any successor provision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100"/>
          </w:cols>
          <w:pgMar w:left="1440" w:top="1395" w:right="359" w:bottom="1440" w:gutter="0" w:footer="0" w:header="0"/>
        </w:sectPr>
      </w:pPr>
    </w:p>
    <w:bookmarkStart w:id="260" w:name="page261"/>
    <w:bookmarkEnd w:id="260"/>
    <w:p>
      <w:pPr>
        <w:ind w:left="1480" w:right="100" w:hanging="648"/>
        <w:spacing w:after="0" w:line="220" w:lineRule="auto"/>
        <w:tabs>
          <w:tab w:leader="none" w:pos="1468"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152" w:lineRule="exact"/>
        <w:rPr>
          <w:rFonts w:ascii="Times New Roman" w:cs="Times New Roman" w:eastAsia="Times New Roman" w:hAnsi="Times New Roman"/>
          <w:sz w:val="22"/>
          <w:szCs w:val="22"/>
          <w:color w:val="auto"/>
        </w:rPr>
      </w:pPr>
    </w:p>
    <w:p>
      <w:pPr>
        <w:ind w:left="1480" w:right="40" w:hanging="648"/>
        <w:spacing w:after="0" w:line="236" w:lineRule="auto"/>
        <w:tabs>
          <w:tab w:leader="none" w:pos="1474"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bona fide dispute as to a Grantee’s right to payment, to the extent permitted by Treasury Regulation section 1.409A-3(j)(4)(xiv) (or any successor provision of law).</w:t>
      </w:r>
    </w:p>
    <w:p>
      <w:pPr>
        <w:spacing w:after="0" w:line="150" w:lineRule="exact"/>
        <w:rPr>
          <w:rFonts w:ascii="Times New Roman" w:cs="Times New Roman" w:eastAsia="Times New Roman" w:hAnsi="Times New Roman"/>
          <w:sz w:val="22"/>
          <w:szCs w:val="22"/>
          <w:color w:val="auto"/>
        </w:rPr>
      </w:pPr>
    </w:p>
    <w:p>
      <w:pPr>
        <w:ind w:left="-460" w:right="80" w:firstLine="644"/>
        <w:spacing w:after="0" w:line="213" w:lineRule="auto"/>
        <w:tabs>
          <w:tab w:leader="none" w:pos="831"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 Accounts</w:t>
      </w:r>
      <w:r>
        <w:rPr>
          <w:rFonts w:ascii="Times New Roman" w:cs="Times New Roman" w:eastAsia="Times New Roman" w:hAnsi="Times New Roman"/>
          <w:sz w:val="22"/>
          <w:szCs w:val="22"/>
          <w:color w:val="auto"/>
        </w:rPr>
        <w:t>. An Account shall be established for each Grantee who makes an Election. Deferred Stock Units shall be credited to the Account as of the date an Election becomes effective. Each Deferred Stock Unit will represent a hypothetical share of Common Stock credited to the Account in lieu of delivery of the Shares to which the Election applies. To the extent an Account is deemed invested in an Other Investment Fund, the Committee shall credit income, gains, and losses on the same basis as if the Account were directly invested in such Other Investment Fund. To the extent an Account is deemed invested in the Income Fund, the Committee shall credit earnings with respect to such Account at the Applicable Interest Rate, as further provided in Paragraph 8(k).</w:t>
      </w:r>
    </w:p>
    <w:p>
      <w:pPr>
        <w:spacing w:after="0" w:line="156" w:lineRule="exact"/>
        <w:rPr>
          <w:rFonts w:ascii="Times New Roman" w:cs="Times New Roman" w:eastAsia="Times New Roman" w:hAnsi="Times New Roman"/>
          <w:sz w:val="22"/>
          <w:szCs w:val="22"/>
          <w:color w:val="auto"/>
        </w:rPr>
      </w:pPr>
    </w:p>
    <w:p>
      <w:pPr>
        <w:ind w:left="-460" w:right="240" w:firstLine="644"/>
        <w:spacing w:after="0" w:line="255" w:lineRule="auto"/>
        <w:tabs>
          <w:tab w:leader="none" w:pos="824"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Plan-to-Plan Transfers</w:t>
      </w:r>
      <w:r>
        <w:rPr>
          <w:rFonts w:ascii="Times New Roman" w:cs="Times New Roman" w:eastAsia="Times New Roman" w:hAnsi="Times New Roman"/>
          <w:sz w:val="21"/>
          <w:szCs w:val="21"/>
          <w:color w:val="auto"/>
        </w:rPr>
        <w:t>. The Committee may delegate its authority to arrange for plan-to-plan transfers as described in this Paragraph 8(i) to an officer of the Company or committee of two or more officers of the Company.</w:t>
      </w:r>
    </w:p>
    <w:p>
      <w:pPr>
        <w:spacing w:after="0" w:line="134" w:lineRule="exact"/>
        <w:rPr>
          <w:rFonts w:ascii="Times New Roman" w:cs="Times New Roman" w:eastAsia="Times New Roman" w:hAnsi="Times New Roman"/>
          <w:sz w:val="21"/>
          <w:szCs w:val="21"/>
          <w:color w:val="auto"/>
        </w:rPr>
      </w:pPr>
    </w:p>
    <w:p>
      <w:pPr>
        <w:ind w:left="1480" w:right="20" w:hanging="648"/>
        <w:spacing w:after="0" w:line="213" w:lineRule="auto"/>
        <w:tabs>
          <w:tab w:leader="none" w:pos="1468"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156" w:lineRule="exact"/>
        <w:rPr>
          <w:rFonts w:ascii="Times New Roman" w:cs="Times New Roman" w:eastAsia="Times New Roman" w:hAnsi="Times New Roman"/>
          <w:sz w:val="22"/>
          <w:szCs w:val="22"/>
          <w:color w:val="auto"/>
        </w:rPr>
      </w:pPr>
    </w:p>
    <w:p>
      <w:pPr>
        <w:ind w:left="1480" w:hanging="648"/>
        <w:spacing w:after="0" w:line="212" w:lineRule="auto"/>
        <w:tabs>
          <w:tab w:leader="none" w:pos="1474"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Committee shall establish an Account for such Grantee, and the Account shall be subject to the rules of this Plan, as in effect from time to time.</w:t>
      </w:r>
    </w:p>
    <w:p>
      <w:pPr>
        <w:spacing w:after="0" w:line="156"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Income, Gains, and Losses on Accounts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480" w:right="340" w:hanging="648"/>
        <w:spacing w:after="0" w:line="236" w:lineRule="auto"/>
        <w:tabs>
          <w:tab w:leader="none" w:pos="1468"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as otherwise provided in this Paragraph 8(j) or Paragraph 8(k), the value of a Grantee’s Account as of any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120"/>
          </w:cols>
          <w:pgMar w:left="1440" w:top="1395" w:right="339" w:bottom="1440" w:gutter="0" w:footer="0" w:header="0"/>
        </w:sectPr>
      </w:pPr>
    </w:p>
    <w:bookmarkStart w:id="261" w:name="page262"/>
    <w:bookmarkEnd w:id="261"/>
    <w:p>
      <w:pPr>
        <w:ind w:left="1480"/>
        <w:spacing w:after="0"/>
        <w:rPr>
          <w:sz w:val="20"/>
          <w:szCs w:val="20"/>
          <w:color w:val="auto"/>
        </w:rPr>
      </w:pPr>
      <w:r>
        <w:rPr>
          <w:rFonts w:ascii="Times New Roman" w:cs="Times New Roman" w:eastAsia="Times New Roman" w:hAnsi="Times New Roman"/>
          <w:sz w:val="22"/>
          <w:szCs w:val="22"/>
          <w:color w:val="auto"/>
        </w:rPr>
        <w:t>shall be determined as if it were invested in the Company Stock Fund.</w:t>
      </w:r>
    </w:p>
    <w:p>
      <w:pPr>
        <w:spacing w:after="0" w:line="179" w:lineRule="exact"/>
        <w:rPr>
          <w:sz w:val="20"/>
          <w:szCs w:val="20"/>
          <w:color w:val="auto"/>
        </w:rPr>
      </w:pPr>
    </w:p>
    <w:p>
      <w:pPr>
        <w:ind w:left="1480" w:hanging="648"/>
        <w:spacing w:after="0"/>
        <w:tabs>
          <w:tab w:leader="none" w:pos="148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Credits to Other Investment Funds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120" w:right="120" w:hanging="640"/>
        <w:spacing w:after="0" w:line="217" w:lineRule="auto"/>
        <w:tabs>
          <w:tab w:leader="none" w:pos="2109"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Elections</w:t>
      </w:r>
      <w:r>
        <w:rPr>
          <w:rFonts w:ascii="Times New Roman" w:cs="Times New Roman" w:eastAsia="Times New Roman" w:hAnsi="Times New Roman"/>
          <w:sz w:val="22"/>
          <w:szCs w:val="22"/>
          <w:color w:val="auto"/>
        </w:rPr>
        <w:t>. To the extent credited to the Income Fund, the Accounts of Non-Employee Directors and Section 16 Officers whose Subsequent Deferral Elections are made after their termination of service shall be credited to an Other Investment Fund. The Committee may designate the specific Other Investment Fund or Funds to which the Account of any individual who has terminated service to the Company shall be invested.</w:t>
      </w:r>
    </w:p>
    <w:p>
      <w:pPr>
        <w:spacing w:after="0" w:line="152"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High Balance Participants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480" w:right="320" w:firstLine="648"/>
        <w:spacing w:after="0" w:line="220" w:lineRule="auto"/>
        <w:tabs>
          <w:tab w:leader="none" w:pos="2771" w:val="left"/>
        </w:tabs>
        <w:numPr>
          <w:ilvl w:val="2"/>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Income Fund of a Grantee other than a Non-Employee Director or Covered Grantee exceeds the Income Fund Limit as of the last day of a Plan Year, the excess of (x) the amount credited to the Grantee’s Income Fund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(y) the Income Fund Limit shall be deemed transferred to an Other Investment Fund as of such last day of such Plan Year.</w:t>
      </w:r>
    </w:p>
    <w:p>
      <w:pPr>
        <w:spacing w:after="0" w:line="152" w:lineRule="exact"/>
        <w:rPr>
          <w:rFonts w:ascii="Times New Roman" w:cs="Times New Roman" w:eastAsia="Times New Roman" w:hAnsi="Times New Roman"/>
          <w:sz w:val="22"/>
          <w:szCs w:val="22"/>
          <w:color w:val="auto"/>
        </w:rPr>
      </w:pPr>
    </w:p>
    <w:p>
      <w:pPr>
        <w:ind w:left="1480" w:firstLine="648"/>
        <w:spacing w:after="0" w:line="211" w:lineRule="auto"/>
        <w:tabs>
          <w:tab w:leader="none" w:pos="2771" w:val="left"/>
        </w:tabs>
        <w:numPr>
          <w:ilvl w:val="2"/>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Non-Employee Director’s Income Fund exceeds the Income Fund Limit as of July 31, 2020, the amount credited to the Non-Employee Director’s Income Fund shall be transferred to an Other Investment Fund as of August 1, 2020, and all amounts credited to the Non-Employee Director’s Account on and after August 1, 2020 shall be deemed invested in an Other Investment Fund. The amount credited to the Income Fund with respect to an individual who becomes a Non-Employee Director after August 1, 2020 shall be transferred to an Other Investment Fund as of the first day of the month next following the date such individual becomes a Non-Employee Director, and all amounts credited to the Non-Employee Director’s Account on and after such date shall be deemed invested in an Other Investment Fund.</w:t>
      </w:r>
    </w:p>
    <w:p>
      <w:pPr>
        <w:spacing w:after="0" w:line="158" w:lineRule="exact"/>
        <w:rPr>
          <w:rFonts w:ascii="Times New Roman" w:cs="Times New Roman" w:eastAsia="Times New Roman" w:hAnsi="Times New Roman"/>
          <w:sz w:val="22"/>
          <w:szCs w:val="22"/>
          <w:color w:val="auto"/>
        </w:rPr>
      </w:pPr>
    </w:p>
    <w:p>
      <w:pPr>
        <w:ind w:left="1480" w:right="80" w:firstLine="648"/>
        <w:spacing w:after="0" w:line="211" w:lineRule="auto"/>
        <w:tabs>
          <w:tab w:leader="none" w:pos="2771" w:val="left"/>
        </w:tabs>
        <w:numPr>
          <w:ilvl w:val="2"/>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Covered Grantee’s Income Fund exceeds the Income Fund Limit as of February 28, 2021, the amount credited to the Covered Grantee’s Income Fund shall be transferred to an Other Investment Fund as of March 1, 2021, and all amounts credited to the Covered Grantee’s Account on and after March 1, 2021 shall be deemed invested in an Other Investment Fund. The amount credited to the Income Fund with respect to an individual who becomes a Covered Grantee after March 1, 2021 shall be transferred to an Other Investment Fund as of the first day of the month next following the date such individual becomes a Covered Grantee, and all amounts credited to the Covered Grantee’s Account on and after such date shall be deemed invested in an Other Investment Fund.</w:t>
      </w:r>
    </w:p>
    <w:p>
      <w:pPr>
        <w:spacing w:after="0" w:line="158" w:lineRule="exact"/>
        <w:rPr>
          <w:rFonts w:ascii="Times New Roman" w:cs="Times New Roman" w:eastAsia="Times New Roman" w:hAnsi="Times New Roman"/>
          <w:sz w:val="22"/>
          <w:szCs w:val="22"/>
          <w:color w:val="auto"/>
        </w:rPr>
      </w:pPr>
    </w:p>
    <w:p>
      <w:pPr>
        <w:ind w:left="2120" w:right="340" w:hanging="640"/>
        <w:spacing w:after="0" w:line="255" w:lineRule="auto"/>
        <w:tabs>
          <w:tab w:leader="none" w:pos="2111" w:val="left"/>
        </w:tabs>
        <w:numPr>
          <w:ilvl w:val="1"/>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16 Officers</w:t>
      </w:r>
      <w:r>
        <w:rPr>
          <w:rFonts w:ascii="Times New Roman" w:cs="Times New Roman" w:eastAsia="Times New Roman" w:hAnsi="Times New Roman"/>
          <w:sz w:val="21"/>
          <w:szCs w:val="21"/>
          <w:color w:val="auto"/>
        </w:rPr>
        <w:t>. Pursuant to rules established by the Committee or its delegate, a Section 16 Officer may elect to (x) transfer amounts credited to their Accounts that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0120"/>
          </w:cols>
          <w:pgMar w:left="1440" w:top="1395" w:right="339" w:bottom="1440" w:gutter="0" w:footer="0" w:header="0"/>
        </w:sectPr>
      </w:pPr>
    </w:p>
    <w:bookmarkStart w:id="262" w:name="page263"/>
    <w:bookmarkEnd w:id="262"/>
    <w:p>
      <w:pPr>
        <w:ind w:left="2120" w:right="100"/>
        <w:spacing w:after="0" w:line="215" w:lineRule="auto"/>
        <w:rPr>
          <w:sz w:val="20"/>
          <w:szCs w:val="20"/>
          <w:color w:val="auto"/>
        </w:rPr>
      </w:pPr>
      <w:r>
        <w:rPr>
          <w:rFonts w:ascii="Times New Roman" w:cs="Times New Roman" w:eastAsia="Times New Roman" w:hAnsi="Times New Roman"/>
          <w:sz w:val="22"/>
          <w:szCs w:val="22"/>
          <w:color w:val="auto"/>
        </w:rPr>
        <w:t>previously subject to a Diversification Election and that are deemed to be invested in the Income Fund to an Other Investment Fund, or (y) transfer amounts credited to their Accounts that were previously subject to a Diversification Election and that are deemed to be invested in an Other Investment Fund to the Income Fund to the extent that immediately after such transfer, the amount credited to such Section 16 Officer’s Income Fund does not exceed the Income Fund Limit.</w:t>
      </w:r>
    </w:p>
    <w:p>
      <w:pPr>
        <w:spacing w:after="0" w:line="152" w:lineRule="exact"/>
        <w:rPr>
          <w:sz w:val="20"/>
          <w:szCs w:val="20"/>
          <w:color w:val="auto"/>
        </w:rPr>
      </w:pPr>
    </w:p>
    <w:p>
      <w:pPr>
        <w:ind w:left="2120" w:hanging="640"/>
        <w:spacing w:after="0" w:line="225" w:lineRule="auto"/>
        <w:tabs>
          <w:tab w:leader="none" w:pos="2109" w:val="left"/>
        </w:tabs>
        <w:numPr>
          <w:ilvl w:val="2"/>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Amounts subject to a Subsequent Deferral Election that takes effect while a Grantee’s Income Fund exceeds the Income Fund Limit shall be deemed invested in an Other Investment Fund.</w:t>
      </w:r>
    </w:p>
    <w:p>
      <w:pPr>
        <w:spacing w:after="0" w:line="152" w:lineRule="exact"/>
        <w:rPr>
          <w:rFonts w:ascii="Times New Roman" w:cs="Times New Roman" w:eastAsia="Times New Roman" w:hAnsi="Times New Roman"/>
          <w:sz w:val="22"/>
          <w:szCs w:val="22"/>
          <w:color w:val="auto"/>
        </w:rPr>
      </w:pPr>
    </w:p>
    <w:p>
      <w:pPr>
        <w:ind w:left="1480" w:right="20" w:hanging="648"/>
        <w:spacing w:after="0" w:line="219" w:lineRule="auto"/>
        <w:tabs>
          <w:tab w:leader="none" w:pos="1480"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Protocol for Deemed Transfers between Income Fund and an Other Investment Fund</w:t>
      </w:r>
      <w:r>
        <w:rPr>
          <w:rFonts w:ascii="Times New Roman" w:cs="Times New Roman" w:eastAsia="Times New Roman" w:hAnsi="Times New Roman"/>
          <w:sz w:val="21"/>
          <w:szCs w:val="21"/>
          <w:color w:val="auto"/>
        </w:rPr>
        <w:t>. As provided in Article 8, the timing of distributions of amounts credited to a Grantee’s Account is established pursuant to Initial Deferral Elections, Regular Deferral Elections, and Subsequent Deferral Elections, and a Grantee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Paragraph 8(j)(ii)(C), and amounts deemed transferred from an Other Investment Fund to the Income Fund pursuant to elective transfers described in Paragraph 8(j)(ii)(C) shall be sourced and allocated on a uniform and consistent basis as determined by the Committee,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159" w:lineRule="exact"/>
        <w:rPr>
          <w:rFonts w:ascii="Times New Roman" w:cs="Times New Roman" w:eastAsia="Times New Roman" w:hAnsi="Times New Roman"/>
          <w:sz w:val="21"/>
          <w:szCs w:val="21"/>
          <w:color w:val="auto"/>
        </w:rPr>
      </w:pPr>
    </w:p>
    <w:p>
      <w:pPr>
        <w:ind w:left="-460" w:right="220" w:firstLine="644"/>
        <w:spacing w:after="0" w:line="225" w:lineRule="auto"/>
        <w:tabs>
          <w:tab w:leader="none" w:pos="885"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Diversification Elections</w:t>
      </w:r>
      <w:r>
        <w:rPr>
          <w:rFonts w:ascii="Times New Roman" w:cs="Times New Roman" w:eastAsia="Times New Roman" w:hAnsi="Times New Roman"/>
          <w:sz w:val="22"/>
          <w:szCs w:val="22"/>
          <w:color w:val="auto"/>
        </w:rPr>
        <w:t>. This Paragraph 8(k) shall not apply to (x) elective transfers described in Paragraph 8(j)(ii)(C) of amounts that were previously subject to a Diversification Election or (y) effective July 31, 2020 the Account of any Non-Employee Director.</w:t>
      </w:r>
    </w:p>
    <w:p>
      <w:pPr>
        <w:spacing w:after="0" w:line="152" w:lineRule="exact"/>
        <w:rPr>
          <w:rFonts w:ascii="Times New Roman" w:cs="Times New Roman" w:eastAsia="Times New Roman" w:hAnsi="Times New Roman"/>
          <w:sz w:val="22"/>
          <w:szCs w:val="22"/>
          <w:color w:val="auto"/>
        </w:rPr>
      </w:pPr>
    </w:p>
    <w:p>
      <w:pPr>
        <w:ind w:left="1480" w:right="400" w:hanging="648"/>
        <w:spacing w:after="0" w:line="220" w:lineRule="auto"/>
        <w:tabs>
          <w:tab w:leader="none" w:pos="146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as otherwise provided in Paragraph 8(k)(ii) and Paragraph 8(k)(v), the opportunity to make a Diversification Election shall be available at any time that a Registration Statement filed under the 1933 Act (a “Registration Statement”) is effective with respect to the Plan.</w:t>
      </w:r>
    </w:p>
    <w:p>
      <w:pPr>
        <w:spacing w:after="0" w:line="152" w:lineRule="exact"/>
        <w:rPr>
          <w:sz w:val="20"/>
          <w:szCs w:val="20"/>
          <w:color w:val="auto"/>
        </w:rPr>
      </w:pPr>
    </w:p>
    <w:p>
      <w:pPr>
        <w:ind w:left="1480" w:right="40" w:hanging="648"/>
        <w:spacing w:after="0" w:line="217" w:lineRule="auto"/>
        <w:tabs>
          <w:tab w:leader="none" w:pos="1474"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Approval of Diversification Elections</w:t>
      </w:r>
      <w:r>
        <w:rPr>
          <w:rFonts w:ascii="Times New Roman" w:cs="Times New Roman" w:eastAsia="Times New Roman" w:hAnsi="Times New Roman"/>
          <w:sz w:val="22"/>
          <w:szCs w:val="22"/>
          <w:color w:val="auto"/>
        </w:rPr>
        <w:t>. The opportunity to make a Diversification Election on and after October 22, 2020 and the extent to which a Diversification Election applies to Deferred Stock Units credited to the Company Stock Fund may be approved or rejected by the Committee or its delegate in its sole discretion. A Diversification Election shall only be effective if (and to the extent) approved by the Committee or its delegate.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120"/>
          </w:cols>
          <w:pgMar w:left="1440" w:top="1395" w:right="339" w:bottom="1440" w:gutter="0" w:footer="0" w:header="0"/>
        </w:sectPr>
      </w:pPr>
    </w:p>
    <w:bookmarkStart w:id="263" w:name="page264"/>
    <w:bookmarkEnd w:id="263"/>
    <w:p>
      <w:pPr>
        <w:ind w:left="1480" w:hanging="648"/>
        <w:spacing w:after="0" w:line="220" w:lineRule="auto"/>
        <w:tabs>
          <w:tab w:leader="none" w:pos="1480"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 and Manner of Making Diversification Elections</w:t>
      </w:r>
      <w:r>
        <w:rPr>
          <w:rFonts w:ascii="Times New Roman" w:cs="Times New Roman" w:eastAsia="Times New Roman" w:hAnsi="Times New Roman"/>
          <w:sz w:val="21"/>
          <w:szCs w:val="21"/>
          <w:color w:val="auto"/>
        </w:rPr>
        <w:t>. Each Grantee and, in the case of a Deceased Grantee, the Successor-in-Interest, may make a Diversification Election to convert Deferred Stock Units attributable to such Award credited to the Company Stock Fund to the Income Fund. Except as otherwise provided in Paragraph 8(j)(ii), no deemed transfers shall be permitted from the Income Fund to the Company Stock Fund. Diversification Elections under this Paragraph 8(k)(iii) shall be prospectively effective on the later of: (A) the date designated by the Grantee on a Diversification Election filed with and approved by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157" w:lineRule="exact"/>
        <w:rPr>
          <w:rFonts w:ascii="Times New Roman" w:cs="Times New Roman" w:eastAsia="Times New Roman" w:hAnsi="Times New Roman"/>
          <w:sz w:val="21"/>
          <w:szCs w:val="21"/>
          <w:color w:val="auto"/>
        </w:rPr>
      </w:pPr>
    </w:p>
    <w:p>
      <w:pPr>
        <w:ind w:left="1480" w:right="40" w:hanging="648"/>
        <w:spacing w:after="0" w:line="212" w:lineRule="auto"/>
        <w:tabs>
          <w:tab w:leader="none" w:pos="1468"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Interfund Transfers and Timing of Credits</w:t>
      </w:r>
      <w:r>
        <w:rPr>
          <w:rFonts w:ascii="Times New Roman" w:cs="Times New Roman" w:eastAsia="Times New Roman" w:hAnsi="Times New Roman"/>
          <w:sz w:val="22"/>
          <w:szCs w:val="22"/>
          <w:color w:val="auto"/>
        </w:rPr>
        <w:t>. Account balances subject to a Diversification Election under this Paragraph 8(k) shall be deemed transferred from the Company Stock Fund to the Income Fund or Other Investment Fund, as applicable, immediately following the effective date of such Diversification Election. The value of amounts deemed invested in the Income Fund or Other Investment Fund immediately following the effective date of a Diversification Election shall be based on hypothetical sales of Common Stock underlying the liquidated Deferred Stock Units (and, if applicable, hypothetical purchases of shares of Other Investment Funds) at Fair Market Value as of the effective date of a Diversification Election.</w:t>
      </w:r>
    </w:p>
    <w:p>
      <w:pPr>
        <w:spacing w:after="0" w:line="156" w:lineRule="exact"/>
        <w:rPr>
          <w:rFonts w:ascii="Times New Roman" w:cs="Times New Roman" w:eastAsia="Times New Roman" w:hAnsi="Times New Roman"/>
          <w:sz w:val="22"/>
          <w:szCs w:val="22"/>
          <w:color w:val="auto"/>
        </w:rPr>
      </w:pPr>
    </w:p>
    <w:p>
      <w:pPr>
        <w:ind w:left="1480" w:right="140" w:hanging="648"/>
        <w:spacing w:after="0" w:line="224" w:lineRule="auto"/>
        <w:tabs>
          <w:tab w:leader="none" w:pos="1475"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Diversification Limit</w:t>
      </w:r>
      <w:r>
        <w:rPr>
          <w:rFonts w:ascii="Times New Roman" w:cs="Times New Roman" w:eastAsia="Times New Roman" w:hAnsi="Times New Roman"/>
          <w:sz w:val="21"/>
          <w:szCs w:val="21"/>
          <w:color w:val="auto"/>
        </w:rPr>
        <w:t>. No Diversification Election during a calendar year by an Eligible Employee shall be effective after October 22, 2020 if the sum of (x) the value of the Eligible Employee’s Account in the 2005 Deferred Compensation Plan, plus (y) the value of the Eligible Employee’s Account in the 2002 Deferred Compensation Plan, plus (z) the value of the Eligible Employee’s Account in this Plan to the extent such Account is credited to the “Income Fund,” exceeds the “Contribution Limit” (as defined in the 2005 Deferred Compensation Plan) with respect to such calendar year, determined as of September 30th immediately preceding such calendar year.</w:t>
      </w:r>
    </w:p>
    <w:p>
      <w:pPr>
        <w:spacing w:after="0" w:line="150" w:lineRule="exact"/>
        <w:rPr>
          <w:rFonts w:ascii="Times New Roman" w:cs="Times New Roman" w:eastAsia="Times New Roman" w:hAnsi="Times New Roman"/>
          <w:sz w:val="21"/>
          <w:szCs w:val="21"/>
          <w:color w:val="auto"/>
        </w:rPr>
      </w:pPr>
    </w:p>
    <w:p>
      <w:pPr>
        <w:ind w:left="-460" w:right="20" w:firstLine="644"/>
        <w:spacing w:after="0" w:line="213" w:lineRule="auto"/>
        <w:tabs>
          <w:tab w:leader="none" w:pos="824"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Grantees’ Status as General Creditors</w:t>
      </w:r>
      <w:r>
        <w:rPr>
          <w:rFonts w:ascii="Times New Roman" w:cs="Times New Roman" w:eastAsia="Times New Roman" w:hAnsi="Times New Roman"/>
          <w:sz w:val="22"/>
          <w:szCs w:val="22"/>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120"/>
          </w:cols>
          <w:pgMar w:left="1440" w:top="1395" w:right="339" w:bottom="1440" w:gutter="0" w:footer="0" w:header="0"/>
        </w:sectPr>
      </w:pPr>
    </w:p>
    <w:bookmarkStart w:id="264" w:name="page265"/>
    <w:bookmarkEnd w:id="264"/>
    <w:p>
      <w:pPr>
        <w:ind w:left="4" w:right="60" w:firstLine="644"/>
        <w:spacing w:after="0" w:line="220" w:lineRule="auto"/>
        <w:tabs>
          <w:tab w:leader="none" w:pos="1288"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 Etc</w:t>
      </w:r>
      <w:r>
        <w:rPr>
          <w:rFonts w:ascii="Times New Roman" w:cs="Times New Roman" w:eastAsia="Times New Roman" w:hAnsi="Times New Roman"/>
          <w:sz w:val="22"/>
          <w:szCs w:val="22"/>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52" w:lineRule="exact"/>
        <w:rPr>
          <w:rFonts w:ascii="Times New Roman" w:cs="Times New Roman" w:eastAsia="Times New Roman" w:hAnsi="Times New Roman"/>
          <w:sz w:val="22"/>
          <w:szCs w:val="22"/>
          <w:color w:val="auto"/>
        </w:rPr>
      </w:pPr>
    </w:p>
    <w:p>
      <w:pPr>
        <w:ind w:left="4" w:right="140" w:firstLine="644"/>
        <w:spacing w:after="0" w:line="213" w:lineRule="auto"/>
        <w:tabs>
          <w:tab w:leader="none" w:pos="1295"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Suspension of Payment of Benefits</w:t>
      </w:r>
      <w:r>
        <w:rPr>
          <w:rFonts w:ascii="Times New Roman" w:cs="Times New Roman" w:eastAsia="Times New Roman" w:hAnsi="Times New Roman"/>
          <w:sz w:val="22"/>
          <w:szCs w:val="22"/>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3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 TAXES</w:t>
      </w:r>
    </w:p>
    <w:p>
      <w:pPr>
        <w:spacing w:after="0" w:line="183" w:lineRule="exact"/>
        <w:rPr>
          <w:rFonts w:ascii="Times New Roman" w:cs="Times New Roman" w:eastAsia="Times New Roman" w:hAnsi="Times New Roman"/>
          <w:sz w:val="22"/>
          <w:szCs w:val="22"/>
          <w:b w:val="1"/>
          <w:bCs w:val="1"/>
          <w:color w:val="auto"/>
        </w:rPr>
      </w:pPr>
    </w:p>
    <w:p>
      <w:pPr>
        <w:ind w:left="4" w:firstLine="644"/>
        <w:spacing w:after="0" w:line="215" w:lineRule="auto"/>
        <w:tabs>
          <w:tab w:leader="none" w:pos="1297"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52" w:lineRule="exact"/>
        <w:rPr>
          <w:rFonts w:ascii="Times New Roman" w:cs="Times New Roman" w:eastAsia="Times New Roman" w:hAnsi="Times New Roman"/>
          <w:sz w:val="22"/>
          <w:szCs w:val="22"/>
          <w:color w:val="auto"/>
        </w:rPr>
      </w:pPr>
    </w:p>
    <w:p>
      <w:pPr>
        <w:ind w:left="4" w:firstLine="644"/>
        <w:spacing w:after="0" w:line="217" w:lineRule="auto"/>
        <w:tabs>
          <w:tab w:leader="none" w:pos="1295"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52"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Tax Liabilities; Election to Withhold Shares or Pay Cash to Satisfy Tax Liability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4" w:right="60" w:hanging="648"/>
        <w:spacing w:after="0" w:line="211" w:lineRule="auto"/>
        <w:tabs>
          <w:tab w:leader="none" w:pos="1932" w:val="left"/>
        </w:tabs>
        <w:numPr>
          <w:ilvl w:val="2"/>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564"/>
          </w:cols>
          <w:pgMar w:left="976" w:top="1395" w:right="359" w:bottom="1440" w:gutter="0" w:footer="0" w:header="0"/>
        </w:sectPr>
      </w:pPr>
    </w:p>
    <w:bookmarkStart w:id="265" w:name="page266"/>
    <w:bookmarkEnd w:id="265"/>
    <w:p>
      <w:pPr>
        <w:ind w:left="1480" w:right="60" w:hanging="648"/>
        <w:spacing w:after="0" w:line="211" w:lineRule="auto"/>
        <w:tabs>
          <w:tab w:leader="none" w:pos="1474"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Paragraph 9(c)(ii), any tax withholding obligations incurred in connection with the grant of any Award, the occurrence of a Vesting Date under any Award under the Plan that is not subject to an Initial Deferral Election, Regular Deferral Election or Subsequent Deferral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more of the following:</w:t>
      </w:r>
    </w:p>
    <w:p>
      <w:pPr>
        <w:spacing w:after="0" w:line="158" w:lineRule="exact"/>
        <w:rPr>
          <w:rFonts w:ascii="Times New Roman" w:cs="Times New Roman" w:eastAsia="Times New Roman" w:hAnsi="Times New Roman"/>
          <w:sz w:val="22"/>
          <w:szCs w:val="22"/>
          <w:color w:val="auto"/>
        </w:rPr>
      </w:pPr>
    </w:p>
    <w:p>
      <w:pPr>
        <w:ind w:left="2120" w:right="100" w:hanging="640"/>
        <w:spacing w:after="0" w:line="215" w:lineRule="auto"/>
        <w:tabs>
          <w:tab w:leader="none" w:pos="2109"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w:t>
      </w:r>
    </w:p>
    <w:p>
      <w:pPr>
        <w:spacing w:after="0" w:line="152" w:lineRule="exact"/>
        <w:rPr>
          <w:rFonts w:ascii="Times New Roman" w:cs="Times New Roman" w:eastAsia="Times New Roman" w:hAnsi="Times New Roman"/>
          <w:sz w:val="22"/>
          <w:szCs w:val="22"/>
          <w:color w:val="auto"/>
        </w:rPr>
      </w:pPr>
    </w:p>
    <w:p>
      <w:pPr>
        <w:ind w:left="2120" w:right="40" w:hanging="640"/>
        <w:spacing w:after="0" w:line="226" w:lineRule="auto"/>
        <w:tabs>
          <w:tab w:leader="none" w:pos="2111"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tax liabilities arising on or after January 1, 2017, to have Shares otherwise deliverable to the Grantee after the application of the other provisions of this Paragraph 9(c)</w:t>
      </w:r>
    </w:p>
    <w:p>
      <w:pPr>
        <w:spacing w:after="0" w:line="1" w:lineRule="exact"/>
        <w:rPr>
          <w:rFonts w:ascii="Times New Roman" w:cs="Times New Roman" w:eastAsia="Times New Roman" w:hAnsi="Times New Roman"/>
          <w:sz w:val="21"/>
          <w:szCs w:val="21"/>
          <w:color w:val="auto"/>
        </w:rPr>
      </w:pPr>
    </w:p>
    <w:p>
      <w:pPr>
        <w:ind w:left="2120" w:right="60" w:firstLine="8"/>
        <w:spacing w:after="0" w:line="209" w:lineRule="auto"/>
        <w:tabs>
          <w:tab w:leader="none" w:pos="2438" w:val="left"/>
        </w:tabs>
        <w:numPr>
          <w:ilvl w:val="2"/>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redeemed by the Company for the Fair Market Value of such Shares on the vesting date or other time of delivery of Shares, and have the cash proceeds of such redemption remitted by the Company to the Grantee to facilitate one or more estimated tax payments to the Internal Revenue Service or other taxing authority for the taxable year in which such vesting occurs, provided that the Grantee certifies in writing to the Company at the time of such election that the Grantee owns Other Available Shares having a Fair Market Value that is at least equal to the Fair Market Value of such Shares to be redeemed by the Company; and</w:t>
      </w:r>
    </w:p>
    <w:p>
      <w:pPr>
        <w:spacing w:after="0" w:line="157" w:lineRule="exact"/>
        <w:rPr>
          <w:rFonts w:ascii="Times New Roman" w:cs="Times New Roman" w:eastAsia="Times New Roman" w:hAnsi="Times New Roman"/>
          <w:sz w:val="22"/>
          <w:szCs w:val="22"/>
          <w:color w:val="auto"/>
        </w:rPr>
      </w:pPr>
    </w:p>
    <w:p>
      <w:pPr>
        <w:ind w:left="2120" w:right="420" w:hanging="640"/>
        <w:spacing w:after="0" w:line="236" w:lineRule="auto"/>
        <w:tabs>
          <w:tab w:leader="none" w:pos="211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to the Company in cash all or a portion of the taxes to be withheld in connection with such grant, Vesting Date or Account distribution.</w:t>
      </w:r>
    </w:p>
    <w:p>
      <w:pPr>
        <w:spacing w:after="0" w:line="177" w:lineRule="exact"/>
        <w:rPr>
          <w:rFonts w:ascii="Times New Roman" w:cs="Times New Roman" w:eastAsia="Times New Roman" w:hAnsi="Times New Roman"/>
          <w:sz w:val="22"/>
          <w:szCs w:val="22"/>
          <w:color w:val="auto"/>
        </w:rPr>
      </w:pPr>
    </w:p>
    <w:p>
      <w:pPr>
        <w:ind w:left="1480"/>
        <w:spacing w:after="0" w:line="251" w:lineRule="auto"/>
        <w:tabs>
          <w:tab w:leader="none" w:pos="2117"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cases, the Shares so withheld or redeemed by the Company, as applicable, shall have a Fair Market Value that does not exceed the amount of taxes to be withheld or remitted via estimated tax payments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120"/>
          </w:cols>
          <w:pgMar w:left="1440" w:top="1395" w:right="339" w:bottom="1440" w:gutter="0" w:footer="0" w:header="0"/>
        </w:sectPr>
      </w:pPr>
    </w:p>
    <w:bookmarkStart w:id="266" w:name="page267"/>
    <w:bookmarkEnd w:id="266"/>
    <w:p>
      <w:pPr>
        <w:ind w:left="1944" w:right="20"/>
        <w:spacing w:after="0" w:line="253" w:lineRule="auto"/>
        <w:rPr>
          <w:sz w:val="20"/>
          <w:szCs w:val="20"/>
          <w:color w:val="auto"/>
        </w:rPr>
      </w:pPr>
      <w:r>
        <w:rPr>
          <w:rFonts w:ascii="Times New Roman" w:cs="Times New Roman" w:eastAsia="Times New Roman" w:hAnsi="Times New Roman"/>
          <w:sz w:val="22"/>
          <w:szCs w:val="22"/>
          <w:color w:val="auto"/>
        </w:rPr>
        <w:t>An election pursuant to this Paragraph 9(c)(ii) may be made only by a Grantee or, in the event of the Grantee’s death, by the Grantee’s legal representative. Shares withheld or redeemed, as applicable, pursuant to this Paragraph 9(c)(ii) shall not be available for subsequent grants under the Plan. The Committee may add such other requirements and limitations regarding elections pursuant to this Paragraph 9(c)(ii) as it deems appropriate.</w:t>
      </w:r>
    </w:p>
    <w:p>
      <w:pPr>
        <w:spacing w:after="0" w:line="152" w:lineRule="exact"/>
        <w:rPr>
          <w:sz w:val="20"/>
          <w:szCs w:val="20"/>
          <w:color w:val="auto"/>
        </w:rPr>
      </w:pPr>
    </w:p>
    <w:p>
      <w:pPr>
        <w:ind w:left="1944" w:hanging="648"/>
        <w:spacing w:after="0" w:line="218" w:lineRule="auto"/>
        <w:tabs>
          <w:tab w:leader="none" w:pos="1944"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part of a Grantee’s Award is subject to an Initial Deferral Election or a Regular Deferral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Deferral Election or Regular Deferral Election, the Grantee shall be required to remit to the Company an amount sufficient to satisfy any federal, state and/or local withholding tax requirements. As part of the Grantee’s Initial Deferral Election or Regular Deferral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148" w:lineRule="exact"/>
        <w:rPr>
          <w:rFonts w:ascii="Times New Roman" w:cs="Times New Roman" w:eastAsia="Times New Roman" w:hAnsi="Times New Roman"/>
          <w:sz w:val="21"/>
          <w:szCs w:val="21"/>
          <w:color w:val="auto"/>
        </w:rPr>
      </w:pPr>
    </w:p>
    <w:p>
      <w:pPr>
        <w:ind w:left="644" w:hanging="644"/>
        <w:spacing w:after="0"/>
        <w:tabs>
          <w:tab w:leader="none" w:pos="644" w:val="left"/>
        </w:tabs>
        <w:numPr>
          <w:ilvl w:val="0"/>
          <w:numId w:val="3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CHANGES IN CAPITALIZATION</w:t>
      </w:r>
    </w:p>
    <w:p>
      <w:pPr>
        <w:spacing w:after="0" w:line="210" w:lineRule="exact"/>
        <w:rPr>
          <w:rFonts w:ascii="Times New Roman" w:cs="Times New Roman" w:eastAsia="Times New Roman" w:hAnsi="Times New Roman"/>
          <w:sz w:val="22"/>
          <w:szCs w:val="22"/>
          <w:b w:val="1"/>
          <w:bCs w:val="1"/>
          <w:color w:val="auto"/>
        </w:rPr>
      </w:pPr>
    </w:p>
    <w:p>
      <w:pPr>
        <w:ind w:left="64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aggregate number of Shares and class of Shares as to which Awards may be granted and the number of Shares</w:t>
      </w:r>
    </w:p>
    <w:p>
      <w:pPr>
        <w:spacing w:after="0" w:line="39" w:lineRule="exact"/>
        <w:rPr>
          <w:sz w:val="20"/>
          <w:szCs w:val="20"/>
          <w:color w:val="auto"/>
        </w:rPr>
      </w:pPr>
    </w:p>
    <w:p>
      <w:pPr>
        <w:ind w:left="4"/>
        <w:spacing w:after="0" w:line="246" w:lineRule="auto"/>
        <w:rPr>
          <w:sz w:val="20"/>
          <w:szCs w:val="20"/>
          <w:color w:val="auto"/>
        </w:rPr>
      </w:pPr>
      <w:r>
        <w:rPr>
          <w:rFonts w:ascii="Times New Roman" w:cs="Times New Roman" w:eastAsia="Times New Roman" w:hAnsi="Times New Roman"/>
          <w:sz w:val="22"/>
          <w:szCs w:val="22"/>
          <w:color w:val="auto"/>
        </w:rPr>
        <w:t>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564"/>
          </w:cols>
          <w:pgMar w:left="976" w:top="1422" w:right="359" w:bottom="1440" w:gutter="0" w:footer="0" w:header="0"/>
        </w:sectPr>
      </w:pPr>
    </w:p>
    <w:bookmarkStart w:id="267" w:name="page268"/>
    <w:bookmarkEnd w:id="267"/>
    <w:p>
      <w:pPr>
        <w:ind w:left="4" w:right="80"/>
        <w:spacing w:after="0" w:line="271" w:lineRule="auto"/>
        <w:rPr>
          <w:sz w:val="20"/>
          <w:szCs w:val="20"/>
          <w:color w:val="auto"/>
        </w:rPr>
      </w:pPr>
      <w:r>
        <w:rPr>
          <w:rFonts w:ascii="Times New Roman" w:cs="Times New Roman" w:eastAsia="Times New Roman" w:hAnsi="Times New Roman"/>
          <w:sz w:val="22"/>
          <w:szCs w:val="22"/>
          <w:color w:val="auto"/>
        </w:rPr>
        <w:t>adjustments to be made under this Paragraph 10 and any such determination by the Committee shall be final, binding and conclusive.</w:t>
      </w:r>
    </w:p>
    <w:p>
      <w:pPr>
        <w:spacing w:after="0" w:line="127" w:lineRule="exact"/>
        <w:rPr>
          <w:sz w:val="20"/>
          <w:szCs w:val="20"/>
          <w:color w:val="auto"/>
        </w:rPr>
      </w:pPr>
    </w:p>
    <w:p>
      <w:pPr>
        <w:ind w:left="644" w:hanging="644"/>
        <w:spacing w:after="0"/>
        <w:tabs>
          <w:tab w:leader="none" w:pos="644"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TERMINATING EVENTS</w:t>
      </w:r>
    </w:p>
    <w:p>
      <w:pPr>
        <w:spacing w:after="0" w:line="183" w:lineRule="exact"/>
        <w:rPr>
          <w:rFonts w:ascii="Times New Roman" w:cs="Times New Roman" w:eastAsia="Times New Roman" w:hAnsi="Times New Roman"/>
          <w:sz w:val="22"/>
          <w:szCs w:val="22"/>
          <w:b w:val="1"/>
          <w:bCs w:val="1"/>
          <w:color w:val="auto"/>
        </w:rPr>
      </w:pPr>
    </w:p>
    <w:p>
      <w:pPr>
        <w:ind w:left="4" w:firstLine="644"/>
        <w:spacing w:after="0" w:line="211" w:lineRule="auto"/>
        <w:tabs>
          <w:tab w:leader="none" w:pos="1563"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give Grantees at least thirty (30) days’ notice (or, if not practicable, such shorter notice as may be reasonably practicable) prior to the anticipated date of the consummation of a Terminating Event. Except as otherwise provided in Paragraph 11(b),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51" w:lineRule="exact"/>
        <w:rPr>
          <w:rFonts w:ascii="Times New Roman" w:cs="Times New Roman" w:eastAsia="Times New Roman" w:hAnsi="Times New Roman"/>
          <w:sz w:val="22"/>
          <w:szCs w:val="22"/>
          <w:color w:val="auto"/>
        </w:rPr>
      </w:pPr>
    </w:p>
    <w:p>
      <w:pPr>
        <w:ind w:left="4" w:right="60" w:firstLine="644"/>
        <w:spacing w:after="0" w:line="215" w:lineRule="auto"/>
        <w:tabs>
          <w:tab w:leader="none" w:pos="1565"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amounts subject to an Award under the Plan that constitute “deferred compensation” (as defined in Section 409A) shall be subject to distribution before the scheduled vesting date for such distribution in connection with a Change in Control unless such Change in Control constitutes a change in the ownership or effective control of the Company, or in the ownership of a substantial portion of the Company’s assets (in either case, as defined in Section 409A of the Code), except to the extent that earlier distribution would not result in any obligation to pay interest or additional tax under Section 409A.</w:t>
      </w:r>
    </w:p>
    <w:p>
      <w:pPr>
        <w:spacing w:after="0" w:line="14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CLAIMS PROCEDURE</w:t>
      </w:r>
    </w:p>
    <w:p>
      <w:pPr>
        <w:spacing w:after="0" w:line="210" w:lineRule="exact"/>
        <w:rPr>
          <w:sz w:val="20"/>
          <w:szCs w:val="20"/>
          <w:color w:val="auto"/>
        </w:rPr>
      </w:pPr>
    </w:p>
    <w:p>
      <w:pPr>
        <w:jc w:val="both"/>
        <w:ind w:left="4" w:right="140" w:firstLine="648"/>
        <w:spacing w:after="0" w:line="281" w:lineRule="auto"/>
        <w:rPr>
          <w:sz w:val="20"/>
          <w:szCs w:val="20"/>
          <w:color w:val="auto"/>
        </w:rPr>
      </w:pPr>
      <w:r>
        <w:rPr>
          <w:rFonts w:ascii="Times New Roman" w:cs="Times New Roman" w:eastAsia="Times New Roman" w:hAnsi="Times New Roman"/>
          <w:sz w:val="21"/>
          <w:szCs w:val="21"/>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5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An Applicant may file a claim for benefits with the Committee on a form supplied by the Committee. If the</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Committee wholly or partially denies a claim, the Committee shall provide the Applicant with a written notice stating:</w:t>
      </w:r>
    </w:p>
    <w:p>
      <w:pPr>
        <w:spacing w:after="0" w:line="169" w:lineRule="exact"/>
        <w:rPr>
          <w:sz w:val="20"/>
          <w:szCs w:val="20"/>
          <w:color w:val="auto"/>
        </w:rPr>
      </w:pPr>
    </w:p>
    <w:p>
      <w:pPr>
        <w:ind w:left="1284" w:hanging="636"/>
        <w:spacing w:after="0"/>
        <w:tabs>
          <w:tab w:leader="none" w:pos="1284"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pertinent Plan provisions on which the denial is based;</w:t>
      </w:r>
    </w:p>
    <w:p>
      <w:pPr>
        <w:spacing w:after="0" w:line="179" w:lineRule="exact"/>
        <w:rPr>
          <w:rFonts w:ascii="Times New Roman" w:cs="Times New Roman" w:eastAsia="Times New Roman" w:hAnsi="Times New Roman"/>
          <w:sz w:val="22"/>
          <w:szCs w:val="22"/>
          <w:color w:val="auto"/>
        </w:rPr>
      </w:pPr>
    </w:p>
    <w:p>
      <w:pPr>
        <w:ind w:left="4" w:right="60" w:firstLine="644"/>
        <w:spacing w:after="0" w:line="236" w:lineRule="auto"/>
        <w:tabs>
          <w:tab w:leader="none" w:pos="1297"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Applicant to perfect the claim and an explanation of why such material or information is necessary; and</w:t>
      </w:r>
    </w:p>
    <w:p>
      <w:pPr>
        <w:spacing w:after="0" w:line="150"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information as to the steps to be taken in order to submit a claim for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564"/>
          </w:cols>
          <w:pgMar w:left="976" w:top="1422" w:right="359" w:bottom="1440" w:gutter="0" w:footer="0" w:header="0"/>
        </w:sectPr>
      </w:pPr>
    </w:p>
    <w:bookmarkStart w:id="268" w:name="page269"/>
    <w:bookmarkEnd w:id="268"/>
    <w:p>
      <w:pPr>
        <w:jc w:val="both"/>
        <w:ind w:left="4" w:right="220" w:firstLine="648"/>
        <w:spacing w:after="0" w:line="257" w:lineRule="auto"/>
        <w:rPr>
          <w:sz w:val="20"/>
          <w:szCs w:val="20"/>
          <w:color w:val="auto"/>
        </w:rPr>
      </w:pPr>
      <w:r>
        <w:rPr>
          <w:rFonts w:ascii="Times New Roman" w:cs="Times New Roman" w:eastAsia="Times New Roman" w:hAnsi="Times New Roman"/>
          <w:sz w:val="22"/>
          <w:szCs w:val="22"/>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86" w:lineRule="exact"/>
        <w:rPr>
          <w:sz w:val="20"/>
          <w:szCs w:val="20"/>
          <w:color w:val="auto"/>
        </w:rPr>
      </w:pPr>
    </w:p>
    <w:p>
      <w:pPr>
        <w:ind w:left="4" w:firstLine="648"/>
        <w:spacing w:after="0" w:line="250" w:lineRule="auto"/>
        <w:rPr>
          <w:sz w:val="20"/>
          <w:szCs w:val="20"/>
          <w:color w:val="auto"/>
        </w:rPr>
      </w:pPr>
      <w:r>
        <w:rPr>
          <w:rFonts w:ascii="Times New Roman" w:cs="Times New Roman" w:eastAsia="Times New Roman" w:hAnsi="Times New Roman"/>
          <w:sz w:val="22"/>
          <w:szCs w:val="22"/>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80" w:lineRule="exact"/>
        <w:rPr>
          <w:sz w:val="20"/>
          <w:szCs w:val="20"/>
          <w:color w:val="auto"/>
        </w:rPr>
      </w:pPr>
    </w:p>
    <w:p>
      <w:pPr>
        <w:ind w:left="4" w:right="460" w:firstLine="648"/>
        <w:spacing w:after="0" w:line="271" w:lineRule="auto"/>
        <w:rPr>
          <w:sz w:val="20"/>
          <w:szCs w:val="20"/>
          <w:color w:val="auto"/>
        </w:rPr>
      </w:pPr>
      <w:r>
        <w:rPr>
          <w:rFonts w:ascii="Times New Roman" w:cs="Times New Roman" w:eastAsia="Times New Roman" w:hAnsi="Times New Roman"/>
          <w:sz w:val="22"/>
          <w:szCs w:val="22"/>
          <w:color w:val="auto"/>
        </w:rPr>
        <w:t>It is intended that the claims procedures of this Plan be administered in accordance with the claims procedure regulations of the Department of Labor set forth in 29 CFR § 2560.503-1.</w:t>
      </w:r>
    </w:p>
    <w:p>
      <w:pPr>
        <w:spacing w:after="0" w:line="15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Claims for benefits under the Plan must be filed with the Committee at the following address:</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Comcast Corporation</w:t>
      </w:r>
    </w:p>
    <w:p>
      <w:pPr>
        <w:ind w:left="4"/>
        <w:spacing w:after="0" w:line="221" w:lineRule="auto"/>
        <w:rPr>
          <w:sz w:val="20"/>
          <w:szCs w:val="20"/>
          <w:color w:val="auto"/>
        </w:rPr>
      </w:pPr>
      <w:r>
        <w:rPr>
          <w:rFonts w:ascii="Times New Roman" w:cs="Times New Roman" w:eastAsia="Times New Roman" w:hAnsi="Times New Roman"/>
          <w:sz w:val="22"/>
          <w:szCs w:val="22"/>
          <w:color w:val="auto"/>
        </w:rPr>
        <w:t>One Comcast Center,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1701 John F. Kennedy Boulevard</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Philadelphia, PA 19103-2838</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65" w:lineRule="exact"/>
        <w:rPr>
          <w:sz w:val="20"/>
          <w:szCs w:val="20"/>
          <w:color w:val="auto"/>
        </w:rPr>
      </w:pPr>
    </w:p>
    <w:p>
      <w:pPr>
        <w:ind w:left="644" w:hanging="644"/>
        <w:spacing w:after="0"/>
        <w:tabs>
          <w:tab w:leader="none" w:pos="644" w:val="left"/>
        </w:tabs>
        <w:numPr>
          <w:ilvl w:val="0"/>
          <w:numId w:val="3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REPAYMENT</w:t>
      </w:r>
    </w:p>
    <w:p>
      <w:pPr>
        <w:spacing w:after="0" w:line="210" w:lineRule="exact"/>
        <w:rPr>
          <w:sz w:val="20"/>
          <w:szCs w:val="20"/>
          <w:color w:val="auto"/>
        </w:rPr>
      </w:pPr>
    </w:p>
    <w:p>
      <w:pPr>
        <w:ind w:left="4" w:firstLine="648"/>
        <w:spacing w:after="0" w:line="261" w:lineRule="auto"/>
        <w:rPr>
          <w:sz w:val="20"/>
          <w:szCs w:val="20"/>
          <w:color w:val="auto"/>
        </w:rPr>
      </w:pPr>
      <w:r>
        <w:rPr>
          <w:rFonts w:ascii="Times New Roman" w:cs="Times New Roman" w:eastAsia="Times New Roman" w:hAnsi="Times New Roman"/>
          <w:sz w:val="21"/>
          <w:szCs w:val="21"/>
          <w:color w:val="auto"/>
        </w:rPr>
        <w:t>If it is determined by the Board that gross negligence, intentional misconduct or fraud by a Section 16 Officer or a former Section 16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 Officer or former Section 16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2" w:lineRule="exact"/>
        <w:rPr>
          <w:sz w:val="20"/>
          <w:szCs w:val="20"/>
          <w:color w:val="auto"/>
        </w:rPr>
      </w:pPr>
    </w:p>
    <w:p>
      <w:pPr>
        <w:ind w:left="4" w:right="100" w:hanging="4"/>
        <w:spacing w:after="0" w:line="245" w:lineRule="auto"/>
        <w:tabs>
          <w:tab w:leader="none" w:pos="322"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564"/>
          </w:cols>
          <w:pgMar w:left="976" w:top="1422" w:right="359" w:bottom="1440" w:gutter="0" w:footer="0" w:header="0"/>
        </w:sectPr>
      </w:pPr>
    </w:p>
    <w:bookmarkStart w:id="269" w:name="page270"/>
    <w:bookmarkEnd w:id="269"/>
    <w:p>
      <w:pPr>
        <w:ind w:left="4" w:right="40"/>
        <w:spacing w:after="0" w:line="271" w:lineRule="auto"/>
        <w:rPr>
          <w:sz w:val="20"/>
          <w:szCs w:val="20"/>
          <w:color w:val="auto"/>
        </w:rPr>
      </w:pPr>
      <w:r>
        <w:rPr>
          <w:rFonts w:ascii="Times New Roman" w:cs="Times New Roman" w:eastAsia="Times New Roman" w:hAnsi="Times New Roman"/>
          <w:sz w:val="22"/>
          <w:szCs w:val="22"/>
          <w:color w:val="auto"/>
        </w:rPr>
        <w:t>the deferral of receipt of an Award), such Award (and any earnings credited with respect thereto) shall be forfeited in lieu of repayment.</w:t>
      </w:r>
    </w:p>
    <w:p>
      <w:pPr>
        <w:spacing w:after="0" w:line="127" w:lineRule="exact"/>
        <w:rPr>
          <w:sz w:val="20"/>
          <w:szCs w:val="20"/>
          <w:color w:val="auto"/>
        </w:rPr>
      </w:pPr>
    </w:p>
    <w:p>
      <w:pPr>
        <w:ind w:left="644" w:hanging="644"/>
        <w:spacing w:after="0"/>
        <w:tabs>
          <w:tab w:leader="none" w:pos="644" w:val="left"/>
        </w:tabs>
        <w:numPr>
          <w:ilvl w:val="0"/>
          <w:numId w:val="3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TERMINATION</w:t>
      </w:r>
    </w:p>
    <w:p>
      <w:pPr>
        <w:spacing w:after="0" w:line="210" w:lineRule="exact"/>
        <w:rPr>
          <w:sz w:val="20"/>
          <w:szCs w:val="20"/>
          <w:color w:val="auto"/>
        </w:rPr>
      </w:pPr>
    </w:p>
    <w:p>
      <w:pPr>
        <w:ind w:left="4" w:right="100" w:firstLine="648"/>
        <w:spacing w:after="0" w:line="263" w:lineRule="auto"/>
        <w:rPr>
          <w:sz w:val="20"/>
          <w:szCs w:val="20"/>
          <w:color w:val="auto"/>
        </w:rPr>
      </w:pPr>
      <w:r>
        <w:rPr>
          <w:rFonts w:ascii="Times New Roman" w:cs="Times New Roman" w:eastAsia="Times New Roman" w:hAnsi="Times New Roman"/>
          <w:sz w:val="22"/>
          <w:szCs w:val="22"/>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36" w:lineRule="exact"/>
        <w:rPr>
          <w:sz w:val="20"/>
          <w:szCs w:val="20"/>
          <w:color w:val="auto"/>
        </w:rPr>
      </w:pPr>
    </w:p>
    <w:p>
      <w:pPr>
        <w:ind w:left="644" w:hanging="644"/>
        <w:spacing w:after="0"/>
        <w:tabs>
          <w:tab w:leader="none" w:pos="644"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w:t>
      </w:r>
    </w:p>
    <w:p>
      <w:pPr>
        <w:spacing w:after="0" w:line="210" w:lineRule="exact"/>
        <w:rPr>
          <w:sz w:val="20"/>
          <w:szCs w:val="20"/>
          <w:color w:val="auto"/>
        </w:rPr>
      </w:pPr>
    </w:p>
    <w:p>
      <w:pPr>
        <w:ind w:left="4" w:right="140" w:firstLine="648"/>
        <w:spacing w:after="0" w:line="256" w:lineRule="auto"/>
        <w:rPr>
          <w:sz w:val="20"/>
          <w:szCs w:val="20"/>
          <w:color w:val="auto"/>
        </w:rPr>
      </w:pPr>
      <w:r>
        <w:rPr>
          <w:rFonts w:ascii="Times New Roman" w:cs="Times New Roman" w:eastAsia="Times New Roman" w:hAnsi="Times New Roman"/>
          <w:sz w:val="22"/>
          <w:szCs w:val="22"/>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Grantees and their beneficiaries.</w:t>
      </w:r>
    </w:p>
    <w:p>
      <w:pPr>
        <w:spacing w:after="0" w:line="172" w:lineRule="exact"/>
        <w:rPr>
          <w:sz w:val="20"/>
          <w:szCs w:val="20"/>
          <w:color w:val="auto"/>
        </w:rPr>
      </w:pPr>
    </w:p>
    <w:p>
      <w:pPr>
        <w:ind w:left="644" w:hanging="644"/>
        <w:spacing w:after="0"/>
        <w:tabs>
          <w:tab w:leader="none" w:pos="644" w:val="left"/>
        </w:tabs>
        <w:numPr>
          <w:ilvl w:val="0"/>
          <w:numId w:val="3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16.  TERM OF PLAN</w:t>
      </w:r>
    </w:p>
    <w:p>
      <w:pPr>
        <w:spacing w:after="0" w:line="223" w:lineRule="exact"/>
        <w:rPr>
          <w:rFonts w:ascii="Times New Roman" w:cs="Times New Roman" w:eastAsia="Times New Roman" w:hAnsi="Times New Roman"/>
          <w:sz w:val="22"/>
          <w:szCs w:val="22"/>
          <w:b w:val="1"/>
          <w:bCs w:val="1"/>
          <w:color w:val="auto"/>
        </w:rPr>
      </w:pPr>
    </w:p>
    <w:p>
      <w:pPr>
        <w:ind w:left="64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shall expire on May 19, 2026, unless sooner terminated by the Board.</w:t>
      </w:r>
    </w:p>
    <w:p>
      <w:pPr>
        <w:spacing w:after="0" w:line="215" w:lineRule="exact"/>
        <w:rPr>
          <w:rFonts w:ascii="Times New Roman" w:cs="Times New Roman" w:eastAsia="Times New Roman" w:hAnsi="Times New Roman"/>
          <w:sz w:val="22"/>
          <w:szCs w:val="22"/>
          <w:b w:val="1"/>
          <w:bCs w:val="1"/>
          <w:color w:val="auto"/>
        </w:rPr>
      </w:pPr>
    </w:p>
    <w:p>
      <w:pPr>
        <w:ind w:left="484" w:hanging="484"/>
        <w:spacing w:after="0"/>
        <w:tabs>
          <w:tab w:leader="none" w:pos="484" w:val="left"/>
        </w:tabs>
        <w:numPr>
          <w:ilvl w:val="0"/>
          <w:numId w:val="3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p>
    <w:p>
      <w:pPr>
        <w:spacing w:after="0" w:line="224" w:lineRule="exact"/>
        <w:rPr>
          <w:sz w:val="20"/>
          <w:szCs w:val="20"/>
          <w:color w:val="auto"/>
        </w:rPr>
      </w:pPr>
    </w:p>
    <w:p>
      <w:pPr>
        <w:ind w:left="4" w:firstLine="648"/>
        <w:spacing w:after="0" w:line="271" w:lineRule="auto"/>
        <w:rPr>
          <w:sz w:val="20"/>
          <w:szCs w:val="20"/>
          <w:color w:val="auto"/>
        </w:rPr>
      </w:pPr>
      <w:r>
        <w:rPr>
          <w:rFonts w:ascii="Times New Roman" w:cs="Times New Roman" w:eastAsia="Times New Roman" w:hAnsi="Times New Roman"/>
          <w:sz w:val="22"/>
          <w:szCs w:val="22"/>
          <w:color w:val="auto"/>
        </w:rPr>
        <w:t>The Plan and all determinations made and actions taken pursuant to the Plan shall be governed in accordance with Pennsylvania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504"/>
          </w:cols>
          <w:pgMar w:left="976" w:top="1422" w:right="41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2002 EMPLOYEE STOCK PURCHASE PLAN</w:t>
      </w:r>
    </w:p>
    <w:p>
      <w:pPr>
        <w:spacing w:after="0" w:line="232" w:lineRule="exact"/>
        <w:rPr>
          <w:sz w:val="20"/>
          <w:szCs w:val="20"/>
          <w:color w:val="auto"/>
        </w:rPr>
      </w:pPr>
    </w:p>
    <w:p>
      <w:pPr>
        <w:ind w:left="660" w:hanging="652"/>
        <w:spacing w:after="0"/>
        <w:tabs>
          <w:tab w:leader="none" w:pos="660" w:val="left"/>
        </w:tabs>
        <w:numPr>
          <w:ilvl w:val="0"/>
          <w:numId w:val="3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COMCAST CORPORATION, a Pennsylvania corporation, hereby amends and restates the Comcast Corporation 2002 Employee Stock Purchase Plan (the “Plan”), effective as of May 14, 2024.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177" w:lineRule="exact"/>
        <w:rPr>
          <w:sz w:val="20"/>
          <w:szCs w:val="20"/>
          <w:color w:val="auto"/>
        </w:rPr>
      </w:pPr>
    </w:p>
    <w:p>
      <w:pPr>
        <w:ind w:left="660" w:hanging="652"/>
        <w:spacing w:after="0"/>
        <w:tabs>
          <w:tab w:leader="none" w:pos="660" w:val="left"/>
        </w:tabs>
        <w:numPr>
          <w:ilvl w:val="0"/>
          <w:numId w:val="3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means a bookkeeping account established by the Committee on behalf of a Participant to hold Payroll</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Deductions.</w:t>
      </w:r>
    </w:p>
    <w:p>
      <w:pPr>
        <w:spacing w:after="0" w:line="195" w:lineRule="exact"/>
        <w:rPr>
          <w:rFonts w:ascii="Times New Roman" w:cs="Times New Roman" w:eastAsia="Times New Roman" w:hAnsi="Times New Roman"/>
          <w:sz w:val="21"/>
          <w:szCs w:val="21"/>
          <w:color w:val="auto"/>
        </w:rPr>
      </w:pPr>
    </w:p>
    <w:p>
      <w:pPr>
        <w:ind w:right="40" w:firstLine="656"/>
        <w:spacing w:after="0" w:line="253" w:lineRule="auto"/>
        <w:tabs>
          <w:tab w:leader="none" w:pos="1291"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33" w:lineRule="exact"/>
        <w:rPr>
          <w:rFonts w:ascii="Times New Roman" w:cs="Times New Roman" w:eastAsia="Times New Roman" w:hAnsi="Times New Roman"/>
          <w:sz w:val="22"/>
          <w:szCs w:val="22"/>
          <w:color w:val="auto"/>
        </w:rPr>
      </w:pPr>
    </w:p>
    <w:p>
      <w:pPr>
        <w:ind w:right="940" w:firstLine="656"/>
        <w:spacing w:after="0" w:line="271" w:lineRule="auto"/>
        <w:tabs>
          <w:tab w:leader="none" w:pos="1291"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Brokerage Account</w:t>
      </w:r>
      <w:r>
        <w:rPr>
          <w:rFonts w:ascii="Times New Roman" w:cs="Times New Roman" w:eastAsia="Times New Roman" w:hAnsi="Times New Roman"/>
          <w:sz w:val="22"/>
          <w:szCs w:val="22"/>
          <w:color w:val="auto"/>
        </w:rPr>
        <w:t>” means the brokerage account established under the Plan by the Company for each Participant, to which Shares purchased under the Plan shall be credited.</w:t>
      </w:r>
    </w:p>
    <w:p>
      <w:pPr>
        <w:spacing w:after="0" w:line="157" w:lineRule="exact"/>
        <w:rPr>
          <w:rFonts w:ascii="Times New Roman" w:cs="Times New Roman" w:eastAsia="Times New Roman" w:hAnsi="Times New Roman"/>
          <w:sz w:val="22"/>
          <w:szCs w:val="22"/>
          <w:color w:val="auto"/>
        </w:rPr>
      </w:pPr>
    </w:p>
    <w:p>
      <w:pPr>
        <w:ind w:right="160" w:firstLine="656"/>
        <w:spacing w:after="0" w:line="253" w:lineRule="auto"/>
        <w:tabs>
          <w:tab w:leader="none" w:pos="1293"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w:t>
      </w:r>
    </w:p>
    <w:p>
      <w:pPr>
        <w:sectPr>
          <w:pgSz w:w="11900" w:h="16838" w:orient="portrait"/>
          <w:cols w:equalWidth="0" w:num="1">
            <w:col w:w="11240"/>
          </w:cols>
          <w:pgMar w:left="320" w:top="1418" w:right="339" w:bottom="1440" w:gutter="0" w:footer="0" w:header="0"/>
        </w:sectPr>
      </w:pPr>
    </w:p>
    <w:bookmarkStart w:id="271" w:name="page272"/>
    <w:bookmarkEnd w:id="271"/>
    <w:p>
      <w:pPr>
        <w:ind w:left="-40" w:right="100" w:firstLine="656"/>
        <w:spacing w:after="0" w:line="271" w:lineRule="auto"/>
        <w:tabs>
          <w:tab w:leader="none" w:pos="1251"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Comcast Corporation, a Pennsylvania corporation, including any successor thereto by merger, consolidation, acquisition of all or substantially all the assets thereof, or otherwise.</w:t>
      </w:r>
    </w:p>
    <w:p>
      <w:pPr>
        <w:spacing w:after="0" w:line="157" w:lineRule="exact"/>
        <w:rPr>
          <w:rFonts w:ascii="Times New Roman" w:cs="Times New Roman" w:eastAsia="Times New Roman" w:hAnsi="Times New Roman"/>
          <w:sz w:val="22"/>
          <w:szCs w:val="22"/>
          <w:color w:val="auto"/>
        </w:rPr>
      </w:pPr>
    </w:p>
    <w:p>
      <w:pPr>
        <w:ind w:left="-40" w:right="80" w:firstLine="656"/>
        <w:spacing w:after="0" w:line="251" w:lineRule="auto"/>
        <w:tabs>
          <w:tab w:leader="none" w:pos="1244"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means an Eligible Employee’s wages as reported on Form W-2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94"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Comcast Group</w:t>
      </w:r>
      <w:r>
        <w:rPr>
          <w:rFonts w:ascii="Times New Roman" w:cs="Times New Roman" w:eastAsia="Times New Roman" w:hAnsi="Times New Roman"/>
          <w:sz w:val="22"/>
          <w:szCs w:val="22"/>
          <w:color w:val="auto"/>
        </w:rPr>
        <w:t>” means the Company and any Affiliate of the Company.</w:t>
      </w:r>
    </w:p>
    <w:p>
      <w:pPr>
        <w:spacing w:after="0" w:line="219" w:lineRule="exact"/>
        <w:rPr>
          <w:rFonts w:ascii="Times New Roman" w:cs="Times New Roman" w:eastAsia="Times New Roman" w:hAnsi="Times New Roman"/>
          <w:sz w:val="22"/>
          <w:szCs w:val="22"/>
          <w:color w:val="auto"/>
        </w:rPr>
      </w:pPr>
    </w:p>
    <w:p>
      <w:pPr>
        <w:ind w:left="-40" w:right="240" w:firstLine="656"/>
        <w:spacing w:after="0" w:line="271" w:lineRule="auto"/>
        <w:tabs>
          <w:tab w:leader="none" w:pos="1251"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 Form</w:t>
      </w:r>
      <w:r>
        <w:rPr>
          <w:rFonts w:ascii="Times New Roman" w:cs="Times New Roman" w:eastAsia="Times New Roman" w:hAnsi="Times New Roman"/>
          <w:sz w:val="22"/>
          <w:szCs w:val="22"/>
          <w:color w:val="auto"/>
        </w:rPr>
        <w:t>” means the written or electronic form acceptable to the Committee which an Eligible Employee shall use to make an election to purchase Shares through Payroll Deductions pursuant to the Plan.</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an Employee who is not an Ineligible Employee.</w:t>
      </w:r>
    </w:p>
    <w:p>
      <w:pPr>
        <w:spacing w:after="0" w:line="219" w:lineRule="exact"/>
        <w:rPr>
          <w:rFonts w:ascii="Times New Roman" w:cs="Times New Roman" w:eastAsia="Times New Roman" w:hAnsi="Times New Roman"/>
          <w:sz w:val="22"/>
          <w:szCs w:val="22"/>
          <w:color w:val="auto"/>
        </w:rPr>
      </w:pPr>
    </w:p>
    <w:p>
      <w:pPr>
        <w:ind w:left="-40" w:right="520" w:firstLine="656"/>
        <w:spacing w:after="0" w:line="271" w:lineRule="auto"/>
        <w:tabs>
          <w:tab w:leader="none" w:pos="1244"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Employer</w:t>
      </w:r>
      <w:r>
        <w:rPr>
          <w:rFonts w:ascii="Times New Roman" w:cs="Times New Roman" w:eastAsia="Times New Roman" w:hAnsi="Times New Roman"/>
          <w:sz w:val="22"/>
          <w:szCs w:val="22"/>
          <w:color w:val="auto"/>
        </w:rPr>
        <w:t>” means the Company and any subsidiary of the Company, within the meaning of section 424(f) of the Code.</w:t>
      </w:r>
    </w:p>
    <w:p>
      <w:pPr>
        <w:spacing w:after="0" w:line="171"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 person who is an employee of a Participating Company.</w:t>
      </w:r>
    </w:p>
    <w:p>
      <w:pPr>
        <w:spacing w:after="0" w:line="219" w:lineRule="exact"/>
        <w:rPr>
          <w:rFonts w:ascii="Times New Roman" w:cs="Times New Roman" w:eastAsia="Times New Roman" w:hAnsi="Times New Roman"/>
          <w:sz w:val="22"/>
          <w:szCs w:val="22"/>
          <w:color w:val="auto"/>
        </w:rPr>
      </w:pPr>
    </w:p>
    <w:p>
      <w:pPr>
        <w:ind w:left="-40" w:firstLine="656"/>
        <w:spacing w:after="0" w:line="253" w:lineRule="auto"/>
        <w:tabs>
          <w:tab w:leader="none" w:pos="1251"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78" w:lineRule="exact"/>
        <w:rPr>
          <w:rFonts w:ascii="Times New Roman" w:cs="Times New Roman" w:eastAsia="Times New Roman" w:hAnsi="Times New Roman"/>
          <w:sz w:val="22"/>
          <w:szCs w:val="22"/>
          <w:color w:val="auto"/>
        </w:rPr>
      </w:pPr>
    </w:p>
    <w:p>
      <w:pPr>
        <w:ind w:left="-40" w:right="180" w:firstLine="656"/>
        <w:spacing w:after="0" w:line="271" w:lineRule="auto"/>
        <w:tabs>
          <w:tab w:leader="none" w:pos="1251"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Five Percent Owner</w:t>
      </w:r>
      <w:r>
        <w:rPr>
          <w:rFonts w:ascii="Times New Roman" w:cs="Times New Roman" w:eastAsia="Times New Roman" w:hAnsi="Times New Roman"/>
          <w:sz w:val="22"/>
          <w:szCs w:val="22"/>
          <w:color w:val="auto"/>
        </w:rPr>
        <w:t>” means an Employee who, with respect to a Participating Company, is described in section 423(b)(3) of the Code.</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Employee</w:t>
      </w:r>
      <w:r>
        <w:rPr>
          <w:rFonts w:ascii="Times New Roman" w:cs="Times New Roman" w:eastAsia="Times New Roman" w:hAnsi="Times New Roman"/>
          <w:sz w:val="22"/>
          <w:szCs w:val="22"/>
          <w:color w:val="auto"/>
        </w:rPr>
        <w:t>” means an Employee who, as of an Offering Commencement Date:</w:t>
      </w:r>
    </w:p>
    <w:p>
      <w:pPr>
        <w:spacing w:after="0" w:line="219" w:lineRule="exact"/>
        <w:rPr>
          <w:rFonts w:ascii="Times New Roman" w:cs="Times New Roman" w:eastAsia="Times New Roman" w:hAnsi="Times New Roman"/>
          <w:sz w:val="22"/>
          <w:szCs w:val="22"/>
          <w:color w:val="auto"/>
        </w:rPr>
      </w:pPr>
    </w:p>
    <w:p>
      <w:pPr>
        <w:ind w:left="1900" w:hanging="636"/>
        <w:spacing w:after="0"/>
        <w:tabs>
          <w:tab w:leader="none" w:pos="1900"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Five Percent Owner;</w:t>
      </w:r>
    </w:p>
    <w:p>
      <w:pPr>
        <w:spacing w:after="0" w:line="233" w:lineRule="exact"/>
        <w:rPr>
          <w:rFonts w:ascii="Times New Roman" w:cs="Times New Roman" w:eastAsia="Times New Roman" w:hAnsi="Times New Roman"/>
          <w:sz w:val="22"/>
          <w:szCs w:val="22"/>
          <w:color w:val="auto"/>
        </w:rPr>
      </w:pPr>
    </w:p>
    <w:p>
      <w:pPr>
        <w:ind w:left="1900" w:hanging="636"/>
        <w:spacing w:after="0"/>
        <w:tabs>
          <w:tab w:leader="none" w:pos="1900"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continuously employed by the Comcast Group on a full-time basis for less than 90 days;</w:t>
      </w:r>
    </w:p>
    <w:p>
      <w:pPr>
        <w:spacing w:after="0" w:line="219" w:lineRule="exact"/>
        <w:rPr>
          <w:rFonts w:ascii="Times New Roman" w:cs="Times New Roman" w:eastAsia="Times New Roman" w:hAnsi="Times New Roman"/>
          <w:sz w:val="22"/>
          <w:szCs w:val="22"/>
          <w:color w:val="auto"/>
        </w:rPr>
      </w:pPr>
    </w:p>
    <w:p>
      <w:pPr>
        <w:ind w:left="1900" w:hanging="636"/>
        <w:spacing w:after="0"/>
        <w:tabs>
          <w:tab w:leader="none" w:pos="1900"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continuously employed by the Comcast Group on a part-time basis for less than one year;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60"/>
          </w:cols>
          <w:pgMar w:left="360" w:top="1422" w:right="379" w:bottom="1440" w:gutter="0" w:footer="0" w:header="0"/>
        </w:sectPr>
      </w:pPr>
    </w:p>
    <w:bookmarkStart w:id="272" w:name="page273"/>
    <w:bookmarkEnd w:id="272"/>
    <w:p>
      <w:pPr>
        <w:ind w:left="1940" w:hanging="636"/>
        <w:spacing w:after="0"/>
        <w:tabs>
          <w:tab w:leader="none" w:pos="194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restricted from participating under Paragraph 3(b).</w:t>
      </w:r>
    </w:p>
    <w:p>
      <w:pPr>
        <w:spacing w:after="0" w:line="22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For purposes of this Paragraph 2(q), an Employee is employed on a part-time basis if the Employee customarily works less than 20 hours per week. For purposes of this Paragraph 2(q), an Employee is employed on a full-time basis if the Employee customarily works 20 or more hours per week.</w:t>
      </w:r>
    </w:p>
    <w:p>
      <w:pPr>
        <w:spacing w:after="0" w:line="167" w:lineRule="exact"/>
        <w:rPr>
          <w:sz w:val="20"/>
          <w:szCs w:val="20"/>
          <w:color w:val="auto"/>
        </w:rPr>
      </w:pPr>
    </w:p>
    <w:p>
      <w:pPr>
        <w:ind w:left="1300" w:hanging="644"/>
        <w:spacing w:after="0"/>
        <w:tabs>
          <w:tab w:leader="none" w:pos="130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means an offering of Shares by the Company to Eligible Employees pursuant to the Plan.</w:t>
      </w:r>
    </w:p>
    <w:p>
      <w:pPr>
        <w:spacing w:after="0" w:line="219" w:lineRule="exact"/>
        <w:rPr>
          <w:rFonts w:ascii="Times New Roman" w:cs="Times New Roman" w:eastAsia="Times New Roman" w:hAnsi="Times New Roman"/>
          <w:sz w:val="22"/>
          <w:szCs w:val="22"/>
          <w:color w:val="auto"/>
        </w:rPr>
      </w:pPr>
    </w:p>
    <w:p>
      <w:pPr>
        <w:ind w:right="260" w:firstLine="656"/>
        <w:spacing w:after="0" w:line="257" w:lineRule="auto"/>
        <w:tabs>
          <w:tab w:leader="none" w:pos="1294"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Commencement Date</w:t>
      </w:r>
      <w:r>
        <w:rPr>
          <w:rFonts w:ascii="Times New Roman" w:cs="Times New Roman" w:eastAsia="Times New Roman" w:hAnsi="Times New Roman"/>
          <w:sz w:val="22"/>
          <w:szCs w:val="22"/>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186" w:lineRule="exact"/>
        <w:rPr>
          <w:rFonts w:ascii="Times New Roman" w:cs="Times New Roman" w:eastAsia="Times New Roman" w:hAnsi="Times New Roman"/>
          <w:sz w:val="22"/>
          <w:szCs w:val="22"/>
          <w:color w:val="auto"/>
        </w:rPr>
      </w:pPr>
    </w:p>
    <w:p>
      <w:pPr>
        <w:ind w:right="560" w:firstLine="656"/>
        <w:spacing w:after="0" w:line="271" w:lineRule="auto"/>
        <w:tabs>
          <w:tab w:leader="none" w:pos="1284"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Period</w:t>
      </w:r>
      <w:r>
        <w:rPr>
          <w:rFonts w:ascii="Times New Roman" w:cs="Times New Roman" w:eastAsia="Times New Roman" w:hAnsi="Times New Roman"/>
          <w:sz w:val="22"/>
          <w:szCs w:val="22"/>
          <w:color w:val="auto"/>
        </w:rPr>
        <w:t>” means the period extending from an Offering Commencement Date through the following Offering Termination Date.</w:t>
      </w:r>
    </w:p>
    <w:p>
      <w:pPr>
        <w:spacing w:after="0" w:line="157" w:lineRule="exact"/>
        <w:rPr>
          <w:rFonts w:ascii="Times New Roman" w:cs="Times New Roman" w:eastAsia="Times New Roman" w:hAnsi="Times New Roman"/>
          <w:sz w:val="22"/>
          <w:szCs w:val="22"/>
          <w:color w:val="auto"/>
        </w:rPr>
      </w:pPr>
    </w:p>
    <w:p>
      <w:pPr>
        <w:ind w:right="420" w:firstLine="656"/>
        <w:spacing w:after="0" w:line="295" w:lineRule="auto"/>
        <w:tabs>
          <w:tab w:leader="none" w:pos="1291"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Offering Termination Date</w:t>
      </w:r>
      <w:r>
        <w:rPr>
          <w:rFonts w:ascii="Times New Roman" w:cs="Times New Roman" w:eastAsia="Times New Roman" w:hAnsi="Times New Roman"/>
          <w:sz w:val="21"/>
          <w:szCs w:val="21"/>
          <w:color w:val="auto"/>
        </w:rPr>
        <w:t>” means the last day of each March, June, September and December following an Offering Commencement Date, or such other Offering Termination Date established in connection with a Terminating Event.</w:t>
      </w:r>
    </w:p>
    <w:p>
      <w:pPr>
        <w:spacing w:after="0" w:line="135" w:lineRule="exact"/>
        <w:rPr>
          <w:rFonts w:ascii="Times New Roman" w:cs="Times New Roman" w:eastAsia="Times New Roman" w:hAnsi="Times New Roman"/>
          <w:sz w:val="21"/>
          <w:szCs w:val="21"/>
          <w:color w:val="auto"/>
        </w:rPr>
      </w:pPr>
    </w:p>
    <w:p>
      <w:pPr>
        <w:ind w:right="720" w:firstLine="656"/>
        <w:spacing w:after="0" w:line="271" w:lineRule="auto"/>
        <w:tabs>
          <w:tab w:leader="none" w:pos="129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Eligible Employee who has timely delivered an Election Form to the Committee in accordance with procedures established by the Committee.</w:t>
      </w:r>
    </w:p>
    <w:p>
      <w:pPr>
        <w:spacing w:after="0" w:line="171" w:lineRule="exact"/>
        <w:rPr>
          <w:rFonts w:ascii="Times New Roman" w:cs="Times New Roman" w:eastAsia="Times New Roman" w:hAnsi="Times New Roman"/>
          <w:sz w:val="22"/>
          <w:szCs w:val="22"/>
          <w:color w:val="auto"/>
        </w:rPr>
      </w:pPr>
    </w:p>
    <w:p>
      <w:pPr>
        <w:ind w:firstLine="656"/>
        <w:spacing w:after="0" w:line="250" w:lineRule="auto"/>
        <w:tabs>
          <w:tab w:leader="none" w:pos="1285"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Company</w:t>
      </w:r>
      <w:r>
        <w:rPr>
          <w:rFonts w:ascii="Times New Roman" w:cs="Times New Roman" w:eastAsia="Times New Roman" w:hAnsi="Times New Roman"/>
          <w:sz w:val="22"/>
          <w:szCs w:val="22"/>
          <w:color w:val="auto"/>
        </w:rPr>
        <w:t>” means each Eligible Employer whose employees’ Compensation is administered under the Company’s common payroll system, other than such an Eligible Employer that is designated by the Board or Committee as an excluded Eligible Employer, provided that the Board or Committee may designate an Eligible Employer whose employees’ Compensation is not administered under the Company’s common payroll system as a Participating Company. Notwithstanding the foregoing, the Board or the Committee may delegate its authority to designate or exclude an Eligible Employer as a Participating Company under this Paragraph 2(w) to an officer of the Company or committee of two or more officers of the Company.</w:t>
      </w:r>
    </w:p>
    <w:p>
      <w:pPr>
        <w:spacing w:after="0" w:line="180" w:lineRule="exact"/>
        <w:rPr>
          <w:rFonts w:ascii="Times New Roman" w:cs="Times New Roman" w:eastAsia="Times New Roman" w:hAnsi="Times New Roman"/>
          <w:sz w:val="22"/>
          <w:szCs w:val="22"/>
          <w:color w:val="auto"/>
        </w:rPr>
      </w:pPr>
    </w:p>
    <w:p>
      <w:pPr>
        <w:ind w:right="760" w:firstLine="656"/>
        <w:spacing w:after="0" w:line="271" w:lineRule="auto"/>
        <w:tabs>
          <w:tab w:leader="none" w:pos="129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Payroll Deductions</w:t>
      </w:r>
      <w:r>
        <w:rPr>
          <w:rFonts w:ascii="Times New Roman" w:cs="Times New Roman" w:eastAsia="Times New Roman" w:hAnsi="Times New Roman"/>
          <w:sz w:val="22"/>
          <w:szCs w:val="22"/>
          <w:color w:val="auto"/>
        </w:rPr>
        <w:t>” means amounts withheld from a Participant’s Compensation pursuant to the Plan, as described in Paragraph 5.</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an association, a trust or any other entity or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organization.</w:t>
      </w:r>
    </w:p>
    <w:p>
      <w:pPr>
        <w:spacing w:after="0" w:line="207" w:lineRule="exact"/>
        <w:rPr>
          <w:rFonts w:ascii="Times New Roman" w:cs="Times New Roman" w:eastAsia="Times New Roman" w:hAnsi="Times New Roman"/>
          <w:sz w:val="22"/>
          <w:szCs w:val="22"/>
          <w:color w:val="auto"/>
        </w:rPr>
      </w:pPr>
    </w:p>
    <w:p>
      <w:pPr>
        <w:ind w:right="100" w:firstLine="656"/>
        <w:spacing w:after="0" w:line="271" w:lineRule="auto"/>
        <w:tabs>
          <w:tab w:leader="none" w:pos="1293"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2002 Employee Stock Purchase Plan, as set forth in this document, and as may be amended from time to time.</w:t>
      </w:r>
    </w:p>
    <w:p>
      <w:pPr>
        <w:spacing w:after="0" w:line="158" w:lineRule="exact"/>
        <w:rPr>
          <w:sz w:val="20"/>
          <w:szCs w:val="20"/>
          <w:color w:val="auto"/>
        </w:rPr>
      </w:pPr>
    </w:p>
    <w:p>
      <w:pPr>
        <w:ind w:left="1300" w:hanging="644"/>
        <w:spacing w:after="0"/>
        <w:tabs>
          <w:tab w:leader="none" w:pos="1300"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Termination Date</w:t>
      </w:r>
      <w:r>
        <w:rPr>
          <w:rFonts w:ascii="Times New Roman" w:cs="Times New Roman" w:eastAsia="Times New Roman" w:hAnsi="Times New Roman"/>
          <w:sz w:val="22"/>
          <w:szCs w:val="22"/>
          <w:color w:val="auto"/>
        </w:rPr>
        <w:t>” means the earlier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273" w:name="page274"/>
    <w:bookmarkEnd w:id="273"/>
    <w:p>
      <w:pPr>
        <w:ind w:right="480" w:firstLine="1304"/>
        <w:spacing w:after="0" w:line="271" w:lineRule="auto"/>
        <w:tabs>
          <w:tab w:leader="none" w:pos="1939"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Offering Termination Date for the Offering in which the maximum number of Shares specified in Paragraph 9 have been issued pursuant to the Plan; or</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as of which the Board or the Committee chooses to terminate the Plan as provided in Paragraph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w:t>
      </w:r>
    </w:p>
    <w:p>
      <w:pPr>
        <w:spacing w:after="0" w:line="20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(ab)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(ac)</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“Shares” means shares of Comcast Corporation Class A Common Stock, par value $0.01.</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453"/>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(ad)</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8"/>
              </w:rPr>
              <w:t>“Successor-in-Interest” means the Participant’s executor or administrator, or such other person or entity to which</w:t>
            </w:r>
          </w:p>
        </w:tc>
      </w:tr>
      <w:tr>
        <w:trPr>
          <w:trHeight w:val="20"/>
        </w:trPr>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289"/>
        </w:trPr>
        <w:tc>
          <w:tcPr>
            <w:tcW w:w="111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the Participant’s rights under the Plan shall have passed by will or the laws of descent and distribution.</w:t>
            </w:r>
          </w:p>
        </w:tc>
      </w:tr>
      <w:tr>
        <w:trPr>
          <w:trHeight w:val="42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(ae)</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“Terminating Event” means any of the following events:</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180" w:type="dxa"/>
            <w:vAlign w:val="bottom"/>
            <w:tcBorders>
              <w:left w:val="single" w:sz="8" w:color="auto"/>
            </w:tcBorders>
            <w:gridSpan w:val="2"/>
          </w:tcPr>
          <w:p>
            <w:pPr>
              <w:spacing w:after="0" w:line="20" w:lineRule="exact"/>
              <w:rPr>
                <w:sz w:val="1"/>
                <w:szCs w:val="1"/>
                <w:color w:val="auto"/>
              </w:rPr>
            </w:pPr>
          </w:p>
        </w:tc>
      </w:tr>
      <w:tr>
        <w:trPr>
          <w:trHeight w:val="505"/>
        </w:trPr>
        <w:tc>
          <w:tcPr>
            <w:tcW w:w="1140" w:type="dxa"/>
            <w:vAlign w:val="bottom"/>
          </w:tcPr>
          <w:p>
            <w:pPr>
              <w:spacing w:after="0"/>
              <w:rPr>
                <w:sz w:val="24"/>
                <w:szCs w:val="24"/>
                <w:color w:val="auto"/>
              </w:rPr>
            </w:pPr>
          </w:p>
        </w:tc>
        <w:tc>
          <w:tcPr>
            <w:tcW w:w="6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(1)</w:t>
            </w:r>
          </w:p>
        </w:tc>
        <w:tc>
          <w:tcPr>
            <w:tcW w:w="94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the liquidation of the Company; or</w:t>
            </w:r>
          </w:p>
        </w:tc>
      </w:tr>
      <w:tr>
        <w:trPr>
          <w:trHeight w:val="473"/>
        </w:trPr>
        <w:tc>
          <w:tcPr>
            <w:tcW w:w="1140" w:type="dxa"/>
            <w:vAlign w:val="bottom"/>
          </w:tcPr>
          <w:p>
            <w:pPr>
              <w:spacing w:after="0"/>
              <w:rPr>
                <w:sz w:val="24"/>
                <w:szCs w:val="24"/>
                <w:color w:val="auto"/>
              </w:rPr>
            </w:pPr>
          </w:p>
        </w:tc>
        <w:tc>
          <w:tcPr>
            <w:tcW w:w="6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(2)</w:t>
            </w:r>
          </w:p>
        </w:tc>
        <w:tc>
          <w:tcPr>
            <w:tcW w:w="94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a Change of Control.</w:t>
            </w:r>
          </w:p>
        </w:tc>
      </w:tr>
      <w:tr>
        <w:trPr>
          <w:trHeight w:val="433"/>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(af)</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7"/>
              </w:rPr>
              <w:t>“Third Party” means any Person, together with such Person’s Affiliates, provided that the term “Third Party” shall</w:t>
            </w:r>
          </w:p>
        </w:tc>
      </w:tr>
      <w:tr>
        <w:trPr>
          <w:trHeight w:val="20"/>
        </w:trPr>
        <w:tc>
          <w:tcPr>
            <w:tcW w:w="1380" w:type="dxa"/>
            <w:vAlign w:val="bottom"/>
            <w:gridSpan w:val="2"/>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180" w:type="dxa"/>
            <w:vAlign w:val="bottom"/>
            <w:gridSpan w:val="2"/>
          </w:tcPr>
          <w:p>
            <w:pPr>
              <w:spacing w:after="0" w:line="20" w:lineRule="exact"/>
              <w:rPr>
                <w:sz w:val="1"/>
                <w:szCs w:val="1"/>
                <w:color w:val="auto"/>
              </w:rPr>
            </w:pPr>
          </w:p>
        </w:tc>
      </w:tr>
      <w:tr>
        <w:trPr>
          <w:trHeight w:val="289"/>
        </w:trPr>
        <w:tc>
          <w:tcPr>
            <w:tcW w:w="111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not include the Company or an Affiliate of the Company.</w:t>
            </w:r>
          </w:p>
        </w:tc>
      </w:tr>
      <w:tr>
        <w:trPr>
          <w:trHeight w:val="42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(ag)</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9"/>
              </w:rPr>
              <w:t>“Termination Form” means the written or electronic form acceptable to the Committee which an Employee shall</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use to discontinue participation during an Offering Period pursuant to Paragraph 7(b).</w:t>
      </w:r>
    </w:p>
    <w:p>
      <w:pPr>
        <w:spacing w:after="0" w:line="216" w:lineRule="exact"/>
        <w:rPr>
          <w:sz w:val="20"/>
          <w:szCs w:val="20"/>
          <w:color w:val="auto"/>
        </w:rPr>
      </w:pPr>
    </w:p>
    <w:p>
      <w:pPr>
        <w:ind w:left="660" w:hanging="652"/>
        <w:spacing w:after="0"/>
        <w:tabs>
          <w:tab w:leader="none" w:pos="660" w:val="left"/>
        </w:tabs>
        <w:numPr>
          <w:ilvl w:val="0"/>
          <w:numId w:val="3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Eligibility and Participation</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right="180" w:firstLine="656"/>
        <w:spacing w:after="0" w:line="271" w:lineRule="auto"/>
        <w:tabs>
          <w:tab w:leader="none" w:pos="1293"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Except to the extent participation is restricted under Paragraph 3(b), each Eligible Employee shall be eligible to participate in the Plan.</w:t>
      </w:r>
    </w:p>
    <w:p>
      <w:pPr>
        <w:spacing w:after="0" w:line="157" w:lineRule="exact"/>
        <w:rPr>
          <w:rFonts w:ascii="Times New Roman" w:cs="Times New Roman" w:eastAsia="Times New Roman" w:hAnsi="Times New Roman"/>
          <w:sz w:val="22"/>
          <w:szCs w:val="22"/>
          <w:color w:val="auto"/>
        </w:rPr>
      </w:pPr>
    </w:p>
    <w:p>
      <w:pPr>
        <w:ind w:right="260" w:firstLine="656"/>
        <w:spacing w:after="0" w:line="271" w:lineRule="auto"/>
        <w:tabs>
          <w:tab w:leader="none" w:pos="1291"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Participation</w:t>
      </w:r>
      <w:r>
        <w:rPr>
          <w:rFonts w:ascii="Times New Roman" w:cs="Times New Roman" w:eastAsia="Times New Roman" w:hAnsi="Times New Roman"/>
          <w:sz w:val="22"/>
          <w:szCs w:val="22"/>
          <w:color w:val="auto"/>
        </w:rPr>
        <w:t>. Notwithstanding any provisions of the Plan to the contrary, no Employee shall be eligible to purchase Shares in an Offering to the extent that:</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purchase of Shares, such Employee would be a Five Percent Owner; or</w:t>
      </w:r>
    </w:p>
    <w:p>
      <w:pPr>
        <w:spacing w:after="0" w:line="233" w:lineRule="exact"/>
        <w:rPr>
          <w:rFonts w:ascii="Times New Roman" w:cs="Times New Roman" w:eastAsia="Times New Roman" w:hAnsi="Times New Roman"/>
          <w:sz w:val="22"/>
          <w:szCs w:val="22"/>
          <w:color w:val="auto"/>
        </w:rPr>
      </w:pPr>
    </w:p>
    <w:p>
      <w:pPr>
        <w:jc w:val="both"/>
        <w:ind w:right="380" w:firstLine="1304"/>
        <w:spacing w:after="0" w:line="257" w:lineRule="auto"/>
        <w:tabs>
          <w:tab w:leader="none" w:pos="1939" w:val="left"/>
        </w:tabs>
        <w:numPr>
          <w:ilvl w:val="2"/>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purchase of Shares would permit such Employee’s rights to purchase stock under all employee stock purchase plans of the Participating Companies which meet the requirements of section 423(b) of the Code to accrue at a rate which exceeds $25,000 in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60"/>
          </w:cols>
          <w:pgMar w:left="320" w:top="1422" w:right="419" w:bottom="1440" w:gutter="0" w:footer="0" w:header="0"/>
        </w:sectPr>
      </w:pPr>
    </w:p>
    <w:bookmarkStart w:id="274" w:name="page275"/>
    <w:bookmarkEnd w:id="274"/>
    <w:p>
      <w:pPr>
        <w:ind w:right="340"/>
        <w:spacing w:after="0" w:line="271" w:lineRule="auto"/>
        <w:rPr>
          <w:sz w:val="20"/>
          <w:szCs w:val="20"/>
          <w:color w:val="auto"/>
        </w:rPr>
      </w:pPr>
      <w:r>
        <w:rPr>
          <w:rFonts w:ascii="Times New Roman" w:cs="Times New Roman" w:eastAsia="Times New Roman" w:hAnsi="Times New Roman"/>
          <w:sz w:val="22"/>
          <w:szCs w:val="22"/>
          <w:color w:val="auto"/>
        </w:rPr>
        <w:t>market value (as determined pursuant to section 423(b)(8) of the Code) for each calendar year in which such right to purchase Shares is outstanding.</w:t>
      </w:r>
    </w:p>
    <w:p>
      <w:pPr>
        <w:spacing w:after="0" w:line="158" w:lineRule="exact"/>
        <w:rPr>
          <w:sz w:val="20"/>
          <w:szCs w:val="20"/>
          <w:color w:val="auto"/>
        </w:rPr>
      </w:pPr>
    </w:p>
    <w:p>
      <w:pPr>
        <w:ind w:right="260" w:firstLine="656"/>
        <w:spacing w:after="0" w:line="251" w:lineRule="auto"/>
        <w:tabs>
          <w:tab w:leader="none" w:pos="1293" w:val="left"/>
        </w:tabs>
        <w:numPr>
          <w:ilvl w:val="1"/>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Commencement of Participation</w:t>
      </w:r>
      <w:r>
        <w:rPr>
          <w:rFonts w:ascii="Times New Roman" w:cs="Times New Roman" w:eastAsia="Times New Roman" w:hAnsi="Times New Roman"/>
          <w:sz w:val="22"/>
          <w:szCs w:val="22"/>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9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Shares Per Offering</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Plan shall be implemented by a series of Offerings that shall commence after Offerings have been authorized by the</w:t>
      </w:r>
    </w:p>
    <w:p>
      <w:pPr>
        <w:spacing w:after="0" w:line="3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1"/>
          <w:szCs w:val="21"/>
          <w:color w:val="auto"/>
        </w:rPr>
        <w:t>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74" w:lineRule="exact"/>
        <w:rPr>
          <w:sz w:val="20"/>
          <w:szCs w:val="20"/>
          <w:color w:val="auto"/>
        </w:rPr>
      </w:pPr>
    </w:p>
    <w:p>
      <w:pPr>
        <w:ind w:left="660" w:hanging="652"/>
        <w:spacing w:after="0"/>
        <w:tabs>
          <w:tab w:leader="none" w:pos="660" w:val="left"/>
        </w:tabs>
        <w:numPr>
          <w:ilvl w:val="0"/>
          <w:numId w:val="3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Payroll Deductions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firstLine="656"/>
        <w:spacing w:after="0" w:line="253" w:lineRule="auto"/>
        <w:tabs>
          <w:tab w:leader="none" w:pos="1293"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of Payroll Deductions</w:t>
      </w:r>
      <w:r>
        <w:rPr>
          <w:rFonts w:ascii="Times New Roman" w:cs="Times New Roman" w:eastAsia="Times New Roman" w:hAnsi="Times New Roman"/>
          <w:sz w:val="22"/>
          <w:szCs w:val="22"/>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$21,250. The rules established by the Committee regarding Payroll Deductions, as reflected on the Election Form, shall be consistent with section 423(b)(5) of the Code.</w:t>
      </w:r>
    </w:p>
    <w:p>
      <w:pPr>
        <w:spacing w:after="0" w:line="178" w:lineRule="exact"/>
        <w:rPr>
          <w:rFonts w:ascii="Times New Roman" w:cs="Times New Roman" w:eastAsia="Times New Roman" w:hAnsi="Times New Roman"/>
          <w:sz w:val="22"/>
          <w:szCs w:val="22"/>
          <w:color w:val="auto"/>
        </w:rPr>
      </w:pPr>
    </w:p>
    <w:p>
      <w:pPr>
        <w:ind w:right="320" w:firstLine="656"/>
        <w:spacing w:after="0" w:line="271" w:lineRule="auto"/>
        <w:tabs>
          <w:tab w:leader="none" w:pos="1291"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Accounts</w:t>
      </w:r>
      <w:r>
        <w:rPr>
          <w:rFonts w:ascii="Times New Roman" w:cs="Times New Roman" w:eastAsia="Times New Roman" w:hAnsi="Times New Roman"/>
          <w:sz w:val="22"/>
          <w:szCs w:val="22"/>
          <w:color w:val="auto"/>
        </w:rPr>
        <w:t>. All Payroll Deductions with respect to a Participant pursuant to Paragraph 5(a) shall be credited to the Participant’s Account under the Plan.</w:t>
      </w:r>
    </w:p>
    <w:p>
      <w:pPr>
        <w:spacing w:after="0" w:line="157" w:lineRule="exact"/>
        <w:rPr>
          <w:rFonts w:ascii="Times New Roman" w:cs="Times New Roman" w:eastAsia="Times New Roman" w:hAnsi="Times New Roman"/>
          <w:sz w:val="22"/>
          <w:szCs w:val="22"/>
          <w:color w:val="auto"/>
        </w:rPr>
      </w:pPr>
    </w:p>
    <w:p>
      <w:pPr>
        <w:ind w:right="20" w:firstLine="656"/>
        <w:spacing w:after="0" w:line="256" w:lineRule="auto"/>
        <w:tabs>
          <w:tab w:leader="none" w:pos="1293"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Payroll Deductions</w:t>
      </w:r>
      <w:r>
        <w:rPr>
          <w:rFonts w:ascii="Times New Roman" w:cs="Times New Roman" w:eastAsia="Times New Roman" w:hAnsi="Times New Roman"/>
          <w:sz w:val="22"/>
          <w:szCs w:val="22"/>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422" w:right="359" w:bottom="1440" w:gutter="0" w:footer="0" w:header="0"/>
        </w:sectPr>
      </w:pPr>
    </w:p>
    <w:bookmarkStart w:id="275" w:name="page276"/>
    <w:bookmarkEnd w:id="275"/>
    <w:p>
      <w:pPr>
        <w:jc w:val="both"/>
        <w:spacing w:after="0" w:line="257" w:lineRule="auto"/>
        <w:rPr>
          <w:sz w:val="20"/>
          <w:szCs w:val="20"/>
          <w:color w:val="auto"/>
        </w:rPr>
      </w:pPr>
      <w:r>
        <w:rPr>
          <w:rFonts w:ascii="Times New Roman" w:cs="Times New Roman" w:eastAsia="Times New Roman" w:hAnsi="Times New Roman"/>
          <w:sz w:val="22"/>
          <w:szCs w:val="22"/>
          <w:color w:val="auto"/>
        </w:rPr>
        <w:t>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82" w:lineRule="exact"/>
        <w:rPr>
          <w:sz w:val="20"/>
          <w:szCs w:val="20"/>
          <w:color w:val="auto"/>
        </w:rPr>
      </w:pPr>
    </w:p>
    <w:p>
      <w:pPr>
        <w:ind w:left="660" w:hanging="652"/>
        <w:spacing w:after="0"/>
        <w:tabs>
          <w:tab w:leader="none" w:pos="660" w:val="left"/>
        </w:tabs>
        <w:numPr>
          <w:ilvl w:val="0"/>
          <w:numId w:val="3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Purchase of Shares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right="20" w:firstLine="656"/>
        <w:spacing w:after="0" w:line="252" w:lineRule="auto"/>
        <w:tabs>
          <w:tab w:leader="none" w:pos="1293" w:val="left"/>
        </w:tabs>
        <w:numPr>
          <w:ilvl w:val="1"/>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On each Offering Termination Date, each Participant shall be deemed to have purchased a number of Shares equal to the quotient obtained by dividing the balance credited to the Participant’s Account as of the Offering Termination Date, by the Purchase Price. Shares deemed purchased by a Participant under the Plan shall be credited to the Participant’s Brokerage Account as soon as practicable following the Offering Termination Date.</w:t>
      </w:r>
    </w:p>
    <w:p>
      <w:pPr>
        <w:spacing w:after="0" w:line="192" w:lineRule="exact"/>
        <w:rPr>
          <w:rFonts w:ascii="Times New Roman" w:cs="Times New Roman" w:eastAsia="Times New Roman" w:hAnsi="Times New Roman"/>
          <w:sz w:val="22"/>
          <w:szCs w:val="22"/>
          <w:color w:val="auto"/>
        </w:rPr>
      </w:pPr>
    </w:p>
    <w:p>
      <w:pPr>
        <w:ind w:right="240" w:firstLine="656"/>
        <w:spacing w:after="0" w:line="252" w:lineRule="auto"/>
        <w:tabs>
          <w:tab w:leader="none" w:pos="1291" w:val="left"/>
        </w:tabs>
        <w:numPr>
          <w:ilvl w:val="1"/>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Terminating Events</w:t>
      </w:r>
      <w:r>
        <w:rPr>
          <w:rFonts w:ascii="Times New Roman" w:cs="Times New Roman" w:eastAsia="Times New Roman" w:hAnsi="Times New Roman"/>
          <w:sz w:val="22"/>
          <w:szCs w:val="22"/>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79" w:lineRule="exact"/>
        <w:rPr>
          <w:rFonts w:ascii="Times New Roman" w:cs="Times New Roman" w:eastAsia="Times New Roman" w:hAnsi="Times New Roman"/>
          <w:sz w:val="22"/>
          <w:szCs w:val="22"/>
          <w:color w:val="auto"/>
        </w:rPr>
      </w:pPr>
    </w:p>
    <w:p>
      <w:pPr>
        <w:ind w:firstLine="656"/>
        <w:spacing w:after="0" w:line="263" w:lineRule="auto"/>
        <w:tabs>
          <w:tab w:leader="none" w:pos="1293" w:val="left"/>
        </w:tabs>
        <w:numPr>
          <w:ilvl w:val="1"/>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Rights to Purchase Shares</w:t>
      </w:r>
      <w:r>
        <w:rPr>
          <w:rFonts w:ascii="Times New Roman" w:cs="Times New Roman" w:eastAsia="Times New Roman" w:hAnsi="Times New Roman"/>
          <w:sz w:val="22"/>
          <w:szCs w:val="22"/>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6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Participation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ind w:right="560" w:firstLine="656"/>
        <w:spacing w:after="0" w:line="271" w:lineRule="auto"/>
        <w:tabs>
          <w:tab w:leader="none" w:pos="1293" w:val="left"/>
        </w:tabs>
        <w:numPr>
          <w:ilvl w:val="1"/>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Except as provided in Paragraph 7(c), no amounts shall be distributed from Participants’ Accounts during an Offering Period.</w:t>
      </w:r>
    </w:p>
    <w:p>
      <w:pPr>
        <w:spacing w:after="0" w:line="157" w:lineRule="exact"/>
        <w:rPr>
          <w:rFonts w:ascii="Times New Roman" w:cs="Times New Roman" w:eastAsia="Times New Roman" w:hAnsi="Times New Roman"/>
          <w:sz w:val="22"/>
          <w:szCs w:val="22"/>
          <w:color w:val="auto"/>
        </w:rPr>
      </w:pPr>
    </w:p>
    <w:p>
      <w:pPr>
        <w:ind w:right="20" w:firstLine="656"/>
        <w:spacing w:after="0" w:line="268" w:lineRule="auto"/>
        <w:tabs>
          <w:tab w:leader="none" w:pos="1291" w:val="left"/>
        </w:tabs>
        <w:numPr>
          <w:ilvl w:val="1"/>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 of Participation</w:t>
      </w:r>
      <w:r>
        <w:rPr>
          <w:rFonts w:ascii="Times New Roman" w:cs="Times New Roman" w:eastAsia="Times New Roman" w:hAnsi="Times New Roman"/>
          <w:sz w:val="21"/>
          <w:szCs w:val="21"/>
          <w:color w:val="auto"/>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w:t>
      </w:r>
    </w:p>
    <w:p>
      <w:pPr>
        <w:spacing w:after="0" w:line="163" w:lineRule="exact"/>
        <w:rPr>
          <w:rFonts w:ascii="Times New Roman" w:cs="Times New Roman" w:eastAsia="Times New Roman" w:hAnsi="Times New Roman"/>
          <w:sz w:val="21"/>
          <w:szCs w:val="21"/>
          <w:color w:val="auto"/>
        </w:rPr>
      </w:pPr>
    </w:p>
    <w:p>
      <w:pPr>
        <w:ind w:firstLine="656"/>
        <w:spacing w:after="0" w:line="263" w:lineRule="auto"/>
        <w:tabs>
          <w:tab w:leader="none" w:pos="1293" w:val="left"/>
        </w:tabs>
        <w:numPr>
          <w:ilvl w:val="1"/>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6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Interest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No interest shall be paid or allowed with respect to Payroll Deductions paid into the Plan or credited to any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20" w:top="1422" w:right="379" w:bottom="1440" w:gutter="0" w:footer="0" w:header="0"/>
        </w:sectPr>
      </w:pPr>
    </w:p>
    <w:bookmarkStart w:id="276" w:name="page277"/>
    <w:bookmarkEnd w:id="276"/>
    <w:p>
      <w:pPr>
        <w:ind w:left="660" w:hanging="652"/>
        <w:spacing w:after="0"/>
        <w:tabs>
          <w:tab w:leader="none" w:pos="660" w:val="left"/>
        </w:tabs>
        <w:numPr>
          <w:ilvl w:val="0"/>
          <w:numId w:val="3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Shares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Maximum Number of Shares; Adjustments</w:t>
      </w:r>
      <w:r>
        <w:rPr>
          <w:rFonts w:ascii="Times New Roman" w:cs="Times New Roman" w:eastAsia="Times New Roman" w:hAnsi="Times New Roman"/>
          <w:sz w:val="21"/>
          <w:szCs w:val="21"/>
          <w:color w:val="auto"/>
        </w:rPr>
        <w:t>. Subject to adjustment as provided in this Paragraph 9, not more than</w:t>
      </w:r>
    </w:p>
    <w:p>
      <w:pPr>
        <w:spacing w:after="0" w:line="39" w:lineRule="exact"/>
        <w:rPr>
          <w:rFonts w:ascii="Times New Roman" w:cs="Times New Roman" w:eastAsia="Times New Roman" w:hAnsi="Times New Roman"/>
          <w:sz w:val="21"/>
          <w:szCs w:val="21"/>
          <w:color w:val="auto"/>
        </w:rPr>
      </w:pPr>
    </w:p>
    <w:p>
      <w:pPr>
        <w:ind w:right="20" w:firstLine="8"/>
        <w:spacing w:after="0" w:line="258" w:lineRule="auto"/>
        <w:tabs>
          <w:tab w:leader="none" w:pos="378"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million Shares in the aggregate 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95" w:lineRule="exact"/>
        <w:rPr>
          <w:rFonts w:ascii="Times New Roman" w:cs="Times New Roman" w:eastAsia="Times New Roman" w:hAnsi="Times New Roman"/>
          <w:sz w:val="21"/>
          <w:szCs w:val="21"/>
          <w:color w:val="auto"/>
        </w:rPr>
      </w:pPr>
    </w:p>
    <w:p>
      <w:pPr>
        <w:ind w:right="220" w:firstLine="656"/>
        <w:spacing w:after="0" w:line="271" w:lineRule="auto"/>
        <w:tabs>
          <w:tab w:leader="none" w:pos="1291"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Interest in Shares</w:t>
      </w:r>
      <w:r>
        <w:rPr>
          <w:rFonts w:ascii="Times New Roman" w:cs="Times New Roman" w:eastAsia="Times New Roman" w:hAnsi="Times New Roman"/>
          <w:sz w:val="22"/>
          <w:szCs w:val="22"/>
          <w:color w:val="auto"/>
        </w:rPr>
        <w:t>. A Participant shall have no interest in Shares offered under the Plan until Shares are credited to the Participant’s Brokerage Account.</w:t>
      </w:r>
    </w:p>
    <w:p>
      <w:pPr>
        <w:spacing w:after="0" w:line="157" w:lineRule="exact"/>
        <w:rPr>
          <w:rFonts w:ascii="Times New Roman" w:cs="Times New Roman" w:eastAsia="Times New Roman" w:hAnsi="Times New Roman"/>
          <w:sz w:val="22"/>
          <w:szCs w:val="22"/>
          <w:color w:val="auto"/>
        </w:rPr>
      </w:pPr>
    </w:p>
    <w:p>
      <w:pPr>
        <w:ind w:right="200" w:firstLine="656"/>
        <w:spacing w:after="0" w:line="271" w:lineRule="auto"/>
        <w:tabs>
          <w:tab w:leader="none" w:pos="1293"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Shares to Brokerage Account</w:t>
      </w:r>
      <w:r>
        <w:rPr>
          <w:rFonts w:ascii="Times New Roman" w:cs="Times New Roman" w:eastAsia="Times New Roman" w:hAnsi="Times New Roman"/>
          <w:sz w:val="22"/>
          <w:szCs w:val="22"/>
          <w:color w:val="auto"/>
        </w:rPr>
        <w:t>. Shares purchased under the Plan shall be credited to the Participant’s Brokerage Account as soon as practicable following the Offering Termination Date.</w:t>
      </w:r>
    </w:p>
    <w:p>
      <w:pPr>
        <w:spacing w:after="0" w:line="157" w:lineRule="exact"/>
        <w:rPr>
          <w:rFonts w:ascii="Times New Roman" w:cs="Times New Roman" w:eastAsia="Times New Roman" w:hAnsi="Times New Roman"/>
          <w:sz w:val="22"/>
          <w:szCs w:val="22"/>
          <w:color w:val="auto"/>
        </w:rPr>
      </w:pPr>
    </w:p>
    <w:p>
      <w:pPr>
        <w:ind w:right="60" w:firstLine="656"/>
        <w:spacing w:after="0" w:line="263" w:lineRule="auto"/>
        <w:tabs>
          <w:tab w:leader="none" w:pos="1291"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Purchase</w:t>
      </w:r>
      <w:r>
        <w:rPr>
          <w:rFonts w:ascii="Times New Roman" w:cs="Times New Roman" w:eastAsia="Times New Roman" w:hAnsi="Times New Roman"/>
          <w:sz w:val="22"/>
          <w:szCs w:val="22"/>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167" w:lineRule="exact"/>
        <w:rPr>
          <w:rFonts w:ascii="Times New Roman" w:cs="Times New Roman" w:eastAsia="Times New Roman" w:hAnsi="Times New Roman"/>
          <w:sz w:val="22"/>
          <w:szCs w:val="22"/>
          <w:color w:val="auto"/>
        </w:rPr>
      </w:pPr>
    </w:p>
    <w:p>
      <w:pPr>
        <w:ind w:firstLine="656"/>
        <w:spacing w:after="0" w:line="251" w:lineRule="auto"/>
        <w:tabs>
          <w:tab w:leader="none" w:pos="1293"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Sale of Shares</w:t>
      </w:r>
      <w:r>
        <w:rPr>
          <w:rFonts w:ascii="Times New Roman" w:cs="Times New Roman" w:eastAsia="Times New Roman" w:hAnsi="Times New Roman"/>
          <w:sz w:val="22"/>
          <w:szCs w:val="22"/>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credited to the Brokerage Account of a Participant who has terminated employment on account of death or disability.</w:t>
      </w:r>
    </w:p>
    <w:p>
      <w:pPr>
        <w:spacing w:after="0" w:line="17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The Participating Companies shall pay all fees and expenses incurred (excluding individual Federal, state, local or other taxes) in connection with the Plan. No charge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00"/>
          </w:cols>
          <w:pgMar w:left="320" w:top="1418" w:right="379" w:bottom="1440" w:gutter="0" w:footer="0" w:header="0"/>
        </w:sectPr>
      </w:pPr>
    </w:p>
    <w:bookmarkStart w:id="277" w:name="page278"/>
    <w:bookmarkEnd w:id="277"/>
    <w:p>
      <w:pPr>
        <w:ind w:right="240"/>
        <w:spacing w:after="0" w:line="271" w:lineRule="auto"/>
        <w:rPr>
          <w:sz w:val="20"/>
          <w:szCs w:val="20"/>
          <w:color w:val="auto"/>
        </w:rPr>
      </w:pPr>
      <w:r>
        <w:rPr>
          <w:rFonts w:ascii="Times New Roman" w:cs="Times New Roman" w:eastAsia="Times New Roman" w:hAnsi="Times New Roman"/>
          <w:sz w:val="22"/>
          <w:szCs w:val="22"/>
          <w:color w:val="auto"/>
        </w:rPr>
        <w:t>deduction for any such expenses will be made to a Participant upon the termination of his or her participation under the Plan or upon the distribution of certificates representing Shares purchased with his or her Payroll Deductions.</w:t>
      </w:r>
    </w:p>
    <w:p>
      <w:pPr>
        <w:spacing w:after="0" w:line="154" w:lineRule="exact"/>
        <w:rPr>
          <w:sz w:val="20"/>
          <w:szCs w:val="20"/>
          <w:color w:val="auto"/>
        </w:rPr>
      </w:pPr>
    </w:p>
    <w:p>
      <w:pPr>
        <w:ind w:left="640" w:hanging="632"/>
        <w:spacing w:after="0"/>
        <w:tabs>
          <w:tab w:leader="none" w:pos="640" w:val="left"/>
        </w:tabs>
        <w:numPr>
          <w:ilvl w:val="0"/>
          <w:numId w:val="3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190" w:lineRule="exact"/>
        <w:rPr>
          <w:sz w:val="20"/>
          <w:szCs w:val="20"/>
          <w:color w:val="auto"/>
        </w:rPr>
      </w:pPr>
    </w:p>
    <w:p>
      <w:pPr>
        <w:ind w:left="660" w:hanging="652"/>
        <w:spacing w:after="0"/>
        <w:tabs>
          <w:tab w:leader="none" w:pos="660" w:val="left"/>
        </w:tabs>
        <w:numPr>
          <w:ilvl w:val="0"/>
          <w:numId w:val="3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Plan and Contributions Not to Affect Employment</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Plan shall not confer upon any Eligible Employee any right to continue in the employ of the Participating Companies.</w:t>
      </w:r>
    </w:p>
    <w:p>
      <w:pPr>
        <w:spacing w:after="0" w:line="227"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3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75" w:lineRule="exact"/>
        <w:rPr>
          <w:sz w:val="20"/>
          <w:szCs w:val="20"/>
          <w:color w:val="auto"/>
        </w:rPr>
      </w:pPr>
    </w:p>
    <w:p>
      <w:pPr>
        <w:ind w:left="660" w:hanging="652"/>
        <w:spacing w:after="0"/>
        <w:tabs>
          <w:tab w:leader="none" w:pos="660" w:val="left"/>
        </w:tabs>
        <w:numPr>
          <w:ilvl w:val="0"/>
          <w:numId w:val="3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183" w:lineRule="exact"/>
        <w:rPr>
          <w:sz w:val="20"/>
          <w:szCs w:val="20"/>
          <w:color w:val="auto"/>
        </w:rPr>
      </w:pPr>
    </w:p>
    <w:p>
      <w:pPr>
        <w:ind w:left="660" w:hanging="652"/>
        <w:spacing w:after="0"/>
        <w:tabs>
          <w:tab w:leader="none" w:pos="660" w:val="left"/>
        </w:tabs>
        <w:numPr>
          <w:ilvl w:val="0"/>
          <w:numId w:val="3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The original effective date of the Plan was December 20, 2000. The effective date of this amendment and restatement of the Plan is May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20" w:top="1422" w:right="359" w:bottom="1440" w:gutter="0" w:footer="0" w:header="0"/>
        </w:sectPr>
      </w:pPr>
    </w:p>
    <w:bookmarkStart w:id="278" w:name="page279"/>
    <w:bookmarkEnd w:id="278"/>
    <w:p>
      <w:pPr>
        <w:ind w:left="660" w:hanging="652"/>
        <w:spacing w:after="0"/>
        <w:tabs>
          <w:tab w:leader="none" w:pos="660" w:val="left"/>
        </w:tabs>
        <w:numPr>
          <w:ilvl w:val="0"/>
          <w:numId w:val="3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Government and Other Regulations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right="200" w:firstLine="656"/>
        <w:spacing w:after="0" w:line="271" w:lineRule="auto"/>
        <w:tabs>
          <w:tab w:leader="none" w:pos="1293"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purchase of Shares under the Plan shall be subject to all applicable laws, rules and regulations, and to such approvals by any governmental agencies as may be required.</w:t>
      </w:r>
    </w:p>
    <w:p>
      <w:pPr>
        <w:spacing w:after="0" w:line="171" w:lineRule="exact"/>
        <w:rPr>
          <w:rFonts w:ascii="Times New Roman" w:cs="Times New Roman" w:eastAsia="Times New Roman" w:hAnsi="Times New Roman"/>
          <w:sz w:val="22"/>
          <w:szCs w:val="22"/>
          <w:color w:val="auto"/>
        </w:rPr>
      </w:pPr>
    </w:p>
    <w:p>
      <w:pPr>
        <w:ind w:right="60" w:firstLine="656"/>
        <w:spacing w:after="0" w:line="252" w:lineRule="auto"/>
        <w:tabs>
          <w:tab w:leader="none" w:pos="1291"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w:t>
      </w:r>
      <w:r>
        <w:rPr>
          <w:rFonts w:ascii="Times New Roman" w:cs="Times New Roman" w:eastAsia="Times New Roman" w:hAnsi="Times New Roman"/>
          <w:sz w:val="22"/>
          <w:szCs w:val="22"/>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7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Non-Alienation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69" w:lineRule="exact"/>
        <w:rPr>
          <w:sz w:val="20"/>
          <w:szCs w:val="20"/>
          <w:color w:val="auto"/>
        </w:rPr>
      </w:pPr>
    </w:p>
    <w:p>
      <w:pPr>
        <w:ind w:left="660" w:hanging="652"/>
        <w:spacing w:after="0"/>
        <w:tabs>
          <w:tab w:leader="none" w:pos="660" w:val="left"/>
        </w:tabs>
        <w:numPr>
          <w:ilvl w:val="0"/>
          <w:numId w:val="3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Any notice required or permitted hereunder shall be sufficiently given only if delivered personally, telecopied, or sent by first class mail, postage prepaid, and addressed:</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If to the Company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1701 JFK Boulevard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Fax: 215-286-7794</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Or any other address provided pursuant to notice provided by the Committee.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If to the Participant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right="1160"/>
        <w:spacing w:after="0" w:line="263" w:lineRule="auto"/>
        <w:rPr>
          <w:sz w:val="20"/>
          <w:szCs w:val="20"/>
          <w:color w:val="auto"/>
        </w:rPr>
      </w:pPr>
      <w:r>
        <w:rPr>
          <w:rFonts w:ascii="Times New Roman" w:cs="Times New Roman" w:eastAsia="Times New Roman" w:hAnsi="Times New Roman"/>
          <w:sz w:val="22"/>
          <w:szCs w:val="22"/>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63" w:lineRule="exact"/>
        <w:rPr>
          <w:sz w:val="20"/>
          <w:szCs w:val="20"/>
          <w:color w:val="auto"/>
        </w:rPr>
      </w:pPr>
    </w:p>
    <w:p>
      <w:pPr>
        <w:ind w:left="660" w:hanging="652"/>
        <w:spacing w:after="0"/>
        <w:tabs>
          <w:tab w:leader="none" w:pos="660" w:val="left"/>
        </w:tabs>
        <w:numPr>
          <w:ilvl w:val="0"/>
          <w:numId w:val="3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80"/>
          </w:cols>
          <w:pgMar w:left="320" w:top="1418" w:right="499" w:bottom="1440" w:gutter="0" w:footer="0" w:header="0"/>
        </w:sectPr>
      </w:pPr>
    </w:p>
    <w:bookmarkStart w:id="279" w:name="page280"/>
    <w:bookmarkEnd w:id="279"/>
    <w:p>
      <w:pPr>
        <w:ind w:left="660"/>
        <w:spacing w:after="0"/>
        <w:rPr>
          <w:sz w:val="20"/>
          <w:szCs w:val="20"/>
          <w:color w:val="auto"/>
        </w:rPr>
      </w:pPr>
      <w:r>
        <w:rPr>
          <w:rFonts w:ascii="Times New Roman" w:cs="Times New Roman" w:eastAsia="Times New Roman" w:hAnsi="Times New Roman"/>
          <w:sz w:val="22"/>
          <w:szCs w:val="22"/>
          <w:color w:val="auto"/>
        </w:rPr>
        <w:t>The Plan shall be binding upon and inure to the benefit of any successors or assigns of the Company.</w:t>
      </w:r>
    </w:p>
    <w:p>
      <w:pPr>
        <w:spacing w:after="0" w:line="216" w:lineRule="exact"/>
        <w:rPr>
          <w:sz w:val="20"/>
          <w:szCs w:val="20"/>
          <w:color w:val="auto"/>
        </w:rPr>
      </w:pPr>
    </w:p>
    <w:p>
      <w:pPr>
        <w:ind w:left="660" w:hanging="652"/>
        <w:spacing w:after="0"/>
        <w:tabs>
          <w:tab w:leader="none" w:pos="660" w:val="left"/>
        </w:tabs>
        <w:numPr>
          <w:ilvl w:val="0"/>
          <w:numId w:val="3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40" w:lineRule="exact"/>
        <w:rPr>
          <w:sz w:val="20"/>
          <w:szCs w:val="20"/>
          <w:color w:val="auto"/>
        </w:rPr>
      </w:pPr>
    </w:p>
    <w:p>
      <w:pPr>
        <w:ind w:left="660" w:hanging="652"/>
        <w:spacing w:after="0"/>
        <w:tabs>
          <w:tab w:leader="none" w:pos="660" w:val="left"/>
        </w:tabs>
        <w:numPr>
          <w:ilvl w:val="0"/>
          <w:numId w:val="3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election by any Eligible Employee to participate in this Plan constitutes his or her acceptance of the terms of the Plan and his or her agreement to be bound hereby.</w:t>
      </w:r>
    </w:p>
    <w:p>
      <w:pPr>
        <w:spacing w:after="0" w:line="154" w:lineRule="exact"/>
        <w:rPr>
          <w:sz w:val="20"/>
          <w:szCs w:val="20"/>
          <w:color w:val="auto"/>
        </w:rPr>
      </w:pPr>
    </w:p>
    <w:p>
      <w:pPr>
        <w:ind w:left="660" w:hanging="652"/>
        <w:spacing w:after="0"/>
        <w:tabs>
          <w:tab w:leader="none" w:pos="660" w:val="left"/>
        </w:tabs>
        <w:numPr>
          <w:ilvl w:val="0"/>
          <w:numId w:val="3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720" w:firstLine="648"/>
        <w:spacing w:after="0" w:line="271" w:lineRule="auto"/>
        <w:rPr>
          <w:sz w:val="20"/>
          <w:szCs w:val="20"/>
          <w:color w:val="auto"/>
        </w:rPr>
      </w:pPr>
      <w:r>
        <w:rPr>
          <w:rFonts w:ascii="Times New Roman" w:cs="Times New Roman" w:eastAsia="Times New Roman" w:hAnsi="Times New Roman"/>
          <w:sz w:val="22"/>
          <w:szCs w:val="22"/>
          <w:color w:val="auto"/>
        </w:rPr>
        <w:t>This Plan shall be construed in accordance with the laws of the Commonwealth of Pennsylvania, to the extent not preempted by applicable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00"/>
          </w:cols>
          <w:pgMar w:left="320" w:top="1422" w:right="37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COMCAST-NBCUNIVERSAL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2011 EMPLOYEE STOCK PURCHASE PLAN</w:t>
      </w:r>
    </w:p>
    <w:p>
      <w:pPr>
        <w:spacing w:after="0" w:line="233" w:lineRule="exact"/>
        <w:rPr>
          <w:sz w:val="20"/>
          <w:szCs w:val="20"/>
          <w:color w:val="auto"/>
        </w:rPr>
      </w:pPr>
    </w:p>
    <w:p>
      <w:pPr>
        <w:ind w:left="660" w:hanging="652"/>
        <w:spacing w:after="0"/>
        <w:tabs>
          <w:tab w:leader="none" w:pos="660" w:val="left"/>
        </w:tabs>
        <w:numPr>
          <w:ilvl w:val="0"/>
          <w:numId w:val="3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COMCAST CORPORATION, a Pennsylvania corporation, hereby amends and restates the Comcast-NBCUniversal 2011 Employee Stock Purchase Plan (the “Plan”), effective as of May 14, 2024. The Plan is intended to encourage and facilitate the purchase of shares of common stock of Comcast Corporation by Eligible Employees of NBCUniversal and any Participating Companies, thereby providing such Eligible Employees with a personal stake in the Company and a long-range inducement to remain in the employ of NBCUniversal and Participating Companies. It is the intention of the Company that the Plan not qualify as an “employee stock purchase plan” within the meaning of section 423 of the Code.</w:t>
      </w:r>
    </w:p>
    <w:p>
      <w:pPr>
        <w:spacing w:after="0" w:line="177" w:lineRule="exact"/>
        <w:rPr>
          <w:sz w:val="20"/>
          <w:szCs w:val="20"/>
          <w:color w:val="auto"/>
        </w:rPr>
      </w:pPr>
    </w:p>
    <w:p>
      <w:pPr>
        <w:ind w:left="660" w:hanging="652"/>
        <w:spacing w:after="0"/>
        <w:tabs>
          <w:tab w:leader="none" w:pos="660" w:val="left"/>
        </w:tabs>
        <w:numPr>
          <w:ilvl w:val="0"/>
          <w:numId w:val="3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means a bookkeeping account established by the Committee on behalf of a Participant to hold Payroll</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Deductions.</w:t>
      </w:r>
    </w:p>
    <w:p>
      <w:pPr>
        <w:spacing w:after="0" w:line="195" w:lineRule="exact"/>
        <w:rPr>
          <w:rFonts w:ascii="Times New Roman" w:cs="Times New Roman" w:eastAsia="Times New Roman" w:hAnsi="Times New Roman"/>
          <w:sz w:val="21"/>
          <w:szCs w:val="21"/>
          <w:color w:val="auto"/>
        </w:rPr>
      </w:pPr>
    </w:p>
    <w:p>
      <w:pPr>
        <w:ind w:right="40" w:firstLine="656"/>
        <w:spacing w:after="0" w:line="253" w:lineRule="auto"/>
        <w:tabs>
          <w:tab w:leader="none" w:pos="1291"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33" w:lineRule="exact"/>
        <w:rPr>
          <w:rFonts w:ascii="Times New Roman" w:cs="Times New Roman" w:eastAsia="Times New Roman" w:hAnsi="Times New Roman"/>
          <w:sz w:val="22"/>
          <w:szCs w:val="22"/>
          <w:color w:val="auto"/>
        </w:rPr>
      </w:pPr>
    </w:p>
    <w:p>
      <w:pPr>
        <w:ind w:right="940" w:firstLine="656"/>
        <w:spacing w:after="0" w:line="271" w:lineRule="auto"/>
        <w:tabs>
          <w:tab w:leader="none" w:pos="1291"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Brokerage Account</w:t>
      </w:r>
      <w:r>
        <w:rPr>
          <w:rFonts w:ascii="Times New Roman" w:cs="Times New Roman" w:eastAsia="Times New Roman" w:hAnsi="Times New Roman"/>
          <w:sz w:val="22"/>
          <w:szCs w:val="22"/>
          <w:color w:val="auto"/>
        </w:rPr>
        <w:t>” means the brokerage account established under the Plan by the Company for each Participant, to which Shares purchased under the Plan shall be credited.</w:t>
      </w:r>
    </w:p>
    <w:p>
      <w:pPr>
        <w:spacing w:after="0" w:line="157" w:lineRule="exact"/>
        <w:rPr>
          <w:rFonts w:ascii="Times New Roman" w:cs="Times New Roman" w:eastAsia="Times New Roman" w:hAnsi="Times New Roman"/>
          <w:sz w:val="22"/>
          <w:szCs w:val="22"/>
          <w:color w:val="auto"/>
        </w:rPr>
      </w:pPr>
    </w:p>
    <w:p>
      <w:pPr>
        <w:ind w:right="160" w:firstLine="656"/>
        <w:spacing w:after="0" w:line="253" w:lineRule="auto"/>
        <w:tabs>
          <w:tab w:leader="none" w:pos="1293"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Comcast Group</w:t>
      </w:r>
      <w:r>
        <w:rPr>
          <w:rFonts w:ascii="Times New Roman" w:cs="Times New Roman" w:eastAsia="Times New Roman" w:hAnsi="Times New Roman"/>
          <w:sz w:val="22"/>
          <w:szCs w:val="22"/>
          <w:color w:val="auto"/>
        </w:rPr>
        <w:t>” means the Company and any Affiliate of the Company.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its delegate.</w:t>
      </w:r>
    </w:p>
    <w:p>
      <w:pPr>
        <w:sectPr>
          <w:pgSz w:w="11900" w:h="16838" w:orient="portrait"/>
          <w:cols w:equalWidth="0" w:num="1">
            <w:col w:w="11240"/>
          </w:cols>
          <w:pgMar w:left="320" w:top="1418" w:right="339" w:bottom="1440" w:gutter="0" w:footer="0" w:header="0"/>
        </w:sectPr>
      </w:pPr>
    </w:p>
    <w:bookmarkStart w:id="281" w:name="page282"/>
    <w:bookmarkEnd w:id="281"/>
    <w:p>
      <w:pPr>
        <w:ind w:left="-100" w:right="60" w:firstLine="656"/>
        <w:spacing w:after="0" w:line="271" w:lineRule="auto"/>
        <w:tabs>
          <w:tab w:leader="none" w:pos="1184"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Comcast Corporation, a Pennsylvania corporation, including any successor thereto by merger, consolidation, acquisition of all or substantially all the assets thereof, or otherwise.</w:t>
      </w:r>
    </w:p>
    <w:p>
      <w:pPr>
        <w:spacing w:after="0" w:line="157" w:lineRule="exact"/>
        <w:rPr>
          <w:rFonts w:ascii="Times New Roman" w:cs="Times New Roman" w:eastAsia="Times New Roman" w:hAnsi="Times New Roman"/>
          <w:sz w:val="22"/>
          <w:szCs w:val="22"/>
          <w:color w:val="auto"/>
        </w:rPr>
      </w:pPr>
    </w:p>
    <w:p>
      <w:pPr>
        <w:ind w:left="-100" w:right="40" w:firstLine="656"/>
        <w:spacing w:after="0" w:line="251" w:lineRule="auto"/>
        <w:tabs>
          <w:tab w:leader="none" w:pos="1184"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means an Eligible Employee’s wages as reported on Form W-2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94" w:lineRule="exact"/>
        <w:rPr>
          <w:rFonts w:ascii="Times New Roman" w:cs="Times New Roman" w:eastAsia="Times New Roman" w:hAnsi="Times New Roman"/>
          <w:sz w:val="22"/>
          <w:szCs w:val="22"/>
          <w:color w:val="auto"/>
        </w:rPr>
      </w:pPr>
    </w:p>
    <w:p>
      <w:pPr>
        <w:ind w:left="1200" w:hanging="644"/>
        <w:spacing w:after="0"/>
        <w:tabs>
          <w:tab w:leader="none" w:pos="120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effective date referenced in Paragraph 15.</w:t>
      </w:r>
    </w:p>
    <w:p>
      <w:pPr>
        <w:spacing w:after="0" w:line="219" w:lineRule="exact"/>
        <w:rPr>
          <w:rFonts w:ascii="Times New Roman" w:cs="Times New Roman" w:eastAsia="Times New Roman" w:hAnsi="Times New Roman"/>
          <w:sz w:val="22"/>
          <w:szCs w:val="22"/>
          <w:color w:val="auto"/>
        </w:rPr>
      </w:pPr>
    </w:p>
    <w:p>
      <w:pPr>
        <w:ind w:left="-100" w:right="200" w:firstLine="656"/>
        <w:spacing w:after="0" w:line="271" w:lineRule="auto"/>
        <w:tabs>
          <w:tab w:leader="none" w:pos="1184"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 Form</w:t>
      </w:r>
      <w:r>
        <w:rPr>
          <w:rFonts w:ascii="Times New Roman" w:cs="Times New Roman" w:eastAsia="Times New Roman" w:hAnsi="Times New Roman"/>
          <w:sz w:val="22"/>
          <w:szCs w:val="22"/>
          <w:color w:val="auto"/>
        </w:rPr>
        <w:t>” means the written or electronic form acceptable to the Committee which an Eligible Employee shall use to make an election to purchase Shares through Payroll Deductions pursuant to the Plan.</w:t>
      </w:r>
    </w:p>
    <w:p>
      <w:pPr>
        <w:spacing w:after="0" w:line="157" w:lineRule="exact"/>
        <w:rPr>
          <w:rFonts w:ascii="Times New Roman" w:cs="Times New Roman" w:eastAsia="Times New Roman" w:hAnsi="Times New Roman"/>
          <w:sz w:val="22"/>
          <w:szCs w:val="22"/>
          <w:color w:val="auto"/>
        </w:rPr>
      </w:pPr>
    </w:p>
    <w:p>
      <w:pPr>
        <w:ind w:left="1200" w:hanging="644"/>
        <w:spacing w:after="0"/>
        <w:tabs>
          <w:tab w:leader="none" w:pos="120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an Employee who is not an Ineligible Employee.</w:t>
      </w:r>
    </w:p>
    <w:p>
      <w:pPr>
        <w:spacing w:after="0" w:line="219" w:lineRule="exact"/>
        <w:rPr>
          <w:rFonts w:ascii="Times New Roman" w:cs="Times New Roman" w:eastAsia="Times New Roman" w:hAnsi="Times New Roman"/>
          <w:sz w:val="22"/>
          <w:szCs w:val="22"/>
          <w:color w:val="auto"/>
        </w:rPr>
      </w:pPr>
    </w:p>
    <w:p>
      <w:pPr>
        <w:ind w:left="1200" w:hanging="644"/>
        <w:spacing w:after="0"/>
        <w:tabs>
          <w:tab w:leader="none" w:pos="120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Employer</w:t>
      </w:r>
      <w:r>
        <w:rPr>
          <w:rFonts w:ascii="Times New Roman" w:cs="Times New Roman" w:eastAsia="Times New Roman" w:hAnsi="Times New Roman"/>
          <w:sz w:val="22"/>
          <w:szCs w:val="22"/>
          <w:color w:val="auto"/>
        </w:rPr>
        <w:t>” means NBCUniversal and any Subsidiary of NBCUniversal other than:</w:t>
      </w:r>
    </w:p>
    <w:p>
      <w:pPr>
        <w:spacing w:after="0" w:line="219" w:lineRule="exact"/>
        <w:rPr>
          <w:rFonts w:ascii="Times New Roman" w:cs="Times New Roman" w:eastAsia="Times New Roman" w:hAnsi="Times New Roman"/>
          <w:sz w:val="22"/>
          <w:szCs w:val="22"/>
          <w:color w:val="auto"/>
        </w:rPr>
      </w:pPr>
    </w:p>
    <w:p>
      <w:pPr>
        <w:ind w:left="-100" w:right="400" w:firstLine="1304"/>
        <w:spacing w:after="0" w:line="284" w:lineRule="auto"/>
        <w:tabs>
          <w:tab w:leader="none" w:pos="1839"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Subsidiary that is organized under the laws of a jurisdiction outside of the United States of America, other than a Subsidiary referenced pursuant to Section 2(r)(1)(iv); or</w:t>
      </w:r>
    </w:p>
    <w:p>
      <w:pPr>
        <w:spacing w:after="0" w:line="143" w:lineRule="exact"/>
        <w:rPr>
          <w:rFonts w:ascii="Times New Roman" w:cs="Times New Roman" w:eastAsia="Times New Roman" w:hAnsi="Times New Roman"/>
          <w:sz w:val="22"/>
          <w:szCs w:val="22"/>
          <w:color w:val="auto"/>
        </w:rPr>
      </w:pPr>
    </w:p>
    <w:p>
      <w:pPr>
        <w:ind w:left="-100" w:firstLine="1304"/>
        <w:spacing w:after="0" w:line="271" w:lineRule="auto"/>
        <w:tabs>
          <w:tab w:leader="none" w:pos="1839"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the Committee, a Subsidiary that is a “Participating Company” as defined in the Comcast Corporation 2002 Employee Stock Purchase Plan.</w:t>
      </w:r>
    </w:p>
    <w:p>
      <w:pPr>
        <w:spacing w:after="0" w:line="157" w:lineRule="exact"/>
        <w:rPr>
          <w:rFonts w:ascii="Times New Roman" w:cs="Times New Roman" w:eastAsia="Times New Roman" w:hAnsi="Times New Roman"/>
          <w:sz w:val="22"/>
          <w:szCs w:val="22"/>
          <w:color w:val="auto"/>
        </w:rPr>
      </w:pPr>
    </w:p>
    <w:p>
      <w:pPr>
        <w:ind w:left="-100" w:right="60" w:firstLine="656"/>
        <w:spacing w:after="0" w:line="271" w:lineRule="auto"/>
        <w:tabs>
          <w:tab w:leader="none" w:pos="1191"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employee who is employed by a Participating Company and designated on the books and records of such Participating Company as an employee, provided that the term “Employee” shall not include:</w:t>
      </w:r>
    </w:p>
    <w:p>
      <w:pPr>
        <w:spacing w:after="0" w:line="171" w:lineRule="exact"/>
        <w:rPr>
          <w:rFonts w:ascii="Times New Roman" w:cs="Times New Roman" w:eastAsia="Times New Roman" w:hAnsi="Times New Roman"/>
          <w:sz w:val="22"/>
          <w:szCs w:val="22"/>
          <w:color w:val="auto"/>
        </w:rPr>
      </w:pPr>
    </w:p>
    <w:p>
      <w:pPr>
        <w:ind w:left="-100" w:right="200" w:firstLine="1304"/>
        <w:spacing w:after="0" w:line="271" w:lineRule="auto"/>
        <w:tabs>
          <w:tab w:leader="none" w:pos="1839"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covered by a collective bargaining agreement, unless such agreement specifically provides for participation hereunder;</w:t>
      </w:r>
    </w:p>
    <w:p>
      <w:pPr>
        <w:spacing w:after="0" w:line="157" w:lineRule="exact"/>
        <w:rPr>
          <w:rFonts w:ascii="Times New Roman" w:cs="Times New Roman" w:eastAsia="Times New Roman" w:hAnsi="Times New Roman"/>
          <w:sz w:val="22"/>
          <w:szCs w:val="22"/>
          <w:color w:val="auto"/>
        </w:rPr>
      </w:pPr>
    </w:p>
    <w:p>
      <w:pPr>
        <w:ind w:left="-100" w:right="140" w:firstLine="1304"/>
        <w:spacing w:after="0" w:line="257" w:lineRule="auto"/>
        <w:tabs>
          <w:tab w:leader="none" w:pos="1839"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Paragraph 2(q)(1)(iii), an individual who is not on a United States employee payroll of a Participating Company or an individual with respect to whom the Participating Company does not report such individual’s compensation as wages on Form W-2;</w:t>
      </w:r>
    </w:p>
    <w:p>
      <w:pPr>
        <w:spacing w:after="0" w:line="186" w:lineRule="exact"/>
        <w:rPr>
          <w:rFonts w:ascii="Times New Roman" w:cs="Times New Roman" w:eastAsia="Times New Roman" w:hAnsi="Times New Roman"/>
          <w:sz w:val="22"/>
          <w:szCs w:val="22"/>
          <w:color w:val="auto"/>
        </w:rPr>
      </w:pPr>
    </w:p>
    <w:p>
      <w:pPr>
        <w:ind w:left="-100" w:right="540" w:firstLine="1304"/>
        <w:spacing w:after="0" w:line="271" w:lineRule="auto"/>
        <w:tabs>
          <w:tab w:leader="none" w:pos="1839"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who has entered into an agreement with a Participating Company which excludes such individual from participation in employee benefit plans of 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60"/>
          </w:cols>
          <w:pgMar w:left="420" w:top="1422" w:right="419" w:bottom="1440" w:gutter="0" w:footer="0" w:header="0"/>
        </w:sectPr>
      </w:pPr>
    </w:p>
    <w:bookmarkStart w:id="282" w:name="page283"/>
    <w:bookmarkEnd w:id="282"/>
    <w:p>
      <w:pPr>
        <w:ind w:right="140"/>
        <w:spacing w:after="0" w:line="271" w:lineRule="auto"/>
        <w:rPr>
          <w:sz w:val="20"/>
          <w:szCs w:val="20"/>
          <w:color w:val="auto"/>
        </w:rPr>
      </w:pPr>
      <w:r>
        <w:rPr>
          <w:rFonts w:ascii="Times New Roman" w:cs="Times New Roman" w:eastAsia="Times New Roman" w:hAnsi="Times New Roman"/>
          <w:sz w:val="22"/>
          <w:szCs w:val="22"/>
          <w:color w:val="auto"/>
        </w:rPr>
        <w:t>Participating Company (whether or not such individual is treated or classified as an employee for certain specified purposes that do not include eligibility to participate in the Plan); and</w:t>
      </w:r>
    </w:p>
    <w:p>
      <w:pPr>
        <w:spacing w:after="0" w:line="158" w:lineRule="exact"/>
        <w:rPr>
          <w:sz w:val="20"/>
          <w:szCs w:val="20"/>
          <w:color w:val="auto"/>
        </w:rPr>
      </w:pPr>
    </w:p>
    <w:p>
      <w:pPr>
        <w:ind w:firstLine="1304"/>
        <w:spacing w:after="0" w:line="284" w:lineRule="auto"/>
        <w:tabs>
          <w:tab w:leader="none" w:pos="1939"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who is not classified by the Participating Company as an employee, even if such individual is retroactively re-characterized as an employee by a third party or a Participating Company.</w:t>
      </w:r>
    </w:p>
    <w:p>
      <w:pPr>
        <w:spacing w:after="0" w:line="143" w:lineRule="exact"/>
        <w:rPr>
          <w:rFonts w:ascii="Times New Roman" w:cs="Times New Roman" w:eastAsia="Times New Roman" w:hAnsi="Times New Roman"/>
          <w:sz w:val="22"/>
          <w:szCs w:val="22"/>
          <w:color w:val="auto"/>
        </w:rPr>
      </w:pPr>
    </w:p>
    <w:p>
      <w:pPr>
        <w:ind w:right="20" w:firstLine="656"/>
        <w:spacing w:after="0" w:line="253" w:lineRule="auto"/>
        <w:tabs>
          <w:tab w:leader="none" w:pos="1291"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78" w:lineRule="exact"/>
        <w:rPr>
          <w:rFonts w:ascii="Times New Roman" w:cs="Times New Roman" w:eastAsia="Times New Roman" w:hAnsi="Times New Roman"/>
          <w:sz w:val="22"/>
          <w:szCs w:val="22"/>
          <w:color w:val="auto"/>
        </w:rPr>
      </w:pPr>
    </w:p>
    <w:p>
      <w:pPr>
        <w:ind w:right="200" w:firstLine="656"/>
        <w:spacing w:after="0" w:line="271" w:lineRule="auto"/>
        <w:tabs>
          <w:tab w:leader="none" w:pos="1291"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Five Percent Owner</w:t>
      </w:r>
      <w:r>
        <w:rPr>
          <w:rFonts w:ascii="Times New Roman" w:cs="Times New Roman" w:eastAsia="Times New Roman" w:hAnsi="Times New Roman"/>
          <w:sz w:val="22"/>
          <w:szCs w:val="22"/>
          <w:color w:val="auto"/>
        </w:rPr>
        <w:t>” means an Employee who, with respect to a Participating Company, is described in section 423(b)(3) of the Code.</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Employee</w:t>
      </w:r>
      <w:r>
        <w:rPr>
          <w:rFonts w:ascii="Times New Roman" w:cs="Times New Roman" w:eastAsia="Times New Roman" w:hAnsi="Times New Roman"/>
          <w:sz w:val="22"/>
          <w:szCs w:val="22"/>
          <w:color w:val="auto"/>
        </w:rPr>
        <w:t>” means:</w:t>
      </w:r>
    </w:p>
    <w:p>
      <w:pPr>
        <w:spacing w:after="0" w:line="219" w:lineRule="exact"/>
        <w:rPr>
          <w:rFonts w:ascii="Times New Roman" w:cs="Times New Roman" w:eastAsia="Times New Roman" w:hAnsi="Times New Roman"/>
          <w:sz w:val="22"/>
          <w:szCs w:val="22"/>
          <w:color w:val="auto"/>
        </w:rPr>
      </w:pPr>
    </w:p>
    <w:p>
      <w:pPr>
        <w:ind w:right="140" w:firstLine="1304"/>
        <w:spacing w:after="0" w:line="271" w:lineRule="auto"/>
        <w:tabs>
          <w:tab w:leader="none" w:pos="1939"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employee of any Participating Employer other than Universal Orlando, an Employee who, as of an Offering Commencement Date:</w:t>
      </w:r>
    </w:p>
    <w:p>
      <w:pPr>
        <w:spacing w:after="0" w:line="17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Five Percent Owner;</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continuously employed by the Comcast Group on a full-time basis for less than 90 days;</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continuously employed by the Comcast Group on a part-time basis for less than one year;</w:t>
      </w:r>
    </w:p>
    <w:p>
      <w:pPr>
        <w:spacing w:after="0" w:line="231" w:lineRule="exact"/>
        <w:rPr>
          <w:rFonts w:ascii="Times New Roman" w:cs="Times New Roman" w:eastAsia="Times New Roman" w:hAnsi="Times New Roman"/>
          <w:sz w:val="21"/>
          <w:szCs w:val="21"/>
          <w:color w:val="auto"/>
        </w:rPr>
      </w:pPr>
    </w:p>
    <w:p>
      <w:pPr>
        <w:jc w:val="both"/>
        <w:ind w:right="140" w:firstLine="1952"/>
        <w:spacing w:after="0" w:line="263" w:lineRule="auto"/>
        <w:tabs>
          <w:tab w:leader="none" w:pos="2570" w:val="left"/>
        </w:tabs>
        <w:numPr>
          <w:ilvl w:val="2"/>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67" w:lineRule="exact"/>
        <w:rPr>
          <w:rFonts w:ascii="Times New Roman" w:cs="Times New Roman" w:eastAsia="Times New Roman" w:hAnsi="Times New Roman"/>
          <w:sz w:val="22"/>
          <w:szCs w:val="22"/>
          <w:color w:val="auto"/>
        </w:rPr>
      </w:pPr>
    </w:p>
    <w:p>
      <w:pPr>
        <w:ind w:right="160" w:firstLine="1952"/>
        <w:spacing w:after="0" w:line="257" w:lineRule="auto"/>
        <w:tabs>
          <w:tab w:leader="none" w:pos="2578" w:val="left"/>
        </w:tabs>
        <w:numPr>
          <w:ilvl w:val="2"/>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individual whose employment is classified by the Participating Company to which such individual is employed as an internship, or as “temporary” or “intermittent,” all in accordance with uniformly applied personnel policies.</w:t>
      </w:r>
    </w:p>
    <w:p>
      <w:pPr>
        <w:spacing w:after="0" w:line="173"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22"/>
          <w:szCs w:val="22"/>
          <w:color w:val="auto"/>
        </w:rPr>
        <w:t>For purposes of this Paragraph 2(q)(1), an employee is employed on a part-time basis if the Employee customarily works less than 20 hours per week. For purposes of this Paragraph 2(q), an Employee is employed on a full-time basis if the Employee customarily works 20 or more hours per week.</w:t>
      </w:r>
    </w:p>
    <w:p>
      <w:pPr>
        <w:spacing w:after="0" w:line="167" w:lineRule="exact"/>
        <w:rPr>
          <w:sz w:val="20"/>
          <w:szCs w:val="20"/>
          <w:color w:val="auto"/>
        </w:rPr>
      </w:pPr>
    </w:p>
    <w:p>
      <w:pPr>
        <w:ind w:left="1940" w:hanging="636"/>
        <w:spacing w:after="0"/>
        <w:tabs>
          <w:tab w:leader="none" w:pos="194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employee of Universal Orlando, an employee who, as of an Offering Commencement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6" w:lineRule="exact"/>
        <w:rPr>
          <w:rFonts w:ascii="Times New Roman" w:cs="Times New Roman" w:eastAsia="Times New Roman" w:hAnsi="Times New Roman"/>
          <w:sz w:val="22"/>
          <w:szCs w:val="22"/>
          <w:color w:val="auto"/>
        </w:rPr>
      </w:pPr>
    </w:p>
    <w:p>
      <w:pPr>
        <w:ind w:left="5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22" w:right="359" w:bottom="1440" w:gutter="0" w:footer="0" w:header="0"/>
        </w:sectPr>
      </w:pPr>
    </w:p>
    <w:bookmarkStart w:id="283" w:name="page284"/>
    <w:bookmarkEnd w:id="283"/>
    <w:p>
      <w:pPr>
        <w:ind w:left="2600" w:hanging="648"/>
        <w:spacing w:after="0"/>
        <w:tabs>
          <w:tab w:leader="none" w:pos="260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Five Percent Owner;</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continuously employed by the Comcast Group on a full-time basis for less than 90 days;</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continuously employed by the Comcast Group on a part-time basis for less than one year;</w:t>
      </w:r>
    </w:p>
    <w:p>
      <w:pPr>
        <w:spacing w:after="0" w:line="244" w:lineRule="exact"/>
        <w:rPr>
          <w:rFonts w:ascii="Times New Roman" w:cs="Times New Roman" w:eastAsia="Times New Roman" w:hAnsi="Times New Roman"/>
          <w:sz w:val="21"/>
          <w:szCs w:val="21"/>
          <w:color w:val="auto"/>
        </w:rPr>
      </w:pPr>
    </w:p>
    <w:p>
      <w:pPr>
        <w:jc w:val="both"/>
        <w:ind w:right="160" w:firstLine="1952"/>
        <w:spacing w:after="0" w:line="257" w:lineRule="auto"/>
        <w:tabs>
          <w:tab w:leader="none" w:pos="257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72" w:lineRule="exact"/>
        <w:rPr>
          <w:rFonts w:ascii="Times New Roman" w:cs="Times New Roman" w:eastAsia="Times New Roman" w:hAnsi="Times New Roman"/>
          <w:sz w:val="22"/>
          <w:szCs w:val="22"/>
          <w:color w:val="auto"/>
        </w:rPr>
      </w:pPr>
    </w:p>
    <w:p>
      <w:pPr>
        <w:ind w:right="60" w:firstLine="1952"/>
        <w:spacing w:after="0" w:line="263" w:lineRule="auto"/>
        <w:tabs>
          <w:tab w:leader="none" w:pos="2578"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individual whose employment is classified by the Participating Company to which such individual is employed as an internship, or as “temporary,” “intermittent” or “seasonal,” all in accordance with uniformly applied personnel policies.</w:t>
      </w:r>
    </w:p>
    <w:p>
      <w:pPr>
        <w:spacing w:after="0" w:line="167" w:lineRule="exact"/>
        <w:rPr>
          <w:sz w:val="20"/>
          <w:szCs w:val="20"/>
          <w:color w:val="auto"/>
        </w:rPr>
      </w:pPr>
    </w:p>
    <w:p>
      <w:pPr>
        <w:jc w:val="both"/>
        <w:ind w:right="480"/>
        <w:spacing w:after="0" w:line="257" w:lineRule="auto"/>
        <w:rPr>
          <w:sz w:val="20"/>
          <w:szCs w:val="20"/>
          <w:color w:val="auto"/>
        </w:rPr>
      </w:pPr>
      <w:r>
        <w:rPr>
          <w:rFonts w:ascii="Times New Roman" w:cs="Times New Roman" w:eastAsia="Times New Roman" w:hAnsi="Times New Roman"/>
          <w:sz w:val="22"/>
          <w:szCs w:val="22"/>
          <w:color w:val="auto"/>
        </w:rPr>
        <w:t>For purposes of this Paragraph 2(q)(2), an employee is employed on a part-time basis if Universal Orlando has classified the Employee as a “Casual Employee.” For purposes of this Paragraph 2(q)(2) an Employee is employed on a full-time basis if Universal Orlando has classified the Employee as a Regular Employee.</w:t>
      </w:r>
    </w:p>
    <w:p>
      <w:pPr>
        <w:spacing w:after="0" w:line="173" w:lineRule="exact"/>
        <w:rPr>
          <w:sz w:val="20"/>
          <w:szCs w:val="20"/>
          <w:color w:val="auto"/>
        </w:rPr>
      </w:pPr>
    </w:p>
    <w:p>
      <w:pPr>
        <w:ind w:left="1300" w:hanging="644"/>
        <w:spacing w:after="0"/>
        <w:tabs>
          <w:tab w:leader="none" w:pos="130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NBCUniversal</w:t>
      </w:r>
      <w:r>
        <w:rPr>
          <w:rFonts w:ascii="Times New Roman" w:cs="Times New Roman" w:eastAsia="Times New Roman" w:hAnsi="Times New Roman"/>
          <w:sz w:val="22"/>
          <w:szCs w:val="22"/>
          <w:color w:val="auto"/>
        </w:rPr>
        <w:t>” means NBCUniversal, LLC, a Delaware limited liability company.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means an offering of Shares by the Company to Eligible Employees pursuant to the Plan.</w:t>
      </w:r>
    </w:p>
    <w:p>
      <w:pPr>
        <w:spacing w:after="0" w:line="233" w:lineRule="exact"/>
        <w:rPr>
          <w:rFonts w:ascii="Times New Roman" w:cs="Times New Roman" w:eastAsia="Times New Roman" w:hAnsi="Times New Roman"/>
          <w:sz w:val="22"/>
          <w:szCs w:val="22"/>
          <w:color w:val="auto"/>
        </w:rPr>
      </w:pPr>
    </w:p>
    <w:p>
      <w:pPr>
        <w:ind w:right="260" w:firstLine="656"/>
        <w:spacing w:after="0" w:line="271" w:lineRule="auto"/>
        <w:tabs>
          <w:tab w:leader="none" w:pos="129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Commencement Date</w:t>
      </w:r>
      <w:r>
        <w:rPr>
          <w:rFonts w:ascii="Times New Roman" w:cs="Times New Roman" w:eastAsia="Times New Roman" w:hAnsi="Times New Roman"/>
          <w:sz w:val="22"/>
          <w:szCs w:val="22"/>
          <w:color w:val="auto"/>
        </w:rPr>
        <w:t>” means the first day of each January 1, April 1, July 1 and October 1 beginning on or after July 1, 2011 until the Plan Termination Date.</w:t>
      </w:r>
    </w:p>
    <w:p>
      <w:pPr>
        <w:spacing w:after="0" w:line="157" w:lineRule="exact"/>
        <w:rPr>
          <w:rFonts w:ascii="Times New Roman" w:cs="Times New Roman" w:eastAsia="Times New Roman" w:hAnsi="Times New Roman"/>
          <w:sz w:val="22"/>
          <w:szCs w:val="22"/>
          <w:color w:val="auto"/>
        </w:rPr>
      </w:pPr>
    </w:p>
    <w:p>
      <w:pPr>
        <w:ind w:right="560" w:firstLine="656"/>
        <w:spacing w:after="0" w:line="271" w:lineRule="auto"/>
        <w:tabs>
          <w:tab w:leader="none" w:pos="129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Period</w:t>
      </w:r>
      <w:r>
        <w:rPr>
          <w:rFonts w:ascii="Times New Roman" w:cs="Times New Roman" w:eastAsia="Times New Roman" w:hAnsi="Times New Roman"/>
          <w:sz w:val="22"/>
          <w:szCs w:val="22"/>
          <w:color w:val="auto"/>
        </w:rPr>
        <w:t>” means the period extending from an Offering Commencement Date through the following Offering Termination Date.</w:t>
      </w:r>
    </w:p>
    <w:p>
      <w:pPr>
        <w:spacing w:after="0" w:line="157" w:lineRule="exact"/>
        <w:rPr>
          <w:rFonts w:ascii="Times New Roman" w:cs="Times New Roman" w:eastAsia="Times New Roman" w:hAnsi="Times New Roman"/>
          <w:sz w:val="22"/>
          <w:szCs w:val="22"/>
          <w:color w:val="auto"/>
        </w:rPr>
      </w:pPr>
    </w:p>
    <w:p>
      <w:pPr>
        <w:ind w:right="420" w:firstLine="656"/>
        <w:spacing w:after="0" w:line="309" w:lineRule="auto"/>
        <w:tabs>
          <w:tab w:leader="none" w:pos="1285"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Offering Termination Date</w:t>
      </w:r>
      <w:r>
        <w:rPr>
          <w:rFonts w:ascii="Times New Roman" w:cs="Times New Roman" w:eastAsia="Times New Roman" w:hAnsi="Times New Roman"/>
          <w:sz w:val="21"/>
          <w:szCs w:val="21"/>
          <w:color w:val="auto"/>
        </w:rPr>
        <w:t>” means the last day of each March, June, September and December following an Offering Commencement Date, or such other Offering Termination Date established in connection with a Terminating Event.</w:t>
      </w:r>
    </w:p>
    <w:p>
      <w:pPr>
        <w:spacing w:after="0" w:line="120" w:lineRule="exact"/>
        <w:rPr>
          <w:rFonts w:ascii="Times New Roman" w:cs="Times New Roman" w:eastAsia="Times New Roman" w:hAnsi="Times New Roman"/>
          <w:sz w:val="21"/>
          <w:szCs w:val="21"/>
          <w:color w:val="auto"/>
        </w:rPr>
      </w:pPr>
    </w:p>
    <w:p>
      <w:pPr>
        <w:ind w:right="720" w:firstLine="656"/>
        <w:spacing w:after="0" w:line="271" w:lineRule="auto"/>
        <w:tabs>
          <w:tab w:leader="none" w:pos="129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Eligible Employee who has timely delivered an Election Form to the Committee in accordance with procedures established by the Committee.</w:t>
      </w:r>
    </w:p>
    <w:p>
      <w:pPr>
        <w:spacing w:after="0" w:line="157" w:lineRule="exact"/>
        <w:rPr>
          <w:rFonts w:ascii="Times New Roman" w:cs="Times New Roman" w:eastAsia="Times New Roman" w:hAnsi="Times New Roman"/>
          <w:sz w:val="22"/>
          <w:szCs w:val="22"/>
          <w:color w:val="auto"/>
        </w:rPr>
      </w:pPr>
    </w:p>
    <w:p>
      <w:pPr>
        <w:ind w:firstLine="656"/>
        <w:spacing w:after="0" w:line="256" w:lineRule="auto"/>
        <w:tabs>
          <w:tab w:leader="none" w:pos="129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Company</w:t>
      </w:r>
      <w:r>
        <w:rPr>
          <w:rFonts w:ascii="Times New Roman" w:cs="Times New Roman" w:eastAsia="Times New Roman" w:hAnsi="Times New Roman"/>
          <w:sz w:val="22"/>
          <w:szCs w:val="22"/>
          <w:color w:val="auto"/>
        </w:rPr>
        <w:t>” means all Eligible Employers except such Eligible Employers as may be designated for exclusion by the Board or the Committee from time to time. Notwithstanding the foregoing, the Board or the Committee may delegate its authority to exclude an Eligible Employer from being a Participating Company under this Paragraph 2(x) to an officer of the Company or committee of two or more officers of the Company.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284" w:name="page285"/>
    <w:bookmarkEnd w:id="284"/>
    <w:p>
      <w:pPr>
        <w:ind w:right="680" w:firstLine="656"/>
        <w:spacing w:after="0" w:line="271" w:lineRule="auto"/>
        <w:tabs>
          <w:tab w:leader="none" w:pos="1293"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Payroll Deductions</w:t>
      </w:r>
      <w:r>
        <w:rPr>
          <w:rFonts w:ascii="Times New Roman" w:cs="Times New Roman" w:eastAsia="Times New Roman" w:hAnsi="Times New Roman"/>
          <w:sz w:val="22"/>
          <w:szCs w:val="22"/>
          <w:color w:val="auto"/>
        </w:rPr>
        <w:t>” means amounts withheld from a Participant’s Compensation pursuant to the Plan, as described in Paragraph 5.</w:t>
      </w:r>
    </w:p>
    <w:p>
      <w:pPr>
        <w:spacing w:after="0" w:line="158" w:lineRule="exact"/>
        <w:rPr>
          <w:sz w:val="20"/>
          <w:szCs w:val="20"/>
          <w:color w:val="auto"/>
        </w:rPr>
      </w:pPr>
    </w:p>
    <w:p>
      <w:pPr>
        <w:ind w:left="1300" w:hanging="644"/>
        <w:spacing w:after="0"/>
        <w:tabs>
          <w:tab w:leader="none" w:pos="1300"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an association, a trust or any other entity or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organization.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(ab)</w:t>
            </w:r>
          </w:p>
        </w:tc>
        <w:tc>
          <w:tcPr>
            <w:tcW w:w="1000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7"/>
              </w:rPr>
              <w:t>“Plan” means the Comcast-NBCUniversal 2011 Employee Stock Purchase Plan, as set forth in this document, and</w:t>
            </w:r>
          </w:p>
        </w:tc>
      </w:tr>
      <w:tr>
        <w:trPr>
          <w:trHeight w:val="20"/>
        </w:trPr>
        <w:tc>
          <w:tcPr>
            <w:tcW w:w="14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89"/>
        </w:trPr>
        <w:tc>
          <w:tcPr>
            <w:tcW w:w="111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as may be amended from time to time.</w:t>
            </w:r>
          </w:p>
        </w:tc>
      </w:tr>
      <w:tr>
        <w:trPr>
          <w:trHeight w:val="420"/>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(ac)</w:t>
            </w:r>
          </w:p>
        </w:tc>
        <w:tc>
          <w:tcPr>
            <w:tcW w:w="1000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“Plan Termination Date” means the earliest of:</w:t>
            </w: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1304"/>
        <w:spacing w:after="0" w:line="284" w:lineRule="auto"/>
        <w:tabs>
          <w:tab w:leader="none" w:pos="1939"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Offering Termination Date for the Offering in which the maximum number of Shares specified in Paragraph 9 have been issued pursuant to the Plan; or</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as of which the Board or the Committee chooses to terminate the Plan as provided in Paragraph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w:t>
      </w:r>
    </w:p>
    <w:p>
      <w:pPr>
        <w:spacing w:after="0" w:line="19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(ad)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(ae)</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“Shares” means shares of Comcast Corporation Class A Common Stock, par value $0.01.</w:t>
            </w: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453"/>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(af)</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“Subsidiary” means any Affiliate of NBCUniversal that is controlled by NBCUniversal.</w:t>
            </w:r>
          </w:p>
        </w:tc>
      </w:tr>
      <w:tr>
        <w:trPr>
          <w:trHeight w:val="20"/>
        </w:trPr>
        <w:tc>
          <w:tcPr>
            <w:tcW w:w="1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453"/>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(ag)</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8"/>
              </w:rPr>
              <w:t>“Successor-in-Interest” means the Participant’s executor or administrator, or such other person or entity to which</w:t>
            </w:r>
          </w:p>
        </w:tc>
      </w:tr>
      <w:tr>
        <w:trPr>
          <w:trHeight w:val="20"/>
        </w:trPr>
        <w:tc>
          <w:tcPr>
            <w:tcW w:w="1400" w:type="dxa"/>
            <w:vAlign w:val="bottom"/>
            <w:gridSpan w:val="2"/>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289"/>
        </w:trPr>
        <w:tc>
          <w:tcPr>
            <w:tcW w:w="111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the Participant’s rights under the Plan shall have passed by will or the laws of descent and distribution.</w:t>
            </w:r>
          </w:p>
        </w:tc>
      </w:tr>
      <w:tr>
        <w:trPr>
          <w:trHeight w:val="434"/>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(ah)</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“Terminating Event” means any of the following events:</w:t>
            </w: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0" w:type="dxa"/>
            <w:vAlign w:val="bottom"/>
            <w:tcBorders>
              <w:left w:val="single" w:sz="8" w:color="auto"/>
            </w:tcBorders>
            <w:gridSpan w:val="2"/>
          </w:tcPr>
          <w:p>
            <w:pPr>
              <w:spacing w:after="0" w:line="20" w:lineRule="exact"/>
              <w:rPr>
                <w:sz w:val="1"/>
                <w:szCs w:val="1"/>
                <w:color w:val="auto"/>
              </w:rPr>
            </w:pPr>
          </w:p>
        </w:tc>
      </w:tr>
      <w:tr>
        <w:trPr>
          <w:trHeight w:val="505"/>
        </w:trPr>
        <w:tc>
          <w:tcPr>
            <w:tcW w:w="1140" w:type="dxa"/>
            <w:vAlign w:val="bottom"/>
          </w:tcPr>
          <w:p>
            <w:pPr>
              <w:spacing w:after="0"/>
              <w:rPr>
                <w:sz w:val="24"/>
                <w:szCs w:val="24"/>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(1)</w:t>
            </w:r>
          </w:p>
        </w:tc>
        <w:tc>
          <w:tcPr>
            <w:tcW w:w="940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the liquidation of the Company; or</w:t>
            </w:r>
          </w:p>
        </w:tc>
      </w:tr>
      <w:tr>
        <w:trPr>
          <w:trHeight w:val="473"/>
        </w:trPr>
        <w:tc>
          <w:tcPr>
            <w:tcW w:w="1140" w:type="dxa"/>
            <w:vAlign w:val="bottom"/>
          </w:tcPr>
          <w:p>
            <w:pPr>
              <w:spacing w:after="0"/>
              <w:rPr>
                <w:sz w:val="24"/>
                <w:szCs w:val="24"/>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(2)</w:t>
            </w:r>
          </w:p>
        </w:tc>
        <w:tc>
          <w:tcPr>
            <w:tcW w:w="940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a Change of Control.</w:t>
            </w:r>
          </w:p>
        </w:tc>
      </w:tr>
      <w:tr>
        <w:trPr>
          <w:trHeight w:val="42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(ai)</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7"/>
              </w:rPr>
              <w:t>“Third Party” means any Person, together with such Person’s Affiliates, provided that the term “Third Party” shall</w:t>
            </w:r>
          </w:p>
        </w:tc>
      </w:tr>
      <w:tr>
        <w:trPr>
          <w:trHeight w:val="20"/>
        </w:trPr>
        <w:tc>
          <w:tcPr>
            <w:tcW w:w="1400" w:type="dxa"/>
            <w:vAlign w:val="bottom"/>
            <w:gridSpan w:val="2"/>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r>
      <w:tr>
        <w:trPr>
          <w:trHeight w:val="289"/>
        </w:trPr>
        <w:tc>
          <w:tcPr>
            <w:tcW w:w="111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not include the Company or an Affiliate of the Company.</w:t>
            </w:r>
          </w:p>
        </w:tc>
      </w:tr>
      <w:tr>
        <w:trPr>
          <w:trHeight w:val="434"/>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(aj)</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9"/>
              </w:rPr>
              <w:t>“Termination Form” means the written or electronic form acceptable to the Committee which an Employee shall</w:t>
            </w: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use to discontinue participation during an Offering Period pursuant to Paragraph 7(b).</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60"/>
          </w:cols>
          <w:pgMar w:left="320" w:top="1422" w:right="419" w:bottom="1440" w:gutter="0" w:footer="0" w:header="0"/>
        </w:sectPr>
      </w:pPr>
    </w:p>
    <w:bookmarkStart w:id="285" w:name="page286"/>
    <w:bookmarkEnd w:id="285"/>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(ak)</w:t>
        <w:tab/>
        <w:t>“</w:t>
      </w:r>
      <w:r>
        <w:rPr>
          <w:rFonts w:ascii="Times New Roman" w:cs="Times New Roman" w:eastAsia="Times New Roman" w:hAnsi="Times New Roman"/>
          <w:sz w:val="22"/>
          <w:szCs w:val="22"/>
          <w:u w:val="single" w:color="auto"/>
          <w:color w:val="auto"/>
        </w:rPr>
        <w:t>Universal Orlando</w:t>
      </w:r>
      <w:r>
        <w:rPr>
          <w:rFonts w:ascii="Times New Roman" w:cs="Times New Roman" w:eastAsia="Times New Roman" w:hAnsi="Times New Roman"/>
          <w:sz w:val="22"/>
          <w:szCs w:val="22"/>
          <w:color w:val="auto"/>
        </w:rPr>
        <w:t>” means Universal City Development Partners, Ltd. and its subsidiaries.</w:t>
      </w:r>
    </w:p>
    <w:p>
      <w:pPr>
        <w:spacing w:after="0" w:line="216" w:lineRule="exact"/>
        <w:rPr>
          <w:sz w:val="20"/>
          <w:szCs w:val="20"/>
          <w:color w:val="auto"/>
        </w:rPr>
      </w:pPr>
    </w:p>
    <w:p>
      <w:pPr>
        <w:ind w:left="660" w:hanging="652"/>
        <w:spacing w:after="0"/>
        <w:tabs>
          <w:tab w:leader="none" w:pos="660" w:val="left"/>
        </w:tabs>
        <w:numPr>
          <w:ilvl w:val="0"/>
          <w:numId w:val="3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Eligibility and Participation</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right="220" w:firstLine="656"/>
        <w:spacing w:after="0" w:line="284" w:lineRule="auto"/>
        <w:tabs>
          <w:tab w:leader="none" w:pos="1293"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Except to the extent participation is restricted under Paragraph 3(b), each Eligible Employee shall be eligible to participate in the Plan.</w:t>
      </w:r>
    </w:p>
    <w:p>
      <w:pPr>
        <w:spacing w:after="0" w:line="143" w:lineRule="exact"/>
        <w:rPr>
          <w:rFonts w:ascii="Times New Roman" w:cs="Times New Roman" w:eastAsia="Times New Roman" w:hAnsi="Times New Roman"/>
          <w:sz w:val="22"/>
          <w:szCs w:val="22"/>
          <w:color w:val="auto"/>
        </w:rPr>
      </w:pPr>
    </w:p>
    <w:p>
      <w:pPr>
        <w:ind w:right="300" w:firstLine="656"/>
        <w:spacing w:after="0" w:line="271" w:lineRule="auto"/>
        <w:tabs>
          <w:tab w:leader="none" w:pos="1291"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Participation</w:t>
      </w:r>
      <w:r>
        <w:rPr>
          <w:rFonts w:ascii="Times New Roman" w:cs="Times New Roman" w:eastAsia="Times New Roman" w:hAnsi="Times New Roman"/>
          <w:sz w:val="22"/>
          <w:szCs w:val="22"/>
          <w:color w:val="auto"/>
        </w:rPr>
        <w:t>. Notwithstanding any provisions of the Plan to the contrary, no Employee shall be eligible to purchase Shares in an Offering to the extent that:</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purchase of Shares, such Employee would be a Five Percent owner; or</w:t>
      </w:r>
    </w:p>
    <w:p>
      <w:pPr>
        <w:spacing w:after="0" w:line="219" w:lineRule="exact"/>
        <w:rPr>
          <w:rFonts w:ascii="Times New Roman" w:cs="Times New Roman" w:eastAsia="Times New Roman" w:hAnsi="Times New Roman"/>
          <w:sz w:val="22"/>
          <w:szCs w:val="22"/>
          <w:color w:val="auto"/>
        </w:rPr>
      </w:pPr>
    </w:p>
    <w:p>
      <w:pPr>
        <w:ind w:firstLine="1304"/>
        <w:spacing w:after="0" w:line="267" w:lineRule="auto"/>
        <w:tabs>
          <w:tab w:leader="none" w:pos="1939" w:val="left"/>
        </w:tabs>
        <w:numPr>
          <w:ilvl w:val="2"/>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purchase of Shares would permit such Employee’s rights to purchase stock under this Plan, after taking into account such Employee’s purchases under the Comcast Corporation 2002 Employee Stock Purchase Plan, if any, to accrue at a rate which exceeds $25,000 in fair market value (as determined on the same basis as if this Plan were subject to section 423(b)</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(8) of the Code) for each calendar year in which such right to purchase Shares is outstanding.</w:t>
      </w:r>
    </w:p>
    <w:p>
      <w:pPr>
        <w:spacing w:after="0" w:line="195" w:lineRule="exact"/>
        <w:rPr>
          <w:rFonts w:ascii="Times New Roman" w:cs="Times New Roman" w:eastAsia="Times New Roman" w:hAnsi="Times New Roman"/>
          <w:sz w:val="21"/>
          <w:szCs w:val="21"/>
          <w:color w:val="auto"/>
        </w:rPr>
      </w:pPr>
    </w:p>
    <w:p>
      <w:pPr>
        <w:ind w:right="20" w:firstLine="656"/>
        <w:spacing w:after="0" w:line="251" w:lineRule="auto"/>
        <w:tabs>
          <w:tab w:leader="none" w:pos="1293"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Commencement of Participation</w:t>
      </w:r>
      <w:r>
        <w:rPr>
          <w:rFonts w:ascii="Times New Roman" w:cs="Times New Roman" w:eastAsia="Times New Roman" w:hAnsi="Times New Roman"/>
          <w:sz w:val="22"/>
          <w:szCs w:val="22"/>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the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7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Shares Per Offering</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9(a),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22" w:right="379" w:bottom="1440" w:gutter="0" w:footer="0" w:header="0"/>
        </w:sectPr>
      </w:pPr>
    </w:p>
    <w:bookmarkStart w:id="286" w:name="page287"/>
    <w:bookmarkEnd w:id="286"/>
    <w:p>
      <w:pPr>
        <w:spacing w:after="0" w:line="271" w:lineRule="auto"/>
        <w:rPr>
          <w:sz w:val="20"/>
          <w:szCs w:val="20"/>
          <w:color w:val="auto"/>
        </w:rPr>
      </w:pPr>
      <w:r>
        <w:rPr>
          <w:rFonts w:ascii="Times New Roman" w:cs="Times New Roman" w:eastAsia="Times New Roman" w:hAnsi="Times New Roman"/>
          <w:sz w:val="22"/>
          <w:szCs w:val="22"/>
          <w:color w:val="auto"/>
        </w:rPr>
        <w:t>practicable, and as it shall determine to be fair and equitable, and the unapplied Account balances shall be returned to Participants as soon as practicable following the Offering Termination Date.</w:t>
      </w:r>
    </w:p>
    <w:p>
      <w:pPr>
        <w:spacing w:after="0" w:line="154" w:lineRule="exact"/>
        <w:rPr>
          <w:sz w:val="20"/>
          <w:szCs w:val="20"/>
          <w:color w:val="auto"/>
        </w:rPr>
      </w:pPr>
    </w:p>
    <w:p>
      <w:pPr>
        <w:ind w:left="660" w:hanging="652"/>
        <w:spacing w:after="0"/>
        <w:tabs>
          <w:tab w:leader="none" w:pos="660" w:val="left"/>
        </w:tabs>
        <w:numPr>
          <w:ilvl w:val="0"/>
          <w:numId w:val="3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Payroll Deductions</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firstLine="656"/>
        <w:spacing w:after="0" w:line="265" w:lineRule="auto"/>
        <w:tabs>
          <w:tab w:leader="none" w:pos="1293" w:val="left"/>
        </w:tabs>
        <w:numPr>
          <w:ilvl w:val="1"/>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Amount of Payroll Deductions</w:t>
      </w:r>
      <w:r>
        <w:rPr>
          <w:rFonts w:ascii="Times New Roman" w:cs="Times New Roman" w:eastAsia="Times New Roman" w:hAnsi="Times New Roman"/>
          <w:sz w:val="21"/>
          <w:szCs w:val="21"/>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(including, for this purpose, any payroll deductions for such calendar year pursuant to the Comcast Corporation 2002 Employee Stock Purchase Plan, if any) shall not exceed $21,250, or, with respect to Participants whose compensation is denominated in currency other than United States dollars, if any, the equivalent amount as denominated in such local currency, as determined by the Committee.</w:t>
      </w:r>
    </w:p>
    <w:p>
      <w:pPr>
        <w:spacing w:after="0" w:line="168" w:lineRule="exact"/>
        <w:rPr>
          <w:rFonts w:ascii="Times New Roman" w:cs="Times New Roman" w:eastAsia="Times New Roman" w:hAnsi="Times New Roman"/>
          <w:sz w:val="21"/>
          <w:szCs w:val="21"/>
          <w:color w:val="auto"/>
        </w:rPr>
      </w:pPr>
    </w:p>
    <w:p>
      <w:pPr>
        <w:ind w:right="320" w:firstLine="656"/>
        <w:spacing w:after="0" w:line="271" w:lineRule="auto"/>
        <w:tabs>
          <w:tab w:leader="none" w:pos="1291" w:val="left"/>
        </w:tabs>
        <w:numPr>
          <w:ilvl w:val="1"/>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Accounts</w:t>
      </w:r>
      <w:r>
        <w:rPr>
          <w:rFonts w:ascii="Times New Roman" w:cs="Times New Roman" w:eastAsia="Times New Roman" w:hAnsi="Times New Roman"/>
          <w:sz w:val="22"/>
          <w:szCs w:val="22"/>
          <w:color w:val="auto"/>
        </w:rPr>
        <w:t>. All Payroll Deductions with respect to a Participant pursuant to Paragraph 5(a) shall be credited to the Participant’s Account under the Plan.</w:t>
      </w:r>
    </w:p>
    <w:p>
      <w:pPr>
        <w:spacing w:after="0" w:line="157" w:lineRule="exact"/>
        <w:rPr>
          <w:rFonts w:ascii="Times New Roman" w:cs="Times New Roman" w:eastAsia="Times New Roman" w:hAnsi="Times New Roman"/>
          <w:sz w:val="22"/>
          <w:szCs w:val="22"/>
          <w:color w:val="auto"/>
        </w:rPr>
      </w:pPr>
    </w:p>
    <w:p>
      <w:pPr>
        <w:ind w:right="20" w:firstLine="656"/>
        <w:spacing w:after="0" w:line="250" w:lineRule="auto"/>
        <w:tabs>
          <w:tab w:leader="none" w:pos="1293" w:val="left"/>
        </w:tabs>
        <w:numPr>
          <w:ilvl w:val="1"/>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Payroll Deductions</w:t>
      </w:r>
      <w:r>
        <w:rPr>
          <w:rFonts w:ascii="Times New Roman" w:cs="Times New Roman" w:eastAsia="Times New Roman" w:hAnsi="Times New Roman"/>
          <w:sz w:val="22"/>
          <w:szCs w:val="22"/>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7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Purchase of Shares</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right="40" w:firstLine="656"/>
        <w:spacing w:after="0" w:line="268" w:lineRule="auto"/>
        <w:tabs>
          <w:tab w:leader="none" w:pos="1293" w:val="left"/>
        </w:tabs>
        <w:numPr>
          <w:ilvl w:val="1"/>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On each Offering Termination Date, each Participant shall be deemed to have purchased a number of Shares equal to the quotient obtained by dividing the balance credited to the Participant’s Account as of the Offering Termination Date, by the Purchase Price. Shares deemed purchased by a Participant under the Plan (net of Shares withheld under Paragraph 11) shall be credited to the Participant’s Brokerage Account as soon as practicable following the Offering Termination Date.</w:t>
      </w:r>
    </w:p>
    <w:p>
      <w:pPr>
        <w:spacing w:after="0" w:line="163" w:lineRule="exact"/>
        <w:rPr>
          <w:rFonts w:ascii="Times New Roman" w:cs="Times New Roman" w:eastAsia="Times New Roman" w:hAnsi="Times New Roman"/>
          <w:sz w:val="21"/>
          <w:szCs w:val="21"/>
          <w:color w:val="auto"/>
        </w:rPr>
      </w:pPr>
    </w:p>
    <w:p>
      <w:pPr>
        <w:ind w:right="260" w:firstLine="656"/>
        <w:spacing w:after="0" w:line="256" w:lineRule="auto"/>
        <w:tabs>
          <w:tab w:leader="none" w:pos="1291" w:val="left"/>
        </w:tabs>
        <w:numPr>
          <w:ilvl w:val="1"/>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Terminating Events</w:t>
      </w:r>
      <w:r>
        <w:rPr>
          <w:rFonts w:ascii="Times New Roman" w:cs="Times New Roman" w:eastAsia="Times New Roman" w:hAnsi="Times New Roman"/>
          <w:sz w:val="22"/>
          <w:szCs w:val="22"/>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22" w:right="359" w:bottom="1440" w:gutter="0" w:footer="0" w:header="0"/>
        </w:sectPr>
      </w:pPr>
    </w:p>
    <w:bookmarkStart w:id="287" w:name="page288"/>
    <w:bookmarkEnd w:id="287"/>
    <w:p>
      <w:pPr>
        <w:ind w:right="20" w:firstLine="656"/>
        <w:spacing w:after="0" w:line="257" w:lineRule="auto"/>
        <w:tabs>
          <w:tab w:leader="none" w:pos="1293"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Rights to Purchase Shares</w:t>
      </w:r>
      <w:r>
        <w:rPr>
          <w:rFonts w:ascii="Times New Roman" w:cs="Times New Roman" w:eastAsia="Times New Roman" w:hAnsi="Times New Roman"/>
          <w:sz w:val="22"/>
          <w:szCs w:val="22"/>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8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Participation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ind w:right="300" w:firstLine="656"/>
        <w:spacing w:after="0" w:line="271" w:lineRule="auto"/>
        <w:tabs>
          <w:tab w:leader="none" w:pos="1563"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Except as provided in Paragraph 7(c), no amounts shall be distributed from Participants’ Accounts during an Offering Period.</w:t>
      </w:r>
    </w:p>
    <w:p>
      <w:pPr>
        <w:spacing w:after="0" w:line="157" w:lineRule="exact"/>
        <w:rPr>
          <w:rFonts w:ascii="Times New Roman" w:cs="Times New Roman" w:eastAsia="Times New Roman" w:hAnsi="Times New Roman"/>
          <w:sz w:val="22"/>
          <w:szCs w:val="22"/>
          <w:color w:val="auto"/>
        </w:rPr>
      </w:pPr>
    </w:p>
    <w:p>
      <w:pPr>
        <w:ind w:firstLine="656"/>
        <w:spacing w:after="0" w:line="248" w:lineRule="auto"/>
        <w:tabs>
          <w:tab w:leader="none" w:pos="1561"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Participation</w:t>
      </w:r>
      <w:r>
        <w:rPr>
          <w:rFonts w:ascii="Times New Roman" w:cs="Times New Roman" w:eastAsia="Times New Roman" w:hAnsi="Times New Roman"/>
          <w:sz w:val="22"/>
          <w:szCs w:val="22"/>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 A Participant (other than a Participant whose payroll is administered by Universal Orlando) whose Payroll Deductions are suspended during an Offering Period because of a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shall automatically resume Payroll Deductions at the rate in effect immediately before the suspension for the next Offering Period that commences after the conclusion of the suspension, unless the Participant elects otherwise.</w:t>
      </w:r>
    </w:p>
    <w:p>
      <w:pPr>
        <w:spacing w:after="0" w:line="182" w:lineRule="exact"/>
        <w:rPr>
          <w:rFonts w:ascii="Times New Roman" w:cs="Times New Roman" w:eastAsia="Times New Roman" w:hAnsi="Times New Roman"/>
          <w:sz w:val="22"/>
          <w:szCs w:val="22"/>
          <w:color w:val="auto"/>
        </w:rPr>
      </w:pPr>
    </w:p>
    <w:p>
      <w:pPr>
        <w:ind w:right="20" w:firstLine="656"/>
        <w:spacing w:after="0" w:line="257" w:lineRule="auto"/>
        <w:tabs>
          <w:tab w:leader="none" w:pos="1293"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8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Interest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No interest shall be paid or allowed with respect to Payroll Deductions paid into the Plan or credited to any Participant’s Account.</w:t>
      </w:r>
    </w:p>
    <w:p>
      <w:pPr>
        <w:spacing w:after="0" w:line="154" w:lineRule="exact"/>
        <w:rPr>
          <w:sz w:val="20"/>
          <w:szCs w:val="20"/>
          <w:color w:val="auto"/>
        </w:rPr>
      </w:pPr>
    </w:p>
    <w:p>
      <w:pPr>
        <w:ind w:left="720" w:hanging="712"/>
        <w:spacing w:after="0"/>
        <w:tabs>
          <w:tab w:leader="none" w:pos="720" w:val="left"/>
        </w:tabs>
        <w:numPr>
          <w:ilvl w:val="0"/>
          <w:numId w:val="3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Shares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ind w:right="120" w:firstLine="656"/>
        <w:spacing w:after="0" w:line="263" w:lineRule="auto"/>
        <w:tabs>
          <w:tab w:leader="none" w:pos="1347"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Number of Shares; Adjustments</w:t>
      </w:r>
      <w:r>
        <w:rPr>
          <w:rFonts w:ascii="Times New Roman" w:cs="Times New Roman" w:eastAsia="Times New Roman" w:hAnsi="Times New Roman"/>
          <w:sz w:val="22"/>
          <w:szCs w:val="22"/>
          <w:color w:val="auto"/>
        </w:rPr>
        <w:t>. Subject to adjustment as provided in this Paragraph 9, not more than 12,100,000 Shares in the aggregate may be issued pursuant to the Plan pursuant to Offerings under the Plan. Shares delivered pursuant to the Plan may, at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288" w:name="page289"/>
    <w:bookmarkEnd w:id="288"/>
    <w:p>
      <w:pPr>
        <w:spacing w:after="0" w:line="249" w:lineRule="auto"/>
        <w:rPr>
          <w:sz w:val="20"/>
          <w:szCs w:val="20"/>
          <w:color w:val="auto"/>
        </w:rPr>
      </w:pPr>
      <w:r>
        <w:rPr>
          <w:rFonts w:ascii="Times New Roman" w:cs="Times New Roman" w:eastAsia="Times New Roman" w:hAnsi="Times New Roman"/>
          <w:sz w:val="22"/>
          <w:szCs w:val="22"/>
          <w:color w:val="auto"/>
        </w:rPr>
        <w:t>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83" w:lineRule="exact"/>
        <w:rPr>
          <w:sz w:val="20"/>
          <w:szCs w:val="20"/>
          <w:color w:val="auto"/>
        </w:rPr>
      </w:pPr>
    </w:p>
    <w:p>
      <w:pPr>
        <w:ind w:right="240" w:firstLine="656"/>
        <w:spacing w:after="0" w:line="271" w:lineRule="auto"/>
        <w:tabs>
          <w:tab w:leader="none" w:pos="1291"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Interest in Shares</w:t>
      </w:r>
      <w:r>
        <w:rPr>
          <w:rFonts w:ascii="Times New Roman" w:cs="Times New Roman" w:eastAsia="Times New Roman" w:hAnsi="Times New Roman"/>
          <w:sz w:val="22"/>
          <w:szCs w:val="22"/>
          <w:color w:val="auto"/>
        </w:rPr>
        <w:t>. A Participant shall have no interest in Shares offered under the Plan until Shares are credited to the Participant’s Brokerage Account.</w:t>
      </w:r>
    </w:p>
    <w:p>
      <w:pPr>
        <w:spacing w:after="0" w:line="157" w:lineRule="exact"/>
        <w:rPr>
          <w:rFonts w:ascii="Times New Roman" w:cs="Times New Roman" w:eastAsia="Times New Roman" w:hAnsi="Times New Roman"/>
          <w:sz w:val="22"/>
          <w:szCs w:val="22"/>
          <w:color w:val="auto"/>
        </w:rPr>
      </w:pPr>
    </w:p>
    <w:p>
      <w:pPr>
        <w:ind w:right="220" w:firstLine="656"/>
        <w:spacing w:after="0" w:line="271" w:lineRule="auto"/>
        <w:tabs>
          <w:tab w:leader="none" w:pos="1293"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Shares to Brokerage Account</w:t>
      </w:r>
      <w:r>
        <w:rPr>
          <w:rFonts w:ascii="Times New Roman" w:cs="Times New Roman" w:eastAsia="Times New Roman" w:hAnsi="Times New Roman"/>
          <w:sz w:val="22"/>
          <w:szCs w:val="22"/>
          <w:color w:val="auto"/>
        </w:rPr>
        <w:t>. Shares purchased under the Plan shall be credited to the Participant’s Brokerage Account as soon as practicable following the Offering Termination Date.</w:t>
      </w:r>
    </w:p>
    <w:p>
      <w:pPr>
        <w:spacing w:after="0" w:line="171" w:lineRule="exact"/>
        <w:rPr>
          <w:rFonts w:ascii="Times New Roman" w:cs="Times New Roman" w:eastAsia="Times New Roman" w:hAnsi="Times New Roman"/>
          <w:sz w:val="22"/>
          <w:szCs w:val="22"/>
          <w:color w:val="auto"/>
        </w:rPr>
      </w:pPr>
    </w:p>
    <w:p>
      <w:pPr>
        <w:ind w:right="80" w:firstLine="656"/>
        <w:spacing w:after="0" w:line="257" w:lineRule="auto"/>
        <w:tabs>
          <w:tab w:leader="none" w:pos="1291"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Purchase</w:t>
      </w:r>
      <w:r>
        <w:rPr>
          <w:rFonts w:ascii="Times New Roman" w:cs="Times New Roman" w:eastAsia="Times New Roman" w:hAnsi="Times New Roman"/>
          <w:sz w:val="22"/>
          <w:szCs w:val="22"/>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172" w:lineRule="exact"/>
        <w:rPr>
          <w:rFonts w:ascii="Times New Roman" w:cs="Times New Roman" w:eastAsia="Times New Roman" w:hAnsi="Times New Roman"/>
          <w:sz w:val="22"/>
          <w:szCs w:val="22"/>
          <w:color w:val="auto"/>
        </w:rPr>
      </w:pPr>
    </w:p>
    <w:p>
      <w:pPr>
        <w:ind w:right="40" w:firstLine="656"/>
        <w:spacing w:after="0" w:line="250" w:lineRule="auto"/>
        <w:tabs>
          <w:tab w:leader="none" w:pos="1293"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Sale of Shares</w:t>
      </w:r>
      <w:r>
        <w:rPr>
          <w:rFonts w:ascii="Times New Roman" w:cs="Times New Roman" w:eastAsia="Times New Roman" w:hAnsi="Times New Roman"/>
          <w:sz w:val="22"/>
          <w:szCs w:val="22"/>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applied to pay withholding taxes pursuant to Paragraph 11 or to Shares credited to the Brokerage Account of a Participant who has terminated employment on account of death or disability.</w:t>
      </w:r>
    </w:p>
    <w:p>
      <w:pPr>
        <w:spacing w:after="0" w:line="18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200" w:firstLine="648"/>
        <w:spacing w:after="0" w:line="252" w:lineRule="auto"/>
        <w:rPr>
          <w:sz w:val="20"/>
          <w:szCs w:val="20"/>
          <w:color w:val="auto"/>
        </w:rPr>
      </w:pPr>
      <w:r>
        <w:rPr>
          <w:rFonts w:ascii="Times New Roman" w:cs="Times New Roman" w:eastAsia="Times New Roman" w:hAnsi="Times New Roman"/>
          <w:sz w:val="22"/>
          <w:szCs w:val="22"/>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289" w:name="page290"/>
    <w:bookmarkEnd w:id="289"/>
    <w:p>
      <w:pPr>
        <w:ind w:left="640" w:hanging="632"/>
        <w:spacing w:after="0"/>
        <w:tabs>
          <w:tab w:leader="none" w:pos="640" w:val="left"/>
        </w:tabs>
        <w:numPr>
          <w:ilvl w:val="0"/>
          <w:numId w:val="3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120" w:firstLine="482"/>
        <w:spacing w:after="0" w:line="253" w:lineRule="auto"/>
        <w:rPr>
          <w:sz w:val="20"/>
          <w:szCs w:val="20"/>
          <w:color w:val="auto"/>
        </w:rPr>
      </w:pPr>
      <w:r>
        <w:rPr>
          <w:rFonts w:ascii="Times New Roman" w:cs="Times New Roman" w:eastAsia="Times New Roman" w:hAnsi="Times New Roman"/>
          <w:sz w:val="22"/>
          <w:szCs w:val="22"/>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The Company’s obligation to make any delivery or transfer of Shares shall be conditioned on the Participant’s compliance, to the Company’s satisfaction, with any withholding requirement.</w:t>
      </w:r>
    </w:p>
    <w:p>
      <w:pPr>
        <w:spacing w:after="0" w:line="17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22"/>
          <w:szCs w:val="22"/>
          <w:color w:val="auto"/>
        </w:rPr>
        <w:t>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spacing w:after="0" w:line="172" w:lineRule="exact"/>
        <w:rPr>
          <w:sz w:val="20"/>
          <w:szCs w:val="20"/>
          <w:color w:val="auto"/>
        </w:rPr>
      </w:pPr>
    </w:p>
    <w:p>
      <w:pPr>
        <w:ind w:left="660" w:hanging="652"/>
        <w:spacing w:after="0"/>
        <w:tabs>
          <w:tab w:leader="none" w:pos="660" w:val="left"/>
        </w:tabs>
        <w:numPr>
          <w:ilvl w:val="0"/>
          <w:numId w:val="3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Plan and Contributions Not to Affect Employment</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Plan shall not confer upon any Eligible Employee any right to continue in the employ of the Participating Companies.</w:t>
      </w:r>
    </w:p>
    <w:p>
      <w:pPr>
        <w:spacing w:after="0" w:line="227"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3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75" w:lineRule="exact"/>
        <w:rPr>
          <w:sz w:val="20"/>
          <w:szCs w:val="20"/>
          <w:color w:val="auto"/>
        </w:rPr>
      </w:pPr>
    </w:p>
    <w:p>
      <w:pPr>
        <w:ind w:left="660" w:hanging="652"/>
        <w:spacing w:after="0"/>
        <w:tabs>
          <w:tab w:leader="none" w:pos="660" w:val="left"/>
        </w:tabs>
        <w:numPr>
          <w:ilvl w:val="0"/>
          <w:numId w:val="3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18" w:right="359" w:bottom="1440" w:gutter="0" w:footer="0" w:header="0"/>
        </w:sectPr>
      </w:pPr>
    </w:p>
    <w:bookmarkStart w:id="290" w:name="page291"/>
    <w:bookmarkEnd w:id="290"/>
    <w:p>
      <w:pPr>
        <w:ind w:left="660" w:hanging="652"/>
        <w:spacing w:after="0"/>
        <w:tabs>
          <w:tab w:leader="none" w:pos="660" w:val="left"/>
        </w:tabs>
        <w:numPr>
          <w:ilvl w:val="0"/>
          <w:numId w:val="3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The Plan was originally adopted on January 29, 2011. The first Offering Period under the Plan commenced on July 1, 2011. The Effective Date of this amendment and restatement of the Plan is May 14, 2024.</w:t>
      </w:r>
    </w:p>
    <w:p>
      <w:pPr>
        <w:spacing w:after="0" w:line="167" w:lineRule="exact"/>
        <w:rPr>
          <w:sz w:val="20"/>
          <w:szCs w:val="20"/>
          <w:color w:val="auto"/>
        </w:rPr>
      </w:pPr>
    </w:p>
    <w:p>
      <w:pPr>
        <w:ind w:left="660" w:hanging="652"/>
        <w:spacing w:after="0"/>
        <w:tabs>
          <w:tab w:leader="none" w:pos="660" w:val="left"/>
        </w:tabs>
        <w:numPr>
          <w:ilvl w:val="0"/>
          <w:numId w:val="3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Government and Other Regulations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right="200" w:firstLine="656"/>
        <w:spacing w:after="0" w:line="271" w:lineRule="auto"/>
        <w:tabs>
          <w:tab w:leader="none" w:pos="1293"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purchase of Shares under the Plan shall be subject to all applicable laws, rules and regulations, and to such approvals by any governmental agencies as may be required.</w:t>
      </w:r>
    </w:p>
    <w:p>
      <w:pPr>
        <w:spacing w:after="0" w:line="157" w:lineRule="exact"/>
        <w:rPr>
          <w:rFonts w:ascii="Times New Roman" w:cs="Times New Roman" w:eastAsia="Times New Roman" w:hAnsi="Times New Roman"/>
          <w:sz w:val="22"/>
          <w:szCs w:val="22"/>
          <w:color w:val="auto"/>
        </w:rPr>
      </w:pPr>
    </w:p>
    <w:p>
      <w:pPr>
        <w:ind w:right="60" w:firstLine="656"/>
        <w:spacing w:after="0" w:line="256" w:lineRule="auto"/>
        <w:tabs>
          <w:tab w:leader="none" w:pos="1291"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w:t>
      </w:r>
      <w:r>
        <w:rPr>
          <w:rFonts w:ascii="Times New Roman" w:cs="Times New Roman" w:eastAsia="Times New Roman" w:hAnsi="Times New Roman"/>
          <w:sz w:val="22"/>
          <w:szCs w:val="22"/>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Non-Alienation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82" w:lineRule="exact"/>
        <w:rPr>
          <w:sz w:val="20"/>
          <w:szCs w:val="20"/>
          <w:color w:val="auto"/>
        </w:rPr>
      </w:pPr>
    </w:p>
    <w:p>
      <w:pPr>
        <w:ind w:left="660" w:hanging="652"/>
        <w:spacing w:after="0"/>
        <w:tabs>
          <w:tab w:leader="none" w:pos="660" w:val="left"/>
        </w:tabs>
        <w:numPr>
          <w:ilvl w:val="0"/>
          <w:numId w:val="3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Any notice required or permitted hereunder shall be sufficiently given only if delivered personally, telecopied, or sent by first class mail, postage prepaid, and addressed: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If to the Company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1701 JFK Boulevard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Fax: 215-286-7794</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Or any other address provided pursuant to notice provided by the Committee.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If to the Participant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right="1160"/>
        <w:spacing w:after="0" w:line="271" w:lineRule="auto"/>
        <w:rPr>
          <w:sz w:val="20"/>
          <w:szCs w:val="20"/>
          <w:color w:val="auto"/>
        </w:rPr>
      </w:pPr>
      <w:r>
        <w:rPr>
          <w:rFonts w:ascii="Times New Roman" w:cs="Times New Roman" w:eastAsia="Times New Roman" w:hAnsi="Times New Roman"/>
          <w:sz w:val="22"/>
          <w:szCs w:val="22"/>
          <w:color w:val="auto"/>
        </w:rPr>
        <w:t>At the address on file with the Participating Company from time to time, or to such other address as either party may hereafter designate in writing (or via such other means of communication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80"/>
          </w:cols>
          <w:pgMar w:left="320" w:top="1418" w:right="499" w:bottom="1440" w:gutter="0" w:footer="0" w:header="0"/>
        </w:sectPr>
      </w:pPr>
    </w:p>
    <w:bookmarkStart w:id="291" w:name="page292"/>
    <w:bookmarkEnd w:id="291"/>
    <w:p>
      <w:pPr>
        <w:ind w:left="1300"/>
        <w:spacing w:after="0"/>
        <w:rPr>
          <w:sz w:val="20"/>
          <w:szCs w:val="20"/>
          <w:color w:val="auto"/>
        </w:rPr>
      </w:pPr>
      <w:r>
        <w:rPr>
          <w:rFonts w:ascii="Times New Roman" w:cs="Times New Roman" w:eastAsia="Times New Roman" w:hAnsi="Times New Roman"/>
          <w:sz w:val="22"/>
          <w:szCs w:val="22"/>
          <w:color w:val="auto"/>
        </w:rPr>
        <w:t>permitted by the Committee) by notice similarly given by one party to the other.</w:t>
      </w:r>
    </w:p>
    <w:p>
      <w:pPr>
        <w:spacing w:after="0" w:line="216" w:lineRule="exact"/>
        <w:rPr>
          <w:sz w:val="20"/>
          <w:szCs w:val="20"/>
          <w:color w:val="auto"/>
        </w:rPr>
      </w:pPr>
    </w:p>
    <w:p>
      <w:pPr>
        <w:ind w:left="660" w:hanging="652"/>
        <w:spacing w:after="0"/>
        <w:tabs>
          <w:tab w:leader="none" w:pos="660" w:val="left"/>
        </w:tabs>
        <w:numPr>
          <w:ilvl w:val="0"/>
          <w:numId w:val="3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shall be binding upon and inure to the benefit of any successors or assigns of the Company.</w:t>
      </w:r>
    </w:p>
    <w:p>
      <w:pPr>
        <w:spacing w:after="0" w:line="22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3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54" w:lineRule="exact"/>
        <w:rPr>
          <w:sz w:val="20"/>
          <w:szCs w:val="20"/>
          <w:color w:val="auto"/>
        </w:rPr>
      </w:pPr>
    </w:p>
    <w:p>
      <w:pPr>
        <w:ind w:left="660" w:hanging="652"/>
        <w:spacing w:after="0"/>
        <w:tabs>
          <w:tab w:leader="none" w:pos="660" w:val="left"/>
        </w:tabs>
        <w:numPr>
          <w:ilvl w:val="0"/>
          <w:numId w:val="3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The election by any Eligible Employee to participate in this Plan constitutes his or her acceptance of the terms of the Plan and his or her agreement to be bound hereby.</w:t>
      </w:r>
    </w:p>
    <w:p>
      <w:pPr>
        <w:spacing w:after="0" w:line="140" w:lineRule="exact"/>
        <w:rPr>
          <w:sz w:val="20"/>
          <w:szCs w:val="20"/>
          <w:color w:val="auto"/>
        </w:rPr>
      </w:pPr>
    </w:p>
    <w:p>
      <w:pPr>
        <w:ind w:left="660" w:hanging="652"/>
        <w:spacing w:after="0"/>
        <w:tabs>
          <w:tab w:leader="none" w:pos="660" w:val="left"/>
        </w:tabs>
        <w:numPr>
          <w:ilvl w:val="0"/>
          <w:numId w:val="3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720" w:firstLine="648"/>
        <w:spacing w:after="0" w:line="271" w:lineRule="auto"/>
        <w:rPr>
          <w:sz w:val="20"/>
          <w:szCs w:val="20"/>
          <w:color w:val="auto"/>
        </w:rPr>
      </w:pPr>
      <w:r>
        <w:rPr>
          <w:rFonts w:ascii="Times New Roman" w:cs="Times New Roman" w:eastAsia="Times New Roman" w:hAnsi="Times New Roman"/>
          <w:sz w:val="22"/>
          <w:szCs w:val="22"/>
          <w:color w:val="auto"/>
        </w:rPr>
        <w:t>This Plan shall be construed in accordance with the laws of the Commonwealth of Pennsylvania, to the extent not preempted by applicable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22" w:right="37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COMCAST CORPORATION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OPTION AWARD</w:t>
      </w:r>
    </w:p>
    <w:p>
      <w:pPr>
        <w:spacing w:after="0" w:line="3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This is a Non-Qualified Stock Option Award dated [●]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from Comcast Corporation (the “</w:t>
      </w:r>
      <w:r>
        <w:rPr>
          <w:rFonts w:ascii="Times New Roman" w:cs="Times New Roman" w:eastAsia="Times New Roman" w:hAnsi="Times New Roman"/>
          <w:sz w:val="20"/>
          <w:szCs w:val="20"/>
          <w:u w:val="single" w:color="auto"/>
          <w:color w:val="auto"/>
        </w:rPr>
        <w:t>Sponsor</w:t>
      </w:r>
      <w:r>
        <w:rPr>
          <w:rFonts w:ascii="Times New Roman" w:cs="Times New Roman" w:eastAsia="Times New Roman" w:hAnsi="Times New Roman"/>
          <w:sz w:val="20"/>
          <w:szCs w:val="20"/>
          <w:color w:val="auto"/>
        </w:rPr>
        <w:t>”) to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Optionee.</w:t>
      </w:r>
    </w:p>
    <w:p>
      <w:pPr>
        <w:spacing w:after="0" w:line="270" w:lineRule="exact"/>
        <w:rPr>
          <w:sz w:val="20"/>
          <w:szCs w:val="20"/>
          <w:color w:val="auto"/>
        </w:rPr>
      </w:pPr>
    </w:p>
    <w:p>
      <w:pPr>
        <w:ind w:left="340" w:hanging="332"/>
        <w:spacing w:after="0"/>
        <w:tabs>
          <w:tab w:leader="none" w:pos="34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herein:</w:t>
      </w:r>
    </w:p>
    <w:p>
      <w:pPr>
        <w:spacing w:after="0" w:line="107" w:lineRule="exact"/>
        <w:rPr>
          <w:rFonts w:ascii="Times New Roman" w:cs="Times New Roman" w:eastAsia="Times New Roman" w:hAnsi="Times New Roman"/>
          <w:sz w:val="20"/>
          <w:szCs w:val="20"/>
          <w:color w:val="auto"/>
        </w:rPr>
      </w:pPr>
    </w:p>
    <w:p>
      <w:pPr>
        <w:ind w:left="660" w:right="380" w:hanging="328"/>
        <w:spacing w:after="0" w:line="253" w:lineRule="auto"/>
        <w:tabs>
          <w:tab w:leader="none" w:pos="650"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8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Sponsor.</w:t>
      </w:r>
    </w:p>
    <w:p>
      <w:pPr>
        <w:spacing w:after="0" w:line="121" w:lineRule="exact"/>
        <w:rPr>
          <w:rFonts w:ascii="Times New Roman" w:cs="Times New Roman" w:eastAsia="Times New Roman" w:hAnsi="Times New Roman"/>
          <w:sz w:val="20"/>
          <w:szCs w:val="20"/>
          <w:color w:val="auto"/>
        </w:rPr>
      </w:pPr>
    </w:p>
    <w:p>
      <w:pPr>
        <w:ind w:left="660" w:right="60" w:hanging="328"/>
        <w:spacing w:after="0" w:line="261" w:lineRule="auto"/>
        <w:tabs>
          <w:tab w:leader="none" w:pos="650" w:val="left"/>
        </w:tabs>
        <w:numPr>
          <w:ilvl w:val="1"/>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xml:space="preserve">” [means (i) fraud; (ii) misappropriation; (iii) embezzlement; (iv) gross negligence in the performance of duties; (v) self-dealing; (vi) misrepresentation; (vii) dishonesty;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as to items (ix), (x) and (xi), if capable of being cured, such event or condition remains uncured following 30 days written notice thereof.]</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has the meaning set forth in the Optionee’s employment agreement with the Sponsor, or, if no such agreement exists or has expired prior to such time, then “Cause” means (i) fraud; (ii) embezzlement or other misappropriation of funds; (iii) gross negligence or willful misconduct in the performance of duties; (iv) self-dealing; (v) material misrepresentation with respect to the Sponsor; (vi) conviction of a felony; or (vii) material violation of the Employee Handbook, the Code of Conduct or any other written Company policy.]</w:t>
      </w:r>
      <w:r>
        <w:rPr>
          <w:rFonts w:ascii="Times New Roman" w:cs="Times New Roman" w:eastAsia="Times New Roman" w:hAnsi="Times New Roman"/>
          <w:sz w:val="24"/>
          <w:szCs w:val="24"/>
          <w:color w:val="auto"/>
          <w:vertAlign w:val="superscript"/>
        </w:rPr>
        <w:t>2</w:t>
      </w:r>
    </w:p>
    <w:p>
      <w:pPr>
        <w:spacing w:after="0" w:line="4" w:lineRule="exact"/>
        <w:rPr>
          <w:rFonts w:ascii="Times New Roman" w:cs="Times New Roman" w:eastAsia="Times New Roman" w:hAnsi="Times New Roman"/>
          <w:sz w:val="19"/>
          <w:szCs w:val="19"/>
          <w:color w:val="auto"/>
        </w:rPr>
      </w:pPr>
    </w:p>
    <w:p>
      <w:pPr>
        <w:ind w:left="660" w:right="140" w:hanging="328"/>
        <w:spacing w:after="0" w:line="244" w:lineRule="auto"/>
        <w:tabs>
          <w:tab w:leader="none" w:pos="648"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“Change in Control” as defined in the Plan.]</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in Control shall occur upon the completion of one or more proposed transactions. The Board’s determination shall be final and binding.]</w:t>
      </w:r>
      <w:r>
        <w:rPr>
          <w:rFonts w:ascii="Times New Roman" w:cs="Times New Roman" w:eastAsia="Times New Roman" w:hAnsi="Times New Roman"/>
          <w:sz w:val="25"/>
          <w:szCs w:val="25"/>
          <w:color w:val="auto"/>
          <w:vertAlign w:val="superscript"/>
        </w:rPr>
        <w:t>4</w:t>
      </w:r>
    </w:p>
    <w:p>
      <w:pPr>
        <w:spacing w:after="0" w:line="10" w:lineRule="exact"/>
        <w:rPr>
          <w:rFonts w:ascii="Times New Roman" w:cs="Times New Roman" w:eastAsia="Times New Roman" w:hAnsi="Times New Roman"/>
          <w:sz w:val="20"/>
          <w:szCs w:val="20"/>
          <w:color w:val="auto"/>
        </w:rPr>
      </w:pPr>
    </w:p>
    <w:p>
      <w:pPr>
        <w:ind w:left="660" w:right="280" w:hanging="328"/>
        <w:spacing w:after="0" w:line="283" w:lineRule="auto"/>
        <w:tabs>
          <w:tab w:leader="none" w:pos="650"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means the closing of the acquisition and sale of the Shares as described in, and subject to the provisions of, Paragraph 9 hereof.</w:t>
      </w:r>
    </w:p>
    <w:p>
      <w:pPr>
        <w:spacing w:after="0" w:line="3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of the Closing.</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those members of the Board who have been designated pursuant to the Plan to act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6459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1" w:lineRule="exact"/>
        <w:rPr>
          <w:sz w:val="20"/>
          <w:szCs w:val="20"/>
          <w:color w:val="auto"/>
        </w:rPr>
      </w:pPr>
    </w:p>
    <w:p>
      <w:pPr>
        <w:ind w:left="120" w:hanging="112"/>
        <w:spacing w:after="0"/>
        <w:tabs>
          <w:tab w:leader="none" w:pos="120" w:val="left"/>
        </w:tabs>
        <w:numPr>
          <w:ilvl w:val="0"/>
          <w:numId w:val="3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grants during and prior to 2022.</w:t>
      </w:r>
    </w:p>
    <w:p>
      <w:pPr>
        <w:spacing w:after="0" w:line="1" w:lineRule="exact"/>
        <w:rPr>
          <w:rFonts w:ascii="Times New Roman" w:cs="Times New Roman" w:eastAsia="Times New Roman" w:hAnsi="Times New Roman"/>
          <w:sz w:val="23"/>
          <w:szCs w:val="23"/>
          <w:color w:val="auto"/>
          <w:vertAlign w:val="superscript"/>
        </w:rPr>
      </w:pP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certain grants during and after 2021.</w:t>
      </w: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For certain grants during and after 2018.</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For certain grants prior to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240"/>
          </w:cols>
          <w:pgMar w:left="320" w:top="581" w:right="339" w:bottom="1440" w:gutter="0" w:footer="0" w:header="0"/>
        </w:sectPr>
      </w:pPr>
    </w:p>
    <w:bookmarkStart w:id="293" w:name="page294"/>
    <w:bookmarkEnd w:id="293"/>
    <w:p>
      <w:pPr>
        <w:ind w:left="660" w:hanging="328"/>
        <w:spacing w:after="0"/>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Sponsor’s Class A Common Stock, par value, $.01 per share.</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the Sponsor and each of its Subsidiaries.</w:t>
      </w:r>
    </w:p>
    <w:p>
      <w:pPr>
        <w:spacing w:after="0" w:line="107" w:lineRule="exact"/>
        <w:rPr>
          <w:rFonts w:ascii="Times New Roman" w:cs="Times New Roman" w:eastAsia="Times New Roman" w:hAnsi="Times New Roman"/>
          <w:sz w:val="20"/>
          <w:szCs w:val="20"/>
          <w:color w:val="auto"/>
        </w:rPr>
      </w:pPr>
    </w:p>
    <w:p>
      <w:pPr>
        <w:ind w:left="660" w:right="100" w:hanging="328"/>
        <w:spacing w:after="0" w:line="283" w:lineRule="auto"/>
        <w:tabs>
          <w:tab w:leader="none" w:pos="648"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Exercise</w:t>
      </w:r>
      <w:r>
        <w:rPr>
          <w:rFonts w:ascii="Times New Roman" w:cs="Times New Roman" w:eastAsia="Times New Roman" w:hAnsi="Times New Roman"/>
          <w:sz w:val="20"/>
          <w:szCs w:val="20"/>
          <w:color w:val="auto"/>
        </w:rPr>
        <w:t>” means the date on which the notice required by Paragraph 6 hereof is hand-delivered, placed in the United States mail postage prepaid, or delivered to a telegraph or telex facility.</w:t>
      </w:r>
    </w:p>
    <w:p>
      <w:pPr>
        <w:spacing w:after="0" w:line="3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means the date hereof, the date on which the Sponsor awarded the Option.</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a disability within the meaning of section 22(e)(3) of the Code.</w:t>
      </w:r>
    </w:p>
    <w:p>
      <w:pPr>
        <w:spacing w:after="0" w:line="121" w:lineRule="exact"/>
        <w:rPr>
          <w:rFonts w:ascii="Times New Roman" w:cs="Times New Roman" w:eastAsia="Times New Roman" w:hAnsi="Times New Roman"/>
          <w:sz w:val="20"/>
          <w:szCs w:val="20"/>
          <w:color w:val="auto"/>
        </w:rPr>
      </w:pPr>
    </w:p>
    <w:p>
      <w:pPr>
        <w:ind w:left="700" w:hanging="368"/>
        <w:spacing w:after="0"/>
        <w:tabs>
          <w:tab w:leader="none" w:pos="70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means the earliest of the following:</w:t>
      </w:r>
    </w:p>
    <w:p>
      <w:pPr>
        <w:spacing w:after="0" w:line="107" w:lineRule="exact"/>
        <w:rPr>
          <w:rFonts w:ascii="Times New Roman" w:cs="Times New Roman" w:eastAsia="Times New Roman" w:hAnsi="Times New Roman"/>
          <w:sz w:val="20"/>
          <w:szCs w:val="20"/>
          <w:color w:val="auto"/>
        </w:rPr>
      </w:pPr>
    </w:p>
    <w:p>
      <w:pPr>
        <w:ind w:left="980" w:right="200" w:hanging="324"/>
        <w:spacing w:after="0" w:line="267" w:lineRule="auto"/>
        <w:tabs>
          <w:tab w:leader="none" w:pos="968" w:val="left"/>
        </w:tabs>
        <w:numPr>
          <w:ilvl w:val="1"/>
          <w:numId w:val="3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Optionee’s Termination of Employment with the Company is due to any reason other than death, Disability, Retirement, Discharge Without Cause (as defined in the Optionee’s employment agreement with the Company), With Good Reason (as defined in the Optionee’s Employment Agreement) or Cause, the date 90 days following such Termination of Employment;</w:t>
      </w:r>
    </w:p>
    <w:p>
      <w:pPr>
        <w:spacing w:after="0" w:line="1" w:lineRule="exact"/>
        <w:rPr>
          <w:rFonts w:ascii="Times New Roman" w:cs="Times New Roman" w:eastAsia="Times New Roman" w:hAnsi="Times New Roman"/>
          <w:sz w:val="19"/>
          <w:szCs w:val="19"/>
          <w:color w:val="auto"/>
        </w:rPr>
      </w:pPr>
    </w:p>
    <w:p>
      <w:pPr>
        <w:ind w:left="980" w:right="60" w:hanging="324"/>
        <w:spacing w:after="0" w:line="263" w:lineRule="auto"/>
        <w:tabs>
          <w:tab w:leader="none" w:pos="968" w:val="left"/>
        </w:tabs>
        <w:numPr>
          <w:ilvl w:val="1"/>
          <w:numId w:val="3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Optionee’s Termination of Employment with the Company occurs after qualifying for Retirement, the date 39 months after the date of the Optionee’s Termination of Employment, subject to cancellation by the Committee pursuant to Paragraph 3[(b)];</w:t>
      </w:r>
    </w:p>
    <w:p>
      <w:pPr>
        <w:ind w:left="980" w:hanging="324"/>
        <w:spacing w:after="0" w:line="260" w:lineRule="auto"/>
        <w:tabs>
          <w:tab w:leader="none" w:pos="968"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Termination of Employment with the Company is due to Discharge Without Cause (as defined in the Optionee’s employment agreement) or With Good Reason (as defined in the Optionee’s employment agreement), the date that is 90 days following the first anniversary of the Termination of Employment;]</w:t>
      </w:r>
      <w:r>
        <w:rPr>
          <w:rFonts w:ascii="Times New Roman" w:cs="Times New Roman" w:eastAsia="Times New Roman" w:hAnsi="Times New Roman"/>
          <w:sz w:val="25"/>
          <w:szCs w:val="25"/>
          <w:color w:val="auto"/>
          <w:vertAlign w:val="superscript"/>
        </w:rPr>
        <w:t>5</w:t>
      </w:r>
    </w:p>
    <w:p>
      <w:pPr>
        <w:spacing w:after="0" w:line="127" w:lineRule="exact"/>
        <w:rPr>
          <w:sz w:val="20"/>
          <w:szCs w:val="20"/>
          <w:color w:val="auto"/>
        </w:rPr>
      </w:pPr>
    </w:p>
    <w:p>
      <w:pPr>
        <w:ind w:left="980" w:right="40" w:hanging="324"/>
        <w:spacing w:after="0" w:line="283" w:lineRule="auto"/>
        <w:tabs>
          <w:tab w:leader="none" w:pos="968"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Termination of Employment with the Company is due to any reason other than death, Disability, Retirement or Cause, the date 90 days following such Termination of Employment;</w:t>
      </w:r>
    </w:p>
    <w:p>
      <w:pPr>
        <w:spacing w:after="0" w:line="38" w:lineRule="exact"/>
        <w:rPr>
          <w:rFonts w:ascii="Times New Roman" w:cs="Times New Roman" w:eastAsia="Times New Roman" w:hAnsi="Times New Roman"/>
          <w:sz w:val="20"/>
          <w:szCs w:val="20"/>
          <w:color w:val="auto"/>
        </w:rPr>
      </w:pPr>
    </w:p>
    <w:p>
      <w:pPr>
        <w:ind w:left="980" w:right="280" w:hanging="324"/>
        <w:spacing w:after="0" w:line="310" w:lineRule="auto"/>
        <w:tabs>
          <w:tab w:leader="none" w:pos="968" w:val="left"/>
        </w:tabs>
        <w:numPr>
          <w:ilvl w:val="0"/>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cancellation by the Committee pursuant to Paragraph 3[(c)], if the Optionee’s Termination of Employment with the Company (other than a Termination of Employment with the Company for Cause) occurs after qualifying for Retirement,</w:t>
      </w:r>
    </w:p>
    <w:p>
      <w:pPr>
        <w:spacing w:after="0" w:line="16" w:lineRule="exact"/>
        <w:rPr>
          <w:rFonts w:ascii="Times New Roman" w:cs="Times New Roman" w:eastAsia="Times New Roman" w:hAnsi="Times New Roman"/>
          <w:sz w:val="19"/>
          <w:szCs w:val="19"/>
          <w:color w:val="auto"/>
        </w:rPr>
      </w:pPr>
    </w:p>
    <w:p>
      <w:pPr>
        <w:ind w:left="1620" w:right="100" w:hanging="316"/>
        <w:spacing w:after="0" w:line="261" w:lineRule="auto"/>
        <w:tabs>
          <w:tab w:leader="none" w:pos="1610"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third anniversary of the date of the Optionee’s Termination of Employment if, at the time of such Termination of Employment, the Optionee has completed at least ten (10) but less than fifteen (15) years of service with the Company;</w:t>
      </w:r>
    </w:p>
    <w:p>
      <w:pPr>
        <w:spacing w:after="0" w:line="73" w:lineRule="exact"/>
        <w:rPr>
          <w:rFonts w:ascii="Times New Roman" w:cs="Times New Roman" w:eastAsia="Times New Roman" w:hAnsi="Times New Roman"/>
          <w:sz w:val="20"/>
          <w:szCs w:val="20"/>
          <w:color w:val="auto"/>
        </w:rPr>
      </w:pPr>
    </w:p>
    <w:p>
      <w:pPr>
        <w:jc w:val="both"/>
        <w:ind w:left="1620" w:right="140" w:hanging="316"/>
        <w:spacing w:after="0" w:line="261" w:lineRule="auto"/>
        <w:tabs>
          <w:tab w:leader="none" w:pos="1608"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fifth anniversary of the date of the Optionee’s Termination of Employment if, at the time of such Termination of Employment, the Optionee has completed at least fifteen (15) but less than twenty (20) years of service with the Company; or</w:t>
      </w:r>
    </w:p>
    <w:p>
      <w:pPr>
        <w:spacing w:after="0" w:line="73" w:lineRule="exact"/>
        <w:rPr>
          <w:rFonts w:ascii="Times New Roman" w:cs="Times New Roman" w:eastAsia="Times New Roman" w:hAnsi="Times New Roman"/>
          <w:sz w:val="20"/>
          <w:szCs w:val="20"/>
          <w:color w:val="auto"/>
        </w:rPr>
      </w:pPr>
    </w:p>
    <w:p>
      <w:pPr>
        <w:ind w:left="1620" w:right="140" w:hanging="316"/>
        <w:spacing w:after="0" w:line="270" w:lineRule="auto"/>
        <w:tabs>
          <w:tab w:leader="none" w:pos="1610"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nine and one-half year anniversary of the date of the Optionee’s Termination of Employment if, at the time of such Termination of Employment, the Optionee has completed twenty (20) or more years of service with the Company;]</w:t>
      </w:r>
      <w:r>
        <w:rPr>
          <w:rFonts w:ascii="Times New Roman" w:cs="Times New Roman" w:eastAsia="Times New Roman" w:hAnsi="Times New Roman"/>
          <w:sz w:val="25"/>
          <w:szCs w:val="25"/>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6459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3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grants prior to 2016.</w:t>
      </w:r>
    </w:p>
    <w:p>
      <w:pPr>
        <w:ind w:left="120" w:hanging="112"/>
        <w:spacing w:after="0" w:line="204" w:lineRule="auto"/>
        <w:tabs>
          <w:tab w:leader="none" w:pos="120" w:val="left"/>
        </w:tabs>
        <w:numPr>
          <w:ilvl w:val="0"/>
          <w:numId w:val="3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grants during and after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220"/>
          </w:cols>
          <w:pgMar w:left="320" w:top="1413" w:right="359" w:bottom="1440" w:gutter="0" w:footer="0" w:header="0"/>
        </w:sectPr>
      </w:pPr>
    </w:p>
    <w:bookmarkStart w:id="294" w:name="page295"/>
    <w:bookmarkEnd w:id="294"/>
    <w:p>
      <w:pPr>
        <w:ind w:left="980" w:right="80" w:hanging="324"/>
        <w:spacing w:after="0" w:line="284" w:lineRule="auto"/>
        <w:tabs>
          <w:tab w:leader="none" w:pos="968"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Termination of Employment with the Company is because of death or Disability, the third anniversary of the date of the Optionee’s Termination of Employment because of such death or Disability;]</w:t>
      </w:r>
      <w:r>
        <w:rPr>
          <w:rFonts w:ascii="Times New Roman" w:cs="Times New Roman" w:eastAsia="Times New Roman" w:hAnsi="Times New Roman"/>
          <w:sz w:val="25"/>
          <w:szCs w:val="25"/>
          <w:color w:val="auto"/>
          <w:vertAlign w:val="superscript"/>
        </w:rPr>
        <w:t>7</w:t>
      </w:r>
    </w:p>
    <w:p>
      <w:pPr>
        <w:spacing w:after="0" w:line="319" w:lineRule="exact"/>
        <w:rPr>
          <w:sz w:val="20"/>
          <w:szCs w:val="20"/>
          <w:color w:val="auto"/>
        </w:rPr>
      </w:pPr>
    </w:p>
    <w:p>
      <w:pPr>
        <w:ind w:left="980" w:right="120" w:hanging="324"/>
        <w:spacing w:after="0" w:line="283" w:lineRule="auto"/>
        <w:tabs>
          <w:tab w:leader="none" w:pos="968"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Termination of Employment with the Company is due to any reason other than death, Disability, Cause, or a Retirement Termination, the date 90 days following such Termination of Employment</w:t>
      </w:r>
    </w:p>
    <w:p>
      <w:pPr>
        <w:spacing w:after="0" w:line="38" w:lineRule="exact"/>
        <w:rPr>
          <w:rFonts w:ascii="Times New Roman" w:cs="Times New Roman" w:eastAsia="Times New Roman" w:hAnsi="Times New Roman"/>
          <w:sz w:val="20"/>
          <w:szCs w:val="20"/>
          <w:color w:val="auto"/>
        </w:rPr>
      </w:pPr>
    </w:p>
    <w:p>
      <w:pPr>
        <w:ind w:left="980" w:right="420" w:hanging="324"/>
        <w:spacing w:after="0" w:line="283" w:lineRule="auto"/>
        <w:tabs>
          <w:tab w:leader="none" w:pos="968"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Termination of Employment with the Company is because of death or Disability, the day before the tenth anniversary of the Date of Grant</w:t>
      </w:r>
    </w:p>
    <w:p>
      <w:pPr>
        <w:spacing w:after="0" w:line="51" w:lineRule="exact"/>
        <w:rPr>
          <w:rFonts w:ascii="Times New Roman" w:cs="Times New Roman" w:eastAsia="Times New Roman" w:hAnsi="Times New Roman"/>
          <w:sz w:val="20"/>
          <w:szCs w:val="20"/>
          <w:color w:val="auto"/>
        </w:rPr>
      </w:pPr>
    </w:p>
    <w:p>
      <w:pPr>
        <w:ind w:left="980" w:hanging="324"/>
        <w:spacing w:after="0" w:line="269" w:lineRule="auto"/>
        <w:tabs>
          <w:tab w:leader="none" w:pos="968"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cancellation by the Committee pursuant to Paragraph 3(d), following the Optionee’s Retirement Termination, the day before the tenth anniversary of the Date of Grant] </w:t>
      </w:r>
      <w:r>
        <w:rPr>
          <w:rFonts w:ascii="Times New Roman" w:cs="Times New Roman" w:eastAsia="Times New Roman" w:hAnsi="Times New Roman"/>
          <w:sz w:val="25"/>
          <w:szCs w:val="25"/>
          <w:color w:val="auto"/>
          <w:vertAlign w:val="superscript"/>
        </w:rPr>
        <w:t>8</w:t>
      </w:r>
    </w:p>
    <w:p>
      <w:pPr>
        <w:ind w:left="960" w:hanging="304"/>
        <w:spacing w:after="0"/>
        <w:tabs>
          <w:tab w:leader="none" w:pos="960" w:val="left"/>
        </w:tabs>
        <w:numPr>
          <w:ilvl w:val="1"/>
          <w:numId w:val="3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Optionee’s Termination of Employment with the Company is for Cause, the date of such Termination of Employment; or</w:t>
      </w:r>
    </w:p>
    <w:p>
      <w:pPr>
        <w:spacing w:after="0" w:line="119" w:lineRule="exact"/>
        <w:rPr>
          <w:rFonts w:ascii="Times New Roman" w:cs="Times New Roman" w:eastAsia="Times New Roman" w:hAnsi="Times New Roman"/>
          <w:sz w:val="19"/>
          <w:szCs w:val="19"/>
          <w:color w:val="auto"/>
        </w:rPr>
      </w:pPr>
    </w:p>
    <w:p>
      <w:pPr>
        <w:ind w:left="960" w:hanging="304"/>
        <w:spacing w:after="0"/>
        <w:tabs>
          <w:tab w:leader="none" w:pos="960"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day before the tenth anniversary of the Date of Grant.</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the Fair Market Value of a Share, as determined pursuant to the Plan.</w:t>
      </w:r>
    </w:p>
    <w:p>
      <w:pPr>
        <w:spacing w:after="0" w:line="121" w:lineRule="exact"/>
        <w:rPr>
          <w:rFonts w:ascii="Times New Roman" w:cs="Times New Roman" w:eastAsia="Times New Roman" w:hAnsi="Times New Roman"/>
          <w:sz w:val="20"/>
          <w:szCs w:val="20"/>
          <w:color w:val="auto"/>
        </w:rPr>
      </w:pPr>
    </w:p>
    <w:p>
      <w:pPr>
        <w:ind w:left="660" w:right="420" w:hanging="328"/>
        <w:spacing w:after="0" w:line="269" w:lineRule="auto"/>
        <w:tabs>
          <w:tab w:leader="none" w:pos="648"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Long-Term Incentive Awards Summary Schedule</w:t>
      </w:r>
      <w:r>
        <w:rPr>
          <w:rFonts w:ascii="Times New Roman" w:cs="Times New Roman" w:eastAsia="Times New Roman" w:hAnsi="Times New Roman"/>
          <w:sz w:val="20"/>
          <w:szCs w:val="20"/>
          <w:color w:val="auto"/>
        </w:rPr>
        <w:t>” means the schedule attached hereto, which sets forth specific information relating to the grant, vesting and exercise of the Option.]</w:t>
      </w:r>
      <w:r>
        <w:rPr>
          <w:rFonts w:ascii="Times New Roman" w:cs="Times New Roman" w:eastAsia="Times New Roman" w:hAnsi="Times New Roman"/>
          <w:sz w:val="25"/>
          <w:szCs w:val="25"/>
          <w:color w:val="auto"/>
          <w:vertAlign w:val="superscript"/>
        </w:rPr>
        <w:t>9</w:t>
      </w:r>
    </w:p>
    <w:p>
      <w:pPr>
        <w:ind w:left="640" w:hanging="308"/>
        <w:spacing w:after="0"/>
        <w:tabs>
          <w:tab w:leader="none" w:pos="640"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means the option hereby granted.</w:t>
      </w:r>
    </w:p>
    <w:p>
      <w:pPr>
        <w:spacing w:after="0" w:line="107" w:lineRule="exact"/>
        <w:rPr>
          <w:rFonts w:ascii="Times New Roman" w:cs="Times New Roman" w:eastAsia="Times New Roman" w:hAnsi="Times New Roman"/>
          <w:sz w:val="20"/>
          <w:szCs w:val="20"/>
          <w:color w:val="auto"/>
        </w:rPr>
      </w:pPr>
    </w:p>
    <w:p>
      <w:pPr>
        <w:ind w:left="660" w:right="60" w:hanging="328"/>
        <w:spacing w:after="0" w:line="247" w:lineRule="auto"/>
        <w:tabs>
          <w:tab w:leader="none" w:pos="655"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 Price</w:t>
      </w:r>
      <w:r>
        <w:rPr>
          <w:rFonts w:ascii="Times New Roman" w:cs="Times New Roman" w:eastAsia="Times New Roman" w:hAnsi="Times New Roman"/>
          <w:sz w:val="20"/>
          <w:szCs w:val="20"/>
          <w:color w:val="auto"/>
        </w:rPr>
        <w:t>” [means the «strike price» per Share, as calculated pursuant to the Plan.]</w:t>
      </w: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20"/>
          <w:szCs w:val="20"/>
          <w:color w:val="auto"/>
        </w:rPr>
        <w:t xml:space="preserve"> [means the per Share exercise price of the Option, as calculated pursuant to the Plan and set forth on the attached Long-Term Incentive Awards Summary Schedule.]</w:t>
      </w:r>
      <w:r>
        <w:rPr>
          <w:rFonts w:ascii="Times New Roman" w:cs="Times New Roman" w:eastAsia="Times New Roman" w:hAnsi="Times New Roman"/>
          <w:sz w:val="25"/>
          <w:szCs w:val="25"/>
          <w:color w:val="auto"/>
          <w:vertAlign w:val="superscript"/>
        </w:rPr>
        <w:t>11</w:t>
      </w:r>
    </w:p>
    <w:p>
      <w:pPr>
        <w:spacing w:after="0" w:line="2" w:lineRule="exact"/>
        <w:rPr>
          <w:rFonts w:ascii="Times New Roman" w:cs="Times New Roman" w:eastAsia="Times New Roman" w:hAnsi="Times New Roman"/>
          <w:sz w:val="20"/>
          <w:szCs w:val="20"/>
          <w:color w:val="auto"/>
        </w:rPr>
      </w:pPr>
    </w:p>
    <w:p>
      <w:pPr>
        <w:ind w:left="660" w:right="100" w:hanging="328"/>
        <w:spacing w:after="0" w:line="269" w:lineRule="auto"/>
        <w:tabs>
          <w:tab w:leader="none" w:pos="653"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Optionee</w:t>
      </w:r>
      <w:r>
        <w:rPr>
          <w:rFonts w:ascii="Times New Roman" w:cs="Times New Roman" w:eastAsia="Times New Roman" w:hAnsi="Times New Roman"/>
          <w:sz w:val="20"/>
          <w:szCs w:val="20"/>
          <w:color w:val="auto"/>
        </w:rPr>
        <w:t>” means the individual to whom the Option has been granted as identified on the attached Long-Term Incentive Awards Summary Schedule.]</w:t>
      </w:r>
      <w:r>
        <w:rPr>
          <w:rFonts w:ascii="Times New Roman" w:cs="Times New Roman" w:eastAsia="Times New Roman" w:hAnsi="Times New Roman"/>
          <w:sz w:val="25"/>
          <w:szCs w:val="25"/>
          <w:color w:val="auto"/>
          <w:vertAlign w:val="superscript"/>
        </w:rPr>
        <w:t>12</w:t>
      </w:r>
    </w:p>
    <w:p>
      <w:pPr>
        <w:ind w:left="660" w:hanging="328"/>
        <w:spacing w:after="0"/>
        <w:tabs>
          <w:tab w:leader="none" w:pos="660"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corporation, a partnership, an association, a trust or any other entity or organization.</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the Comcast Corporation 2003 Stock Option Plan, incorporated herein by reference.</w:t>
      </w:r>
    </w:p>
    <w:p>
      <w:pPr>
        <w:spacing w:after="0" w:line="121" w:lineRule="exact"/>
        <w:rPr>
          <w:rFonts w:ascii="Times New Roman" w:cs="Times New Roman" w:eastAsia="Times New Roman" w:hAnsi="Times New Roman"/>
          <w:sz w:val="20"/>
          <w:szCs w:val="20"/>
          <w:color w:val="auto"/>
        </w:rPr>
      </w:pPr>
    </w:p>
    <w:p>
      <w:pPr>
        <w:jc w:val="both"/>
        <w:ind w:left="660" w:right="100" w:hanging="328"/>
        <w:spacing w:after="0" w:line="243" w:lineRule="auto"/>
        <w:tabs>
          <w:tab w:leader="none" w:pos="648"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An Optionee will be qualified for Retirement [after reaching age 62 and completing 10 or more years of service with the Company]</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20"/>
          <w:szCs w:val="20"/>
          <w:color w:val="auto"/>
        </w:rPr>
        <w:t>[ at such time when the sum of the Optionee’s age and completed Years of Service equals or exceeds 70 (provided that the Optionee has at least reached age 62 and completed 5 or more Years of Service)]</w:t>
      </w:r>
      <w:r>
        <w:rPr>
          <w:rFonts w:ascii="Times New Roman" w:cs="Times New Roman" w:eastAsia="Times New Roman" w:hAnsi="Times New Roman"/>
          <w:sz w:val="25"/>
          <w:szCs w:val="25"/>
          <w:color w:val="auto"/>
          <w:vertAlign w:val="superscript"/>
        </w:rPr>
        <w:t>14</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6459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29" w:lineRule="exact"/>
        <w:rPr>
          <w:sz w:val="20"/>
          <w:szCs w:val="20"/>
          <w:color w:val="auto"/>
        </w:rPr>
      </w:pPr>
    </w:p>
    <w:p>
      <w:pPr>
        <w:ind w:left="120" w:hanging="112"/>
        <w:spacing w:after="0"/>
        <w:tabs>
          <w:tab w:leader="none" w:pos="120" w:val="left"/>
        </w:tabs>
        <w:numPr>
          <w:ilvl w:val="0"/>
          <w:numId w:val="3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grants during and after 2018.</w:t>
      </w:r>
    </w:p>
    <w:p>
      <w:pPr>
        <w:ind w:left="120" w:hanging="112"/>
        <w:spacing w:after="0" w:line="204" w:lineRule="auto"/>
        <w:tabs>
          <w:tab w:leader="none" w:pos="120" w:val="left"/>
        </w:tabs>
        <w:numPr>
          <w:ilvl w:val="0"/>
          <w:numId w:val="3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grants during and after 2021.</w:t>
      </w:r>
    </w:p>
    <w:p>
      <w:pPr>
        <w:spacing w:after="0" w:line="2" w:lineRule="exact"/>
        <w:rPr>
          <w:rFonts w:ascii="Times New Roman" w:cs="Times New Roman" w:eastAsia="Times New Roman" w:hAnsi="Times New Roman"/>
          <w:sz w:val="23"/>
          <w:szCs w:val="23"/>
          <w:color w:val="auto"/>
          <w:vertAlign w:val="superscript"/>
        </w:rPr>
      </w:pP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For certain grants during and after 2016.</w:t>
      </w: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For certain grants prior to 2016.</w:t>
      </w: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For certain grants during and after 2016.</w:t>
      </w: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For certain grants during and after 2016.</w:t>
      </w: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 xml:space="preserve"> For certain grants during and prior to 2022.</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For certain grants during and after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080"/>
          </w:cols>
          <w:pgMar w:left="320" w:top="1413" w:right="499" w:bottom="1440" w:gutter="0" w:footer="0" w:header="0"/>
        </w:sectPr>
      </w:pPr>
    </w:p>
    <w:bookmarkStart w:id="295" w:name="page296"/>
    <w:bookmarkEnd w:id="295"/>
    <w:p>
      <w:pPr>
        <w:ind w:left="660" w:right="80" w:hanging="328"/>
        <w:spacing w:after="0" w:line="243" w:lineRule="auto"/>
        <w:tabs>
          <w:tab w:leader="none" w:pos="651"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 the «Total Options» shares of Common Stock, which are the subject of the Option hereby granted.]</w:t>
      </w:r>
      <w:r>
        <w:rPr>
          <w:rFonts w:ascii="Times New Roman" w:cs="Times New Roman" w:eastAsia="Times New Roman" w:hAnsi="Times New Roman"/>
          <w:sz w:val="25"/>
          <w:szCs w:val="25"/>
          <w:color w:val="auto"/>
          <w:vertAlign w:val="superscript"/>
        </w:rPr>
        <w:t>15</w:t>
      </w:r>
      <w:r>
        <w:rPr>
          <w:rFonts w:ascii="Times New Roman" w:cs="Times New Roman" w:eastAsia="Times New Roman" w:hAnsi="Times New Roman"/>
          <w:sz w:val="20"/>
          <w:szCs w:val="20"/>
          <w:color w:val="auto"/>
        </w:rPr>
        <w:t xml:space="preserve"> [mean the total number of shares of Common Stock, which are the subject of the Option hereby granted, as set forth on the attached Long-Term Incentive Awards Summary Schedule.]</w:t>
      </w:r>
      <w:r>
        <w:rPr>
          <w:rFonts w:ascii="Times New Roman" w:cs="Times New Roman" w:eastAsia="Times New Roman" w:hAnsi="Times New Roman"/>
          <w:sz w:val="25"/>
          <w:szCs w:val="25"/>
          <w:color w:val="auto"/>
          <w:vertAlign w:val="superscript"/>
        </w:rPr>
        <w:t>16</w:t>
      </w:r>
    </w:p>
    <w:p>
      <w:pPr>
        <w:spacing w:after="0" w:line="8" w:lineRule="exact"/>
        <w:rPr>
          <w:rFonts w:ascii="Times New Roman" w:cs="Times New Roman" w:eastAsia="Times New Roman" w:hAnsi="Times New Roman"/>
          <w:sz w:val="20"/>
          <w:szCs w:val="20"/>
          <w:color w:val="auto"/>
        </w:rPr>
      </w:pPr>
    </w:p>
    <w:p>
      <w:pPr>
        <w:ind w:left="660" w:right="540" w:hanging="328"/>
        <w:spacing w:after="0" w:line="269" w:lineRule="auto"/>
        <w:tabs>
          <w:tab w:leader="none" w:pos="648"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Sponsor</w:t>
      </w:r>
      <w:r>
        <w:rPr>
          <w:rFonts w:ascii="Times New Roman" w:cs="Times New Roman" w:eastAsia="Times New Roman" w:hAnsi="Times New Roman"/>
          <w:sz w:val="20"/>
          <w:szCs w:val="20"/>
          <w:color w:val="auto"/>
        </w:rPr>
        <w:t>” means Comcast Corporation, a Pennsylvania corporation, including any successor thereto by merger, consolidation, acquisition of all or substantially all the assets thereof, or otherwise.</w:t>
      </w:r>
    </w:p>
    <w:p>
      <w:pPr>
        <w:spacing w:after="0" w:line="64" w:lineRule="exact"/>
        <w:rPr>
          <w:rFonts w:ascii="Times New Roman" w:cs="Times New Roman" w:eastAsia="Times New Roman" w:hAnsi="Times New Roman"/>
          <w:sz w:val="20"/>
          <w:szCs w:val="20"/>
          <w:color w:val="auto"/>
        </w:rPr>
      </w:pPr>
    </w:p>
    <w:p>
      <w:pPr>
        <w:ind w:left="660" w:right="400" w:hanging="328"/>
        <w:spacing w:after="0" w:line="283" w:lineRule="auto"/>
        <w:tabs>
          <w:tab w:leader="none" w:pos="648"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business entity that, at the time in question, is a subsidiary of the Sponsor within the meaning of section 424(f) of the Code.</w:t>
      </w:r>
    </w:p>
    <w:p>
      <w:pPr>
        <w:spacing w:after="0" w:line="38" w:lineRule="exact"/>
        <w:rPr>
          <w:rFonts w:ascii="Times New Roman" w:cs="Times New Roman" w:eastAsia="Times New Roman" w:hAnsi="Times New Roman"/>
          <w:sz w:val="20"/>
          <w:szCs w:val="20"/>
          <w:color w:val="auto"/>
        </w:rPr>
      </w:pPr>
    </w:p>
    <w:p>
      <w:pPr>
        <w:ind w:left="660" w:right="120" w:hanging="328"/>
        <w:spacing w:after="0" w:line="258" w:lineRule="auto"/>
        <w:tabs>
          <w:tab w:leader="none" w:pos="650"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Ten Percent Shareholder</w:t>
      </w:r>
      <w:r>
        <w:rPr>
          <w:rFonts w:ascii="Times New Roman" w:cs="Times New Roman" w:eastAsia="Times New Roman" w:hAnsi="Times New Roman"/>
          <w:sz w:val="20"/>
          <w:szCs w:val="20"/>
          <w:color w:val="auto"/>
        </w:rPr>
        <w:t xml:space="preserve">”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employer corporation is the Sponsor or a Subsidiary.</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(aa)“</w:t>
      </w:r>
      <w:r>
        <w:rPr>
          <w:rFonts w:ascii="Times New Roman" w:cs="Times New Roman" w:eastAsia="Times New Roman" w:hAnsi="Times New Roman"/>
          <w:sz w:val="20"/>
          <w:szCs w:val="20"/>
          <w:u w:val="single" w:color="auto"/>
          <w:color w:val="auto"/>
        </w:rPr>
        <w:t>Terminating Event</w:t>
      </w:r>
      <w:r>
        <w:rPr>
          <w:rFonts w:ascii="Times New Roman" w:cs="Times New Roman" w:eastAsia="Times New Roman" w:hAnsi="Times New Roman"/>
          <w:sz w:val="20"/>
          <w:szCs w:val="20"/>
          <w:color w:val="auto"/>
        </w:rPr>
        <w:t>” means any of the following events:</w:t>
      </w:r>
    </w:p>
    <w:p>
      <w:pPr>
        <w:spacing w:after="0" w:line="22" w:lineRule="exact"/>
        <w:rPr>
          <w:sz w:val="20"/>
          <w:szCs w:val="20"/>
          <w:color w:val="auto"/>
        </w:rPr>
      </w:pPr>
    </w:p>
    <w:p>
      <w:pPr>
        <w:ind w:left="960" w:hanging="304"/>
        <w:spacing w:after="0"/>
        <w:tabs>
          <w:tab w:leader="none" w:pos="960"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liquidation of the Sponsor; or</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w:t>
      </w:r>
    </w:p>
    <w:p>
      <w:pPr>
        <w:spacing w:after="0" w:line="6" w:lineRule="exact"/>
        <w:rPr>
          <w:sz w:val="20"/>
          <w:szCs w:val="20"/>
          <w:color w:val="auto"/>
        </w:rPr>
      </w:pPr>
    </w:p>
    <w:p>
      <w:pPr>
        <w:ind w:left="660" w:right="180" w:hanging="323"/>
        <w:spacing w:after="0" w:line="261" w:lineRule="auto"/>
        <w:rPr>
          <w:sz w:val="20"/>
          <w:szCs w:val="20"/>
          <w:color w:val="auto"/>
        </w:rPr>
      </w:pPr>
      <w:r>
        <w:rPr>
          <w:rFonts w:ascii="Times New Roman" w:cs="Times New Roman" w:eastAsia="Times New Roman" w:hAnsi="Times New Roman"/>
          <w:sz w:val="19"/>
          <w:szCs w:val="19"/>
          <w:color w:val="auto"/>
        </w:rPr>
        <w:t>(ab)“</w:t>
      </w:r>
      <w:r>
        <w:rPr>
          <w:rFonts w:ascii="Times New Roman" w:cs="Times New Roman" w:eastAsia="Times New Roman" w:hAnsi="Times New Roman"/>
          <w:sz w:val="19"/>
          <w:szCs w:val="19"/>
          <w:u w:val="single" w:color="auto"/>
          <w:color w:val="auto"/>
        </w:rPr>
        <w:t>Termination of Employment</w:t>
      </w:r>
      <w:r>
        <w:rPr>
          <w:rFonts w:ascii="Times New Roman" w:cs="Times New Roman" w:eastAsia="Times New Roman" w:hAnsi="Times New Roman"/>
          <w:sz w:val="19"/>
          <w:szCs w:val="19"/>
          <w:color w:val="auto"/>
        </w:rPr>
        <w:t>” means the Optionee’s termination of employment. For purposes of the Plan and this Award, the Optionee’s Termination of Employment occurs on the date the Optionee ceases to have a regular obligation to perform services for the Company, without regard to whether (i) the Optionee continues on the Company’s payroll for regular, severance or other pay or</w:t>
      </w:r>
    </w:p>
    <w:p>
      <w:pPr>
        <w:spacing w:after="0" w:line="3" w:lineRule="exact"/>
        <w:rPr>
          <w:sz w:val="20"/>
          <w:szCs w:val="20"/>
          <w:color w:val="auto"/>
        </w:rPr>
      </w:pPr>
    </w:p>
    <w:p>
      <w:pPr>
        <w:ind w:left="660" w:hanging="4"/>
        <w:spacing w:after="0" w:line="248" w:lineRule="auto"/>
        <w:tabs>
          <w:tab w:leader="none" w:pos="951"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86" w:lineRule="exact"/>
        <w:rPr>
          <w:sz w:val="20"/>
          <w:szCs w:val="20"/>
          <w:color w:val="auto"/>
        </w:rPr>
      </w:pPr>
    </w:p>
    <w:p>
      <w:pPr>
        <w:ind w:left="660" w:right="160" w:hanging="323"/>
        <w:spacing w:after="0" w:line="283" w:lineRule="auto"/>
        <w:rPr>
          <w:sz w:val="20"/>
          <w:szCs w:val="20"/>
          <w:color w:val="auto"/>
        </w:rPr>
      </w:pPr>
      <w:r>
        <w:rPr>
          <w:rFonts w:ascii="Times New Roman" w:cs="Times New Roman" w:eastAsia="Times New Roman" w:hAnsi="Times New Roman"/>
          <w:sz w:val="20"/>
          <w:szCs w:val="20"/>
          <w:color w:val="auto"/>
        </w:rPr>
        <w:t>(ac)“</w:t>
      </w:r>
      <w:r>
        <w:rPr>
          <w:rFonts w:ascii="Times New Roman" w:cs="Times New Roman" w:eastAsia="Times New Roman" w:hAnsi="Times New Roman"/>
          <w:sz w:val="20"/>
          <w:szCs w:val="20"/>
          <w:u w:val="single" w:color="auto"/>
          <w:color w:val="auto"/>
        </w:rPr>
        <w:t>Third Party</w:t>
      </w:r>
      <w:r>
        <w:rPr>
          <w:rFonts w:ascii="Times New Roman" w:cs="Times New Roman" w:eastAsia="Times New Roman" w:hAnsi="Times New Roman"/>
          <w:sz w:val="20"/>
          <w:szCs w:val="20"/>
          <w:color w:val="auto"/>
        </w:rPr>
        <w:t>” means any Person other than a Company, together with such Person’s Affiliates, provided that the term “Third Party” shall not include the Sponsor or an Affiliate of the Sponsor.</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(ad)“</w:t>
      </w:r>
      <w:r>
        <w:rPr>
          <w:rFonts w:ascii="Times New Roman" w:cs="Times New Roman" w:eastAsia="Times New Roman" w:hAnsi="Times New Roman"/>
          <w:sz w:val="20"/>
          <w:szCs w:val="20"/>
          <w:u w:val="single" w:color="auto"/>
          <w:color w:val="auto"/>
        </w:rPr>
        <w:t>Years of Service</w:t>
      </w:r>
      <w:r>
        <w:rPr>
          <w:rFonts w:ascii="Times New Roman" w:cs="Times New Roman" w:eastAsia="Times New Roman" w:hAnsi="Times New Roman"/>
          <w:sz w:val="20"/>
          <w:szCs w:val="20"/>
          <w:color w:val="auto"/>
          <w:highlight w:val="white"/>
        </w:rPr>
        <w:t>” means completed continuous years of service as reflected in the personnel records of the Company.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(ae)“</w:t>
      </w:r>
      <w:r>
        <w:rPr>
          <w:rFonts w:ascii="Times New Roman" w:cs="Times New Roman" w:eastAsia="Times New Roman" w:hAnsi="Times New Roman"/>
          <w:sz w:val="20"/>
          <w:szCs w:val="20"/>
          <w:u w:val="single" w:color="auto"/>
          <w:color w:val="auto"/>
        </w:rPr>
        <w:t>1933 Act</w:t>
      </w:r>
      <w:r>
        <w:rPr>
          <w:rFonts w:ascii="Times New Roman" w:cs="Times New Roman" w:eastAsia="Times New Roman" w:hAnsi="Times New Roman"/>
          <w:sz w:val="20"/>
          <w:szCs w:val="20"/>
          <w:color w:val="auto"/>
        </w:rPr>
        <w:t>” means the Securities Act of 1933, as amended.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(af) “</w:t>
      </w:r>
      <w:r>
        <w:rPr>
          <w:rFonts w:ascii="Times New Roman" w:cs="Times New Roman" w:eastAsia="Times New Roman" w:hAnsi="Times New Roman"/>
          <w:sz w:val="20"/>
          <w:szCs w:val="20"/>
          <w:u w:val="single" w:color="auto"/>
          <w:color w:val="auto"/>
        </w:rPr>
        <w:t>1934 Act</w:t>
      </w:r>
      <w:r>
        <w:rPr>
          <w:rFonts w:ascii="Times New Roman" w:cs="Times New Roman" w:eastAsia="Times New Roman" w:hAnsi="Times New Roman"/>
          <w:sz w:val="20"/>
          <w:szCs w:val="20"/>
          <w:color w:val="auto"/>
        </w:rPr>
        <w:t>” means the Securities Exchange Act of 1934, as amended.</w:t>
      </w:r>
    </w:p>
    <w:p>
      <w:pPr>
        <w:spacing w:after="0" w:line="121" w:lineRule="exact"/>
        <w:rPr>
          <w:sz w:val="20"/>
          <w:szCs w:val="20"/>
          <w:color w:val="auto"/>
        </w:rPr>
      </w:pPr>
    </w:p>
    <w:p>
      <w:pPr>
        <w:ind w:left="340" w:right="540" w:hanging="332"/>
        <w:spacing w:after="0" w:line="283" w:lineRule="auto"/>
        <w:tabs>
          <w:tab w:leader="none" w:pos="34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Subject to the terms and conditions set forth herein and in the Plan, the Sponsor hereby grants to the Optionee the Option to purchase any or all of the Shares.</w:t>
      </w:r>
    </w:p>
    <w:p>
      <w:pPr>
        <w:spacing w:after="0" w:line="3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of Exercise of Options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50" w:val="left"/>
        </w:tabs>
        <w:numPr>
          <w:ilvl w:val="1"/>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Paragraph 3(b) or 4, the Option may be exercised after such time or times as set forth below, and shall remain exercisable until the Expiration Date, when the right to exercise shall terminate absolutely: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459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6" w:lineRule="exact"/>
        <w:rPr>
          <w:sz w:val="20"/>
          <w:szCs w:val="20"/>
          <w:color w:val="auto"/>
        </w:rPr>
      </w:pPr>
    </w:p>
    <w:p>
      <w:pPr>
        <w:ind w:left="160" w:hanging="152"/>
        <w:spacing w:after="0"/>
        <w:tabs>
          <w:tab w:leader="none" w:pos="160" w:val="left"/>
        </w:tabs>
        <w:numPr>
          <w:ilvl w:val="0"/>
          <w:numId w:val="3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prior to 2016.</w:t>
      </w:r>
    </w:p>
    <w:p>
      <w:pPr>
        <w:spacing w:after="0" w:line="1"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3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220"/>
          </w:cols>
          <w:pgMar w:left="320" w:top="1413" w:right="359" w:bottom="1440" w:gutter="0" w:footer="0" w:header="0"/>
        </w:sectPr>
      </w:pPr>
    </w:p>
    <w:bookmarkStart w:id="296" w:name="page297"/>
    <w:bookmarkEnd w:id="296"/>
    <w:p>
      <w:pPr>
        <w:ind w:left="660"/>
        <w:spacing w:after="0"/>
        <w:rPr>
          <w:sz w:val="20"/>
          <w:szCs w:val="20"/>
          <w:color w:val="auto"/>
        </w:rPr>
      </w:pPr>
      <w:r>
        <w:rPr>
          <w:rFonts w:ascii="Times New Roman" w:cs="Times New Roman" w:eastAsia="Times New Roman" w:hAnsi="Times New Roman"/>
          <w:sz w:val="20"/>
          <w:szCs w:val="20"/>
          <w:color w:val="auto"/>
        </w:rPr>
        <w:t>«Vest_Year_2» [●] of the Shares subject to the Option may be exercised following the second anniversary of the Date of Grant.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«Vest_Year_3» [●] of the Shares subject to the Option may be exercised following the second anniversary of the Date of Grant.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«Vest_Year_4» [●] of the Shares subject to the Option may be exercised following the second anniversary of the Date of Grant.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«Vest_Year_5» [●] of the Shares subject to the Option may be exercised following the second anniversary of the Date of Grant.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«Vest_Year_6» [●] of the Shares subject to the Option may be exercised following the second anniversary of the Date of Grant.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«Vest_Year_7» [●] of the Shares subject to the Option may be exercised following the second anniversary of the Date of Grant.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«Vest_Year_8» [●] of the Shares subject to the Option may be exercised following the second anniversary of the Date of Grant.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«Vest_Year_9» [●] of the Shares subject to the Option may be exercised following the second anniversary of the Date of Grant.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«Vest_Year_9.5» [●] of the Shares subject to the Option may be exercised following the second anniversary of the Date of Grant.</w:t>
      </w:r>
    </w:p>
    <w:p>
      <w:pPr>
        <w:spacing w:after="0" w:line="108" w:lineRule="exact"/>
        <w:rPr>
          <w:sz w:val="20"/>
          <w:szCs w:val="20"/>
          <w:color w:val="auto"/>
        </w:rPr>
      </w:pPr>
    </w:p>
    <w:p>
      <w:pPr>
        <w:ind w:left="660" w:right="20" w:hanging="328"/>
        <w:spacing w:after="0" w:line="254" w:lineRule="auto"/>
        <w:tabs>
          <w:tab w:leader="none" w:pos="648"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Shares subject to the Option shall first become exercisable following the Optionee’s Termination of Employment for any reason other than death or Disability, after qualifying for Retirement or due to Discharge Without Cause (as defined in the Optionee’s employment agreement) or With Good Reason (as defined in the Optionee’s employment agreement). All Shares subject to the Option shall vest and become exercisable upon the Optionee’s Termination of Employment because of death or Disability. Furthermore, the Option shall continue to vest and become exercisable in accordance with Paragraph 3(a) for a period of three years following the Optionee’s Termination of Employment after a qualifying retirement; provided, however, that the Option will be subject to cancellation by the Committee, in its sole discretion, if the Optionee breaches either of the following non-solicitation or non-competition obligations during the 39-month period following such Termination of Employment:]</w:t>
      </w:r>
      <w:r>
        <w:rPr>
          <w:rFonts w:ascii="Times New Roman" w:cs="Times New Roman" w:eastAsia="Times New Roman" w:hAnsi="Times New Roman"/>
          <w:sz w:val="25"/>
          <w:szCs w:val="25"/>
          <w:color w:val="auto"/>
          <w:vertAlign w:val="superscript"/>
        </w:rPr>
        <w:t>17</w:t>
      </w:r>
    </w:p>
    <w:p>
      <w:pPr>
        <w:spacing w:after="0" w:line="3" w:lineRule="exact"/>
        <w:rPr>
          <w:sz w:val="20"/>
          <w:szCs w:val="20"/>
          <w:color w:val="auto"/>
        </w:rPr>
      </w:pPr>
    </w:p>
    <w:p>
      <w:pPr>
        <w:ind w:left="660" w:hanging="328"/>
        <w:spacing w:after="0" w:line="258" w:lineRule="auto"/>
        <w:tabs>
          <w:tab w:leader="none" w:pos="700"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Optionee fails to accept (i) this Award document and (ii) the Employee Assignment of Inventions and Intellectual Property Rights Agreement in accordance with the online grant acceptance procedures described in the Cover Memorandum to this Award on or before Friday, September 2, 2016 at 5:00 p.m. Eastern Daylight Time, the grant will lapse, the Option granted under this Award will be forfeited and this Award shall be deemed canceled.</w:t>
      </w:r>
    </w:p>
    <w:p>
      <w:pPr>
        <w:spacing w:after="0" w:line="64" w:lineRule="exact"/>
        <w:rPr>
          <w:rFonts w:ascii="Times New Roman" w:cs="Times New Roman" w:eastAsia="Times New Roman" w:hAnsi="Times New Roman"/>
          <w:sz w:val="20"/>
          <w:szCs w:val="20"/>
          <w:color w:val="auto"/>
        </w:rPr>
      </w:pPr>
    </w:p>
    <w:p>
      <w:pPr>
        <w:ind w:left="660" w:right="100" w:hanging="328"/>
        <w:spacing w:after="0" w:line="242" w:lineRule="auto"/>
        <w:tabs>
          <w:tab w:leader="none" w:pos="648"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Optionee has timely satisfied the online grant acceptance condition described in Paragraph 3(a), and]</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20"/>
          <w:szCs w:val="20"/>
          <w:color w:val="auto"/>
        </w:rPr>
        <w:t xml:space="preserve"> except as provided in Paragraphs 3(b), 3(c) or 4, the Option may be exercised after such time or times as set forth on the attached Long-Term Incentive Awards Summary Schedule, and shall remain exercisable until the Expiration Date, when the right to exercise shall terminate absolutely. No Shares subject to the Option shall first become exercisable following the Optionee’s Termination of Employment for any reason other than death or Disability or after qualifying for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459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0" w:lineRule="exact"/>
        <w:rPr>
          <w:sz w:val="20"/>
          <w:szCs w:val="20"/>
          <w:color w:val="auto"/>
        </w:rPr>
      </w:pPr>
    </w:p>
    <w:p>
      <w:pPr>
        <w:ind w:left="160" w:hanging="152"/>
        <w:spacing w:after="0"/>
        <w:tabs>
          <w:tab w:leader="none" w:pos="160" w:val="left"/>
        </w:tabs>
        <w:numPr>
          <w:ilvl w:val="0"/>
          <w:numId w:val="3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prior to 2016.</w:t>
      </w:r>
    </w:p>
    <w:p>
      <w:pPr>
        <w:spacing w:after="0" w:line="1"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3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140"/>
          </w:cols>
          <w:pgMar w:left="320" w:top="1413" w:right="439" w:bottom="1440" w:gutter="0" w:footer="0" w:header="0"/>
        </w:sectPr>
      </w:pPr>
    </w:p>
    <w:bookmarkStart w:id="297" w:name="page298"/>
    <w:bookmarkEnd w:id="297"/>
    <w:p>
      <w:pPr>
        <w:ind w:left="660" w:hanging="328"/>
        <w:spacing w:after="0" w:line="259" w:lineRule="auto"/>
        <w:tabs>
          <w:tab w:leader="none" w:pos="650"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Shares subject to the Option shall vest and become exercisable upon the Optionee’s Termination of Employment because of death or Disability. Furthermore, the Option shall continue to vest and become exercisable in accordance with the attached Long-Term Incentive Awards Summary Schedule following the Optionee’s Termination of Employment (other than a Termination of Employment with the Company for Cause) after qualifying for Retirement [for a period of:]</w:t>
      </w:r>
      <w:r>
        <w:rPr>
          <w:rFonts w:ascii="Times New Roman" w:cs="Times New Roman" w:eastAsia="Times New Roman" w:hAnsi="Times New Roman"/>
          <w:sz w:val="25"/>
          <w:szCs w:val="25"/>
          <w:color w:val="auto"/>
          <w:vertAlign w:val="superscript"/>
        </w:rPr>
        <w:t>19</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OPTION 1:</w:t>
      </w:r>
    </w:p>
    <w:p>
      <w:pPr>
        <w:spacing w:after="0" w:line="117" w:lineRule="exact"/>
        <w:rPr>
          <w:rFonts w:ascii="Times New Roman" w:cs="Times New Roman" w:eastAsia="Times New Roman" w:hAnsi="Times New Roman"/>
          <w:sz w:val="20"/>
          <w:szCs w:val="20"/>
          <w:color w:val="auto"/>
        </w:rPr>
      </w:pPr>
    </w:p>
    <w:p>
      <w:pPr>
        <w:ind w:left="980" w:right="60" w:hanging="324"/>
        <w:spacing w:after="0" w:line="283" w:lineRule="auto"/>
        <w:tabs>
          <w:tab w:leader="none" w:pos="968" w:val="left"/>
        </w:tabs>
        <w:numPr>
          <w:ilvl w:val="1"/>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(3) years following such Termination of Employment if, at the time of such Termination of Employment, the Optionee has completed at least ten (10) but less than fifteen (15) years of service with the Company;</w:t>
      </w:r>
    </w:p>
    <w:p>
      <w:pPr>
        <w:spacing w:after="0" w:line="38" w:lineRule="exact"/>
        <w:rPr>
          <w:rFonts w:ascii="Times New Roman" w:cs="Times New Roman" w:eastAsia="Times New Roman" w:hAnsi="Times New Roman"/>
          <w:sz w:val="20"/>
          <w:szCs w:val="20"/>
          <w:color w:val="auto"/>
        </w:rPr>
      </w:pPr>
    </w:p>
    <w:p>
      <w:pPr>
        <w:ind w:left="980" w:right="200" w:hanging="324"/>
        <w:spacing w:after="0" w:line="283" w:lineRule="auto"/>
        <w:tabs>
          <w:tab w:leader="none" w:pos="968" w:val="left"/>
        </w:tabs>
        <w:numPr>
          <w:ilvl w:val="1"/>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five (5) years following such Termination of Employment if, at the time of such Termination of Employment, the Optionee has completed at least fifteen (15) but less than twenty (20) years of service with the Company; or</w:t>
      </w:r>
    </w:p>
    <w:p>
      <w:pPr>
        <w:spacing w:after="0" w:line="38" w:lineRule="exact"/>
        <w:rPr>
          <w:rFonts w:ascii="Times New Roman" w:cs="Times New Roman" w:eastAsia="Times New Roman" w:hAnsi="Times New Roman"/>
          <w:sz w:val="20"/>
          <w:szCs w:val="20"/>
          <w:color w:val="auto"/>
        </w:rPr>
      </w:pPr>
    </w:p>
    <w:p>
      <w:pPr>
        <w:ind w:left="980" w:right="80" w:hanging="324"/>
        <w:spacing w:after="0" w:line="273" w:lineRule="auto"/>
        <w:tabs>
          <w:tab w:leader="none" w:pos="968" w:val="left"/>
        </w:tabs>
        <w:numPr>
          <w:ilvl w:val="1"/>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nine and one-half (9½) years following such Termination of Employment if, at the time of such Termination of Employment, the Optionee has completed twenty (20) or more years of service with the Company.]</w:t>
      </w:r>
      <w:r>
        <w:rPr>
          <w:rFonts w:ascii="Times New Roman" w:cs="Times New Roman" w:eastAsia="Times New Roman" w:hAnsi="Times New Roman"/>
          <w:sz w:val="25"/>
          <w:szCs w:val="25"/>
          <w:color w:val="auto"/>
          <w:vertAlign w:val="superscript"/>
        </w:rPr>
        <w:t>20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OPTION 2:</w:t>
      </w:r>
    </w:p>
    <w:p>
      <w:pPr>
        <w:spacing w:after="0" w:line="112" w:lineRule="exact"/>
        <w:rPr>
          <w:sz w:val="20"/>
          <w:szCs w:val="20"/>
          <w:color w:val="auto"/>
        </w:rPr>
      </w:pPr>
    </w:p>
    <w:p>
      <w:pPr>
        <w:ind w:left="980" w:right="480" w:hanging="324"/>
        <w:spacing w:after="0" w:line="283" w:lineRule="auto"/>
        <w:tabs>
          <w:tab w:leader="none" w:pos="968"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years following such Termination of Employment if, at the time of such Termination of Employment, the Optionee has completed at least ten (10) but less than fifteen (15) years of service with the Company;</w:t>
      </w:r>
    </w:p>
    <w:p>
      <w:pPr>
        <w:spacing w:after="0" w:line="38" w:lineRule="exact"/>
        <w:rPr>
          <w:rFonts w:ascii="Times New Roman" w:cs="Times New Roman" w:eastAsia="Times New Roman" w:hAnsi="Times New Roman"/>
          <w:sz w:val="20"/>
          <w:szCs w:val="20"/>
          <w:color w:val="auto"/>
        </w:rPr>
      </w:pPr>
    </w:p>
    <w:p>
      <w:pPr>
        <w:ind w:left="980" w:right="540" w:hanging="324"/>
        <w:spacing w:after="0" w:line="283" w:lineRule="auto"/>
        <w:tabs>
          <w:tab w:leader="none" w:pos="968"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years following such Termination of Employment if, at the time of such Termination of Employment, the Optionee has completed at least fifteen (15) but less than twenty (20) years of service with the Company; or</w:t>
      </w:r>
    </w:p>
    <w:p>
      <w:pPr>
        <w:spacing w:after="0" w:line="51" w:lineRule="exact"/>
        <w:rPr>
          <w:rFonts w:ascii="Times New Roman" w:cs="Times New Roman" w:eastAsia="Times New Roman" w:hAnsi="Times New Roman"/>
          <w:sz w:val="20"/>
          <w:szCs w:val="20"/>
          <w:color w:val="auto"/>
        </w:rPr>
      </w:pPr>
    </w:p>
    <w:p>
      <w:pPr>
        <w:ind w:left="980" w:right="540" w:hanging="324"/>
        <w:spacing w:after="0" w:line="269" w:lineRule="auto"/>
        <w:tabs>
          <w:tab w:leader="none" w:pos="968"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years following such Termination of Employment if, at the time of such Termination of Employment, the Optionee has completed twenty (20) or more years of service with the Company.]</w:t>
      </w:r>
      <w:r>
        <w:rPr>
          <w:rFonts w:ascii="Times New Roman" w:cs="Times New Roman" w:eastAsia="Times New Roman" w:hAnsi="Times New Roman"/>
          <w:sz w:val="25"/>
          <w:szCs w:val="25"/>
          <w:color w:val="auto"/>
          <w:vertAlign w:val="superscript"/>
        </w:rPr>
        <w:t>21</w:t>
      </w:r>
    </w:p>
    <w:p>
      <w:pPr>
        <w:ind w:left="660" w:right="360" w:hanging="328"/>
        <w:spacing w:after="0" w:line="261" w:lineRule="auto"/>
        <w:tabs>
          <w:tab w:leader="none" w:pos="648"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Option will be subject to cancellation by the Committee, in its sole discretion, if the Optionee breaches either of the following non-solicitation or non-competition obligations during the period following Termination of Employment in which the Option remains exercisable by the Optionee pursuant to the terms of this Award:]</w:t>
      </w:r>
      <w:r>
        <w:rPr>
          <w:rFonts w:ascii="Times New Roman" w:cs="Times New Roman" w:eastAsia="Times New Roman" w:hAnsi="Times New Roman"/>
          <w:sz w:val="25"/>
          <w:szCs w:val="25"/>
          <w:color w:val="auto"/>
          <w:vertAlign w:val="superscript"/>
        </w:rPr>
        <w:t>22</w:t>
      </w:r>
    </w:p>
    <w:p>
      <w:pPr>
        <w:ind w:left="980" w:right="560" w:hanging="324"/>
        <w:spacing w:after="0" w:line="266" w:lineRule="auto"/>
        <w:tabs>
          <w:tab w:leader="none" w:pos="968"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55" w:lineRule="exact"/>
        <w:rPr>
          <w:rFonts w:ascii="Times New Roman" w:cs="Times New Roman" w:eastAsia="Times New Roman" w:hAnsi="Times New Roman"/>
          <w:sz w:val="20"/>
          <w:szCs w:val="20"/>
          <w:color w:val="auto"/>
        </w:rPr>
      </w:pPr>
    </w:p>
    <w:p>
      <w:pPr>
        <w:ind w:left="980" w:right="100" w:hanging="324"/>
        <w:spacing w:after="0" w:line="258" w:lineRule="auto"/>
        <w:tabs>
          <w:tab w:leader="none" w:pos="968"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shall not, directly or indirectly, engage or be financially interested in (as an agent, consultant, director, employee, independent contractor, officer, owner, partner, principal or otherwise), any activities for any business (whether conducted by an entity or individuals, including the Optionee in self-employment) that is engaged in competition, directly or indirectly through any entity controlling, controlled by or under common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6459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19" w:lineRule="exact"/>
        <w:rPr>
          <w:sz w:val="20"/>
          <w:szCs w:val="20"/>
          <w:color w:val="auto"/>
        </w:rPr>
      </w:pPr>
    </w:p>
    <w:p>
      <w:pPr>
        <w:ind w:left="160" w:hanging="152"/>
        <w:spacing w:after="0"/>
        <w:tabs>
          <w:tab w:leader="none" w:pos="160" w:val="left"/>
        </w:tabs>
        <w:numPr>
          <w:ilvl w:val="0"/>
          <w:numId w:val="38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prior to 2022.</w:t>
      </w:r>
    </w:p>
    <w:p>
      <w:pPr>
        <w:spacing w:after="0" w:line="1"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38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2016.</w:t>
      </w:r>
    </w:p>
    <w:p>
      <w:pPr>
        <w:spacing w:after="0" w:line="2"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38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2021.</w:t>
      </w:r>
    </w:p>
    <w:p>
      <w:pPr>
        <w:spacing w:after="0" w:line="2"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38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220"/>
          </w:cols>
          <w:pgMar w:left="320" w:top="1413" w:right="359" w:bottom="1440" w:gutter="0" w:footer="0" w:header="0"/>
        </w:sectPr>
      </w:pPr>
    </w:p>
    <w:bookmarkStart w:id="298" w:name="page299"/>
    <w:bookmarkEnd w:id="298"/>
    <w:p>
      <w:pPr>
        <w:ind w:left="980" w:right="80"/>
        <w:spacing w:after="0" w:line="241" w:lineRule="auto"/>
        <w:rPr>
          <w:sz w:val="20"/>
          <w:szCs w:val="20"/>
          <w:color w:val="auto"/>
        </w:rPr>
      </w:pPr>
      <w:r>
        <w:rPr>
          <w:rFonts w:ascii="Times New Roman" w:cs="Times New Roman" w:eastAsia="Times New Roman" w:hAnsi="Times New Roman"/>
          <w:sz w:val="20"/>
          <w:szCs w:val="20"/>
          <w:color w:val="auto"/>
        </w:rPr>
        <w:t>with such business, with any of the business activities carried on by the Company, any of its subsidiaries or any other business unit of the Company, or being planned by the Company, any of its subsidiaries or any other business unit of the Company with the Optionee’s knowledge at the time of the Optionee’s Termination of Employment. This restriction shall apply in any geographical area of the United States in which the Company carries out business activities. Nothing herein shall prevent the Optionee from owning for investment up to [one percent (1%)]</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20"/>
          <w:szCs w:val="20"/>
          <w:color w:val="auto"/>
        </w:rPr>
        <w:t xml:space="preserve"> [five percent (5%)]</w:t>
      </w:r>
      <w:r>
        <w:rPr>
          <w:rFonts w:ascii="Times New Roman" w:cs="Times New Roman" w:eastAsia="Times New Roman" w:hAnsi="Times New Roman"/>
          <w:sz w:val="25"/>
          <w:szCs w:val="25"/>
          <w:color w:val="auto"/>
          <w:vertAlign w:val="superscript"/>
        </w:rPr>
        <w:t>24</w:t>
      </w:r>
      <w:r>
        <w:rPr>
          <w:rFonts w:ascii="Times New Roman" w:cs="Times New Roman" w:eastAsia="Times New Roman" w:hAnsi="Times New Roman"/>
          <w:sz w:val="20"/>
          <w:szCs w:val="20"/>
          <w:color w:val="auto"/>
        </w:rPr>
        <w:t xml:space="preserve"> of any class of equity security of an entity whose securities are traded on a national securities exchange or market.</w:t>
      </w:r>
    </w:p>
    <w:p>
      <w:pPr>
        <w:spacing w:after="0" w:line="96" w:lineRule="exact"/>
        <w:rPr>
          <w:sz w:val="20"/>
          <w:szCs w:val="20"/>
          <w:color w:val="auto"/>
        </w:rPr>
      </w:pPr>
    </w:p>
    <w:p>
      <w:pPr>
        <w:ind w:left="660" w:right="460" w:hanging="328"/>
        <w:spacing w:after="0" w:line="261" w:lineRule="auto"/>
        <w:tabs>
          <w:tab w:leader="none" w:pos="65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shall continue to vest and become exercisable for a period of one year following the Optionee’s Termination of Employment due to a Discharge Without Cause (as defined in the Optionee’s employment agreement) or With Good Reason (as defined in the Optionee’s employment agreement).]</w:t>
      </w:r>
      <w:r>
        <w:rPr>
          <w:rFonts w:ascii="Times New Roman" w:cs="Times New Roman" w:eastAsia="Times New Roman" w:hAnsi="Times New Roman"/>
          <w:sz w:val="25"/>
          <w:szCs w:val="25"/>
          <w:color w:val="auto"/>
          <w:vertAlign w:val="superscript"/>
        </w:rPr>
        <w:t>25</w:t>
      </w:r>
    </w:p>
    <w:p>
      <w:pPr>
        <w:ind w:left="660" w:hanging="328"/>
        <w:spacing w:after="0" w:line="287" w:lineRule="auto"/>
        <w:tabs>
          <w:tab w:leader="none" w:pos="655" w:val="left"/>
        </w:tabs>
        <w:numPr>
          <w:ilvl w:val="0"/>
          <w:numId w:val="3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Option remains unexercised immediately before the time at which the Option is scheduled to expire in accordance with the rules of the Plan and this grant document, the Option shall be deemed automatically exercised in accordance with Paragraph [7(h)(ii)] of the Plan immediately before the time at which the Option is scheduled to expire, if the Option satisfies the following conditions:</w:t>
      </w:r>
    </w:p>
    <w:p>
      <w:pPr>
        <w:spacing w:after="0" w:line="36" w:lineRule="exact"/>
        <w:rPr>
          <w:rFonts w:ascii="Times New Roman" w:cs="Times New Roman" w:eastAsia="Times New Roman" w:hAnsi="Times New Roman"/>
          <w:sz w:val="19"/>
          <w:szCs w:val="19"/>
          <w:color w:val="auto"/>
        </w:rPr>
      </w:pPr>
    </w:p>
    <w:p>
      <w:pPr>
        <w:ind w:left="960" w:hanging="304"/>
        <w:spacing w:after="0"/>
        <w:tabs>
          <w:tab w:leader="none" w:pos="960"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is covered by a then current registration statement or a Notification under Regulation A under the 1933 Act.</w:t>
      </w:r>
    </w:p>
    <w:p>
      <w:pPr>
        <w:spacing w:after="0" w:line="121" w:lineRule="exact"/>
        <w:rPr>
          <w:rFonts w:ascii="Times New Roman" w:cs="Times New Roman" w:eastAsia="Times New Roman" w:hAnsi="Times New Roman"/>
          <w:sz w:val="20"/>
          <w:szCs w:val="20"/>
          <w:color w:val="auto"/>
        </w:rPr>
      </w:pPr>
    </w:p>
    <w:p>
      <w:pPr>
        <w:ind w:left="980" w:right="140" w:hanging="324"/>
        <w:spacing w:after="0" w:line="261" w:lineRule="auto"/>
        <w:tabs>
          <w:tab w:leader="none" w:pos="968"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reported sale price of a Share on the principal exchange on which Shares are listed on the date of determination, or if such date is not a trading day, the last preceding trading day, exceeds the Option Price by such amount as may be determined by the Committee or its delegate from time to time. Absent a contrary determination, such excess per Share shall be $0.01.</w:t>
      </w:r>
    </w:p>
    <w:p>
      <w:pPr>
        <w:spacing w:after="0" w:line="73" w:lineRule="exact"/>
        <w:rPr>
          <w:rFonts w:ascii="Times New Roman" w:cs="Times New Roman" w:eastAsia="Times New Roman" w:hAnsi="Times New Roman"/>
          <w:sz w:val="20"/>
          <w:szCs w:val="20"/>
          <w:color w:val="auto"/>
        </w:rPr>
      </w:pPr>
    </w:p>
    <w:p>
      <w:pPr>
        <w:ind w:left="980" w:right="380" w:hanging="324"/>
        <w:spacing w:after="0" w:line="269" w:lineRule="auto"/>
        <w:tabs>
          <w:tab w:leader="none" w:pos="968"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to whom such Option has been granted has not terminated employment for Cause, and, immediately before the time at which such Option is scheduled to expire, there is no basis for a termination of employment for Cause.</w:t>
      </w:r>
    </w:p>
    <w:p>
      <w:pPr>
        <w:spacing w:after="0" w:line="65" w:lineRule="exact"/>
        <w:rPr>
          <w:sz w:val="20"/>
          <w:szCs w:val="20"/>
          <w:color w:val="auto"/>
        </w:rPr>
      </w:pPr>
    </w:p>
    <w:p>
      <w:pPr>
        <w:ind w:left="660" w:right="80"/>
        <w:spacing w:after="0" w:line="254" w:lineRule="auto"/>
        <w:rPr>
          <w:sz w:val="20"/>
          <w:szCs w:val="20"/>
          <w:color w:val="auto"/>
        </w:rPr>
      </w:pPr>
      <w:r>
        <w:rPr>
          <w:rFonts w:ascii="Times New Roman" w:cs="Times New Roman" w:eastAsia="Times New Roman" w:hAnsi="Times New Roman"/>
          <w:sz w:val="20"/>
          <w:szCs w:val="20"/>
          <w:color w:val="auto"/>
        </w:rPr>
        <w:t>An Option subject to this Paragraph 3(d)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of the Plan) for such exercise; provided that in connection with such cashless exercise that would not result in the issuance of a whole number of Shares, the Company shall pay cash in lieu of any fractional Share.]</w:t>
      </w:r>
      <w:r>
        <w:rPr>
          <w:rFonts w:ascii="Times New Roman" w:cs="Times New Roman" w:eastAsia="Times New Roman" w:hAnsi="Times New Roman"/>
          <w:sz w:val="25"/>
          <w:szCs w:val="25"/>
          <w:color w:val="auto"/>
          <w:vertAlign w:val="superscript"/>
        </w:rPr>
        <w:t>26</w:t>
      </w:r>
    </w:p>
    <w:p>
      <w:pPr>
        <w:spacing w:after="0" w:line="4" w:lineRule="exact"/>
        <w:rPr>
          <w:sz w:val="20"/>
          <w:szCs w:val="20"/>
          <w:color w:val="auto"/>
        </w:rPr>
      </w:pPr>
    </w:p>
    <w:p>
      <w:pPr>
        <w:ind w:left="340" w:hanging="332"/>
        <w:spacing w:after="0"/>
        <w:tabs>
          <w:tab w:leader="none" w:pos="340"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Terminating Event</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jc w:val="both"/>
        <w:ind w:left="660" w:right="180" w:hanging="328"/>
        <w:spacing w:after="0" w:line="268" w:lineRule="auto"/>
        <w:tabs>
          <w:tab w:leader="none" w:pos="650" w:val="left"/>
        </w:tabs>
        <w:numPr>
          <w:ilvl w:val="1"/>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6459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94" w:lineRule="exact"/>
        <w:rPr>
          <w:sz w:val="20"/>
          <w:szCs w:val="20"/>
          <w:color w:val="auto"/>
        </w:rPr>
      </w:pPr>
    </w:p>
    <w:p>
      <w:pPr>
        <w:ind w:left="160" w:hanging="152"/>
        <w:spacing w:after="0"/>
        <w:tabs>
          <w:tab w:leader="none" w:pos="160" w:val="left"/>
        </w:tabs>
        <w:numPr>
          <w:ilvl w:val="0"/>
          <w:numId w:val="3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2016.</w:t>
      </w:r>
    </w:p>
    <w:p>
      <w:pPr>
        <w:spacing w:after="0" w:line="1"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3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prior to 2016.</w:t>
      </w:r>
    </w:p>
    <w:p>
      <w:pPr>
        <w:spacing w:after="0" w:line="2"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3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prior to 2016.</w:t>
      </w:r>
    </w:p>
    <w:p>
      <w:pPr>
        <w:spacing w:after="0" w:line="2"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3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240"/>
          </w:cols>
          <w:pgMar w:left="320" w:top="1413" w:right="339" w:bottom="1440" w:gutter="0" w:footer="0" w:header="0"/>
        </w:sectPr>
      </w:pPr>
    </w:p>
    <w:bookmarkStart w:id="299" w:name="page300"/>
    <w:bookmarkEnd w:id="299"/>
    <w:p>
      <w:pPr>
        <w:ind w:left="660" w:right="100"/>
        <w:spacing w:after="0" w:line="251" w:lineRule="auto"/>
        <w:rPr>
          <w:sz w:val="20"/>
          <w:szCs w:val="20"/>
          <w:color w:val="auto"/>
        </w:rPr>
      </w:pPr>
      <w:r>
        <w:rPr>
          <w:rFonts w:ascii="Times New Roman" w:cs="Times New Roman" w:eastAsia="Times New Roman" w:hAnsi="Times New Roman"/>
          <w:sz w:val="20"/>
          <w:szCs w:val="20"/>
          <w:color w:val="auto"/>
        </w:rPr>
        <w:t xml:space="preserve">(or such shorter period as the Board shall reasonably determine and so notify the Optionee), the Optionee shall be permitted to exercise the Option to the extent the Option is then exercisable;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87" w:lineRule="exact"/>
        <w:rPr>
          <w:sz w:val="20"/>
          <w:szCs w:val="20"/>
          <w:color w:val="auto"/>
        </w:rPr>
      </w:pPr>
    </w:p>
    <w:p>
      <w:pPr>
        <w:ind w:left="660" w:right="380" w:hanging="328"/>
        <w:spacing w:after="0" w:line="295" w:lineRule="auto"/>
        <w:tabs>
          <w:tab w:leader="none" w:pos="648" w:val="left"/>
        </w:tabs>
        <w:numPr>
          <w:ilvl w:val="1"/>
          <w:numId w:val="3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43" w:lineRule="exact"/>
        <w:rPr>
          <w:rFonts w:ascii="Times New Roman" w:cs="Times New Roman" w:eastAsia="Times New Roman" w:hAnsi="Times New Roman"/>
          <w:sz w:val="19"/>
          <w:szCs w:val="19"/>
          <w:color w:val="auto"/>
        </w:rPr>
      </w:pPr>
    </w:p>
    <w:p>
      <w:pPr>
        <w:ind w:left="340" w:hanging="332"/>
        <w:spacing w:after="0" w:line="252" w:lineRule="auto"/>
        <w:tabs>
          <w:tab w:leader="none" w:pos="340"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for Shares</w:t>
      </w:r>
      <w:r>
        <w:rPr>
          <w:rFonts w:ascii="Times New Roman" w:cs="Times New Roman" w:eastAsia="Times New Roman" w:hAnsi="Times New Roman"/>
          <w:sz w:val="20"/>
          <w:szCs w:val="20"/>
          <w:color w:val="auto"/>
        </w:rPr>
        <w:t xml:space="preserve">. Full payment for Shares purchased upon the exercise of an Option shall be made via cashless exercise, such that subject to the other terms and conditions of the Award and the Plan, the Company shall deliver to the 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14 of the Award and Paragraph 15(b) of the Plan) for such exercise,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in connection with a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w:t>
      </w:r>
    </w:p>
    <w:p>
      <w:pPr>
        <w:spacing w:after="0" w:line="67" w:lineRule="exact"/>
        <w:rPr>
          <w:rFonts w:ascii="Times New Roman" w:cs="Times New Roman" w:eastAsia="Times New Roman" w:hAnsi="Times New Roman"/>
          <w:sz w:val="20"/>
          <w:szCs w:val="20"/>
          <w:color w:val="auto"/>
        </w:rPr>
      </w:pPr>
    </w:p>
    <w:p>
      <w:pPr>
        <w:jc w:val="both"/>
        <w:ind w:left="340" w:right="120" w:hanging="332"/>
        <w:spacing w:after="0" w:line="261" w:lineRule="auto"/>
        <w:tabs>
          <w:tab w:leader="none" w:pos="340"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The Option shall be exercised by giving written notice of exercise in accordance with the manner prescribed by the Committee. Such notice shall be deemed to have been given when hand-delivered, telecopied or mailed, first class postage prepaid, and shall be irrevocable once given.</w:t>
      </w:r>
    </w:p>
    <w:p>
      <w:pPr>
        <w:spacing w:after="0" w:line="73" w:lineRule="exact"/>
        <w:rPr>
          <w:rFonts w:ascii="Times New Roman" w:cs="Times New Roman" w:eastAsia="Times New Roman" w:hAnsi="Times New Roman"/>
          <w:sz w:val="20"/>
          <w:szCs w:val="20"/>
          <w:color w:val="auto"/>
        </w:rPr>
      </w:pPr>
    </w:p>
    <w:p>
      <w:pPr>
        <w:ind w:left="340" w:right="240" w:hanging="332"/>
        <w:spacing w:after="0" w:line="253" w:lineRule="auto"/>
        <w:tabs>
          <w:tab w:leader="none" w:pos="340"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Option</w:t>
      </w:r>
      <w:r>
        <w:rPr>
          <w:rFonts w:ascii="Times New Roman" w:cs="Times New Roman" w:eastAsia="Times New Roman" w:hAnsi="Times New Roman"/>
          <w:sz w:val="20"/>
          <w:szCs w:val="20"/>
          <w:color w:val="auto"/>
        </w:rPr>
        <w:t>.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83" w:lineRule="exact"/>
        <w:rPr>
          <w:rFonts w:ascii="Times New Roman" w:cs="Times New Roman" w:eastAsia="Times New Roman" w:hAnsi="Times New Roman"/>
          <w:sz w:val="20"/>
          <w:szCs w:val="20"/>
          <w:color w:val="auto"/>
        </w:rPr>
      </w:pPr>
    </w:p>
    <w:p>
      <w:pPr>
        <w:ind w:left="340" w:hanging="332"/>
        <w:spacing w:after="0" w:line="252" w:lineRule="auto"/>
        <w:tabs>
          <w:tab w:leader="none" w:pos="340"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220"/>
          </w:cols>
          <w:pgMar w:left="320" w:top="1413" w:right="359" w:bottom="1440" w:gutter="0" w:footer="0" w:header="0"/>
        </w:sectPr>
      </w:pPr>
    </w:p>
    <w:bookmarkStart w:id="300" w:name="page301"/>
    <w:bookmarkEnd w:id="300"/>
    <w:p>
      <w:pPr>
        <w:ind w:left="340" w:right="280" w:hanging="332"/>
        <w:spacing w:after="0" w:line="261" w:lineRule="auto"/>
        <w:tabs>
          <w:tab w:leader="none" w:pos="34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Certificate at Closing</w:t>
      </w:r>
      <w:r>
        <w:rPr>
          <w:rFonts w:ascii="Times New Roman" w:cs="Times New Roman" w:eastAsia="Times New Roman" w:hAnsi="Times New Roman"/>
          <w:sz w:val="20"/>
          <w:szCs w:val="20"/>
          <w:color w:val="auto"/>
        </w:rPr>
        <w:t>.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w:t>
      </w:r>
    </w:p>
    <w:p>
      <w:pPr>
        <w:spacing w:after="0" w:line="73" w:lineRule="exact"/>
        <w:rPr>
          <w:rFonts w:ascii="Times New Roman" w:cs="Times New Roman" w:eastAsia="Times New Roman" w:hAnsi="Times New Roman"/>
          <w:sz w:val="20"/>
          <w:szCs w:val="20"/>
          <w:color w:val="auto"/>
        </w:rPr>
      </w:pPr>
    </w:p>
    <w:p>
      <w:pPr>
        <w:ind w:left="340" w:hanging="332"/>
        <w:spacing w:after="0" w:line="253" w:lineRule="auto"/>
        <w:tabs>
          <w:tab w:leader="none" w:pos="331"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Prior to Exercise</w:t>
      </w:r>
      <w:r>
        <w:rPr>
          <w:rFonts w:ascii="Times New Roman" w:cs="Times New Roman" w:eastAsia="Times New Roman" w:hAnsi="Times New Roman"/>
          <w:sz w:val="20"/>
          <w:szCs w:val="20"/>
          <w:color w:val="auto"/>
        </w:rPr>
        <w:t>. The Optionee shall not have any right as a stockholder with respect to any Shares subject to his Options until the Option shall have been exercised in accordance with the terms of the Plan and the Award and the Company shall have delivered the Shares.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Shares.</w:t>
      </w:r>
    </w:p>
    <w:p>
      <w:pPr>
        <w:spacing w:after="0" w:line="83" w:lineRule="exact"/>
        <w:rPr>
          <w:rFonts w:ascii="Times New Roman" w:cs="Times New Roman" w:eastAsia="Times New Roman" w:hAnsi="Times New Roman"/>
          <w:sz w:val="20"/>
          <w:szCs w:val="20"/>
          <w:color w:val="auto"/>
        </w:rPr>
      </w:pPr>
    </w:p>
    <w:p>
      <w:pPr>
        <w:jc w:val="both"/>
        <w:ind w:left="340" w:right="40" w:hanging="332"/>
        <w:spacing w:after="0" w:line="253" w:lineRule="auto"/>
        <w:tabs>
          <w:tab w:leader="none" w:pos="323"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Option; Interpretation</w:t>
      </w:r>
      <w:r>
        <w:rPr>
          <w:rFonts w:ascii="Times New Roman" w:cs="Times New Roman" w:eastAsia="Times New Roman" w:hAnsi="Times New Roman"/>
          <w:sz w:val="20"/>
          <w:szCs w:val="20"/>
          <w:color w:val="auto"/>
        </w:rPr>
        <w:t>.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83" w:lineRule="exact"/>
        <w:rPr>
          <w:rFonts w:ascii="Times New Roman" w:cs="Times New Roman" w:eastAsia="Times New Roman" w:hAnsi="Times New Roman"/>
          <w:sz w:val="20"/>
          <w:szCs w:val="20"/>
          <w:color w:val="auto"/>
        </w:rPr>
      </w:pPr>
    </w:p>
    <w:p>
      <w:pPr>
        <w:ind w:left="340" w:right="200" w:hanging="332"/>
        <w:spacing w:after="0" w:line="269" w:lineRule="auto"/>
        <w:tabs>
          <w:tab w:leader="none" w:pos="331"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Not to Affect Employment</w:t>
      </w:r>
      <w:r>
        <w:rPr>
          <w:rFonts w:ascii="Times New Roman" w:cs="Times New Roman" w:eastAsia="Times New Roman" w:hAnsi="Times New Roman"/>
          <w:sz w:val="20"/>
          <w:szCs w:val="20"/>
          <w:color w:val="auto"/>
        </w:rPr>
        <w:t>. The Option granted hereunder shall not confer upon the Optionee any right to continue in service as an employee, officer or director of the Sponsor or any subsidiary of the Sponsor.</w:t>
      </w:r>
    </w:p>
    <w:p>
      <w:pPr>
        <w:spacing w:after="0" w:line="6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50"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5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may be executed in one or more counterparts all of which taken together will constitute one and the same instrument.</w:t>
      </w:r>
    </w:p>
    <w:p>
      <w:pPr>
        <w:spacing w:after="0" w:line="121" w:lineRule="exact"/>
        <w:rPr>
          <w:rFonts w:ascii="Times New Roman" w:cs="Times New Roman" w:eastAsia="Times New Roman" w:hAnsi="Times New Roman"/>
          <w:sz w:val="20"/>
          <w:szCs w:val="20"/>
          <w:color w:val="auto"/>
        </w:rPr>
      </w:pPr>
    </w:p>
    <w:p>
      <w:pPr>
        <w:ind w:left="660" w:right="1100" w:hanging="328"/>
        <w:spacing w:after="0" w:line="269" w:lineRule="auto"/>
        <w:tabs>
          <w:tab w:leader="none" w:pos="650"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performance, construction and effect of this Award shall be governed by the laws of the Commonwealth of Pennsylvania, without giving effect to principles of conflicts of law.</w:t>
      </w:r>
    </w:p>
    <w:p>
      <w:pPr>
        <w:spacing w:after="0" w:line="64" w:lineRule="exact"/>
        <w:rPr>
          <w:rFonts w:ascii="Times New Roman" w:cs="Times New Roman" w:eastAsia="Times New Roman" w:hAnsi="Times New Roman"/>
          <w:sz w:val="20"/>
          <w:szCs w:val="20"/>
          <w:color w:val="auto"/>
        </w:rPr>
      </w:pPr>
    </w:p>
    <w:p>
      <w:pPr>
        <w:ind w:left="660" w:hanging="328"/>
        <w:spacing w:after="0" w:line="252" w:lineRule="auto"/>
        <w:tabs>
          <w:tab w:leader="none" w:pos="648"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67" w:lineRule="exact"/>
        <w:rPr>
          <w:rFonts w:ascii="Times New Roman" w:cs="Times New Roman" w:eastAsia="Times New Roman" w:hAnsi="Times New Roman"/>
          <w:sz w:val="20"/>
          <w:szCs w:val="20"/>
          <w:color w:val="auto"/>
        </w:rPr>
      </w:pPr>
    </w:p>
    <w:p>
      <w:pPr>
        <w:ind w:firstLine="8"/>
        <w:spacing w:after="0" w:line="268" w:lineRule="auto"/>
        <w:tabs>
          <w:tab w:leader="none" w:pos="639"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of Taxes</w:t>
      </w:r>
      <w:r>
        <w:rPr>
          <w:rFonts w:ascii="Times New Roman" w:cs="Times New Roman" w:eastAsia="Times New Roman" w:hAnsi="Times New Roman"/>
          <w:sz w:val="20"/>
          <w:szCs w:val="20"/>
          <w:color w:val="auto"/>
        </w:rPr>
        <w:t>. Whenever the Sponsor proposes or is required to deliver or transfer Shares in connection with the exercise of the Option, the Sponsor shall have the right to (a) withhold Shares subject to the Optionee’s exercise of the Option as provided in Paragraph 5 of the Award and Paragraph 15(b) of the Plan, (b) require the Optionee to remit to the Sponsor an amount sufficient to satisfy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240"/>
          </w:cols>
          <w:pgMar w:left="320" w:top="1413" w:right="339" w:bottom="1440" w:gutter="0" w:footer="0" w:header="0"/>
        </w:sectPr>
      </w:pPr>
    </w:p>
    <w:bookmarkStart w:id="301" w:name="page302"/>
    <w:bookmarkEnd w:id="301"/>
    <w:p>
      <w:pPr>
        <w:spacing w:after="0" w:line="283" w:lineRule="auto"/>
        <w:rPr>
          <w:sz w:val="20"/>
          <w:szCs w:val="20"/>
          <w:color w:val="auto"/>
        </w:rPr>
      </w:pPr>
      <w:r>
        <w:rPr>
          <w:rFonts w:ascii="Times New Roman" w:cs="Times New Roman" w:eastAsia="Times New Roman" w:hAnsi="Times New Roman"/>
          <w:sz w:val="20"/>
          <w:szCs w:val="20"/>
          <w:color w:val="auto"/>
        </w:rPr>
        <w:t>federal, state and/or local withholding tax requirements prior to the delivery or transfer of any certificate or certificates for such Shares or (c) take whatever action it deems necessary to protect its interests with respect to tax liabilities.</w:t>
      </w: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 WITNESS WHEREOF, the Sponsor has granted this Award on the day and year first above written.</w:t>
      </w:r>
    </w:p>
    <w:p>
      <w:pPr>
        <w:spacing w:after="0" w:line="6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COMCAST CORPORATION</w:t>
      </w:r>
    </w:p>
    <w:p>
      <w:pPr>
        <w:spacing w:after="0" w:line="28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BY:</w:t>
      </w:r>
    </w:p>
    <w:p>
      <w:pPr>
        <w:spacing w:after="0" w:line="2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ATTEST: 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160"/>
          </w:cols>
          <w:pgMar w:left="320" w:top="1413" w:right="419" w:bottom="1440" w:gutter="0" w:footer="0" w:header="0"/>
        </w:sectPr>
      </w:pPr>
    </w:p>
    <w:bookmarkStart w:id="302" w:name="page303"/>
    <w:bookmarkEnd w:id="302"/>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OF LONG-TERM INCENTIVE AWARDS SUMMARY SCHEDULE</w:t>
      </w:r>
      <w:r>
        <w:rPr>
          <w:rFonts w:ascii="Times New Roman" w:cs="Times New Roman" w:eastAsia="Times New Roman" w:hAnsi="Times New Roman"/>
          <w:sz w:val="25"/>
          <w:szCs w:val="25"/>
          <w:b w:val="1"/>
          <w:bCs w:val="1"/>
          <w:color w:val="auto"/>
          <w:vertAlign w:val="superscript"/>
        </w:rPr>
        <w:t>27</w:t>
      </w:r>
    </w:p>
    <w:p>
      <w:pPr>
        <w:spacing w:after="0" w:line="230"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20"/>
          <w:szCs w:val="20"/>
          <w:color w:val="auto"/>
        </w:rPr>
        <w:t>This Long-Term Incentive Awards Summary Schedule (the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provides certain information related to the Non-Qualified Stock Options and Restricted Stock Units you were granted by Comcast Corporation on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This Schedule is intended to be, and shall at all times be interpreted as, part of your Comcast Corporation Non-Qualified Option award document.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Non-Qualified Stock Option Award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1:</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42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Optionee</w:t>
            </w:r>
            <w:r>
              <w:rPr>
                <w:rFonts w:ascii="Times New Roman" w:cs="Times New Roman" w:eastAsia="Times New Roman" w:hAnsi="Times New Roman"/>
                <w:sz w:val="20"/>
                <w:szCs w:val="20"/>
                <w:color w:val="auto"/>
              </w:rPr>
              <w:t>:</w:t>
            </w:r>
          </w:p>
        </w:tc>
        <w:tc>
          <w:tcPr>
            <w:tcW w:w="7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35"/>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00" w:type="dxa"/>
            <w:vAlign w:val="bottom"/>
            <w:tcBorders>
              <w:bottom w:val="single" w:sz="8" w:color="auto"/>
              <w:right w:val="single" w:sz="8" w:color="auto"/>
            </w:tcBorders>
          </w:tcPr>
          <w:p>
            <w:pPr>
              <w:spacing w:after="0"/>
              <w:rPr>
                <w:sz w:val="3"/>
                <w:szCs w:val="3"/>
                <w:color w:val="auto"/>
              </w:rPr>
            </w:pPr>
          </w:p>
        </w:tc>
      </w:tr>
      <w:tr>
        <w:trPr>
          <w:trHeight w:val="283"/>
        </w:trPr>
        <w:tc>
          <w:tcPr>
            <w:tcW w:w="4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p>
        </w:tc>
        <w:tc>
          <w:tcPr>
            <w:tcW w:w="7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35"/>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00" w:type="dxa"/>
            <w:vAlign w:val="bottom"/>
            <w:tcBorders>
              <w:bottom w:val="single" w:sz="8" w:color="auto"/>
              <w:right w:val="single" w:sz="8" w:color="auto"/>
            </w:tcBorders>
          </w:tcPr>
          <w:p>
            <w:pPr>
              <w:spacing w:after="0"/>
              <w:rPr>
                <w:sz w:val="3"/>
                <w:szCs w:val="3"/>
                <w:color w:val="auto"/>
              </w:rPr>
            </w:pPr>
          </w:p>
        </w:tc>
      </w:tr>
      <w:tr>
        <w:trPr>
          <w:trHeight w:val="283"/>
        </w:trPr>
        <w:tc>
          <w:tcPr>
            <w:tcW w:w="4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w:t>
            </w:r>
          </w:p>
        </w:tc>
        <w:tc>
          <w:tcPr>
            <w:tcW w:w="7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35"/>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00" w:type="dxa"/>
            <w:vAlign w:val="bottom"/>
            <w:tcBorders>
              <w:bottom w:val="single" w:sz="8" w:color="auto"/>
              <w:right w:val="single" w:sz="8" w:color="auto"/>
            </w:tcBorders>
          </w:tcPr>
          <w:p>
            <w:pPr>
              <w:spacing w:after="0"/>
              <w:rPr>
                <w:sz w:val="3"/>
                <w:szCs w:val="3"/>
                <w:color w:val="auto"/>
              </w:rPr>
            </w:pPr>
          </w:p>
        </w:tc>
      </w:tr>
      <w:tr>
        <w:trPr>
          <w:trHeight w:val="283"/>
        </w:trPr>
        <w:tc>
          <w:tcPr>
            <w:tcW w:w="4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Per Share Option Price</w:t>
            </w:r>
            <w:r>
              <w:rPr>
                <w:rFonts w:ascii="Times New Roman" w:cs="Times New Roman" w:eastAsia="Times New Roman" w:hAnsi="Times New Roman"/>
                <w:sz w:val="20"/>
                <w:szCs w:val="20"/>
                <w:color w:val="auto"/>
              </w:rPr>
              <w:t>:</w:t>
            </w:r>
          </w:p>
        </w:tc>
        <w:tc>
          <w:tcPr>
            <w:tcW w:w="7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283"/>
        </w:trPr>
        <w:tc>
          <w:tcPr>
            <w:tcW w:w="4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Shares Subject to Option</w:t>
            </w:r>
            <w:r>
              <w:rPr>
                <w:rFonts w:ascii="Times New Roman" w:cs="Times New Roman" w:eastAsia="Times New Roman" w:hAnsi="Times New Roman"/>
                <w:sz w:val="20"/>
                <w:szCs w:val="20"/>
                <w:color w:val="auto"/>
              </w:rPr>
              <w:t>:</w:t>
            </w:r>
          </w:p>
        </w:tc>
        <w:tc>
          <w:tcPr>
            <w:tcW w:w="7000" w:type="dxa"/>
            <w:vAlign w:val="bottom"/>
            <w:tcBorders>
              <w:right w:val="single" w:sz="8" w:color="auto"/>
            </w:tcBorders>
          </w:tcPr>
          <w:p>
            <w:pPr>
              <w:spacing w:after="0"/>
              <w:rPr>
                <w:sz w:val="24"/>
                <w:szCs w:val="24"/>
                <w:color w:val="auto"/>
              </w:rPr>
            </w:pPr>
          </w:p>
        </w:tc>
      </w:tr>
      <w:tr>
        <w:trPr>
          <w:trHeight w:val="35"/>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00" w:type="dxa"/>
            <w:vAlign w:val="bottom"/>
            <w:tcBorders>
              <w:bottom w:val="single" w:sz="8" w:color="auto"/>
              <w:right w:val="single" w:sz="8" w:color="auto"/>
            </w:tcBorders>
          </w:tcPr>
          <w:p>
            <w:pPr>
              <w:spacing w:after="0"/>
              <w:rPr>
                <w:sz w:val="3"/>
                <w:szCs w:val="3"/>
                <w:color w:val="auto"/>
              </w:rPr>
            </w:pPr>
          </w:p>
        </w:tc>
      </w:tr>
      <w:tr>
        <w:trPr>
          <w:trHeight w:val="283"/>
        </w:trPr>
        <w:tc>
          <w:tcPr>
            <w:tcW w:w="4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Vesting Dates/Exercisability of Option</w:t>
            </w:r>
            <w:r>
              <w:rPr>
                <w:rFonts w:ascii="Times New Roman" w:cs="Times New Roman" w:eastAsia="Times New Roman" w:hAnsi="Times New Roman"/>
                <w:sz w:val="20"/>
                <w:szCs w:val="20"/>
                <w:color w:val="auto"/>
              </w:rPr>
              <w:t>:</w:t>
            </w:r>
          </w:p>
        </w:tc>
        <w:tc>
          <w:tcPr>
            <w:tcW w:w="7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of the Shares subject to the Option may be exercised following [●].</w:t>
            </w:r>
          </w:p>
        </w:tc>
      </w:tr>
      <w:tr>
        <w:trPr>
          <w:trHeight w:val="35"/>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00" w:type="dxa"/>
            <w:vAlign w:val="bottom"/>
            <w:tcBorders>
              <w:bottom w:val="single" w:sz="8" w:color="auto"/>
              <w:right w:val="single" w:sz="8" w:color="auto"/>
            </w:tcBorders>
          </w:tcPr>
          <w:p>
            <w:pPr>
              <w:spacing w:after="0"/>
              <w:rPr>
                <w:sz w:val="3"/>
                <w:szCs w:val="3"/>
                <w:color w:val="auto"/>
              </w:rPr>
            </w:pPr>
          </w:p>
        </w:tc>
      </w:tr>
      <w:tr>
        <w:trPr>
          <w:trHeight w:val="283"/>
        </w:trPr>
        <w:tc>
          <w:tcPr>
            <w:tcW w:w="4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Option Term</w:t>
            </w:r>
            <w:r>
              <w:rPr>
                <w:rFonts w:ascii="Times New Roman" w:cs="Times New Roman" w:eastAsia="Times New Roman" w:hAnsi="Times New Roman"/>
                <w:sz w:val="20"/>
                <w:szCs w:val="20"/>
                <w:color w:val="auto"/>
              </w:rPr>
              <w:t>:</w:t>
            </w:r>
          </w:p>
        </w:tc>
        <w:tc>
          <w:tcPr>
            <w:tcW w:w="7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10 Years, except as otherwise provided in your Comcast Corporation Non-Qualified</w:t>
            </w:r>
          </w:p>
        </w:tc>
      </w:tr>
      <w:tr>
        <w:trPr>
          <w:trHeight w:val="284"/>
        </w:trPr>
        <w:tc>
          <w:tcPr>
            <w:tcW w:w="4260" w:type="dxa"/>
            <w:vAlign w:val="bottom"/>
            <w:tcBorders>
              <w:left w:val="single" w:sz="8" w:color="auto"/>
              <w:right w:val="single" w:sz="8" w:color="auto"/>
            </w:tcBorders>
          </w:tcPr>
          <w:p>
            <w:pPr>
              <w:spacing w:after="0"/>
              <w:rPr>
                <w:sz w:val="24"/>
                <w:szCs w:val="24"/>
                <w:color w:val="auto"/>
              </w:rPr>
            </w:pPr>
          </w:p>
        </w:tc>
        <w:tc>
          <w:tcPr>
            <w:tcW w:w="7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Option award document.</w:t>
            </w:r>
          </w:p>
        </w:tc>
      </w:tr>
      <w:tr>
        <w:trPr>
          <w:trHeight w:val="35"/>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00" w:type="dxa"/>
            <w:vAlign w:val="bottom"/>
            <w:tcBorders>
              <w:bottom w:val="single" w:sz="8" w:color="auto"/>
              <w:right w:val="single" w:sz="8" w:color="auto"/>
            </w:tcBorders>
          </w:tcPr>
          <w:p>
            <w:pPr>
              <w:spacing w:after="0"/>
              <w:rPr>
                <w:sz w:val="3"/>
                <w:szCs w:val="3"/>
                <w:color w:val="auto"/>
              </w:rPr>
            </w:pPr>
          </w:p>
        </w:tc>
      </w:tr>
      <w:tr>
        <w:trPr>
          <w:trHeight w:val="593"/>
        </w:trPr>
        <w:tc>
          <w:tcPr>
            <w:tcW w:w="42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OPTION 2</w:t>
            </w:r>
            <w:r>
              <w:rPr>
                <w:rFonts w:ascii="Times New Roman" w:cs="Times New Roman" w:eastAsia="Times New Roman" w:hAnsi="Times New Roman"/>
                <w:sz w:val="20"/>
                <w:szCs w:val="20"/>
                <w:color w:val="auto"/>
              </w:rPr>
              <w:t>:</w:t>
            </w:r>
          </w:p>
        </w:tc>
        <w:tc>
          <w:tcPr>
            <w:tcW w:w="7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16459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60" w:hanging="152"/>
        <w:spacing w:after="0"/>
        <w:tabs>
          <w:tab w:leader="none" w:pos="160" w:val="left"/>
        </w:tabs>
        <w:numPr>
          <w:ilvl w:val="0"/>
          <w:numId w:val="39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grants during and after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260"/>
          </w:cols>
          <w:pgMar w:left="320" w:top="1440" w:right="319" w:bottom="1440" w:gutter="0" w:footer="0" w:header="0"/>
        </w:sectPr>
      </w:pPr>
    </w:p>
    <w:bookmarkStart w:id="303" w:name="page304"/>
    <w:bookmarkEnd w:id="30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26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Optionee:</w:t>
            </w:r>
          </w:p>
        </w:tc>
        <w:tc>
          <w:tcPr>
            <w:tcW w:w="86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5"/>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 of Grant:</w:t>
            </w:r>
          </w:p>
        </w:tc>
        <w:tc>
          <w:tcPr>
            <w:tcW w:w="8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5"/>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Common Stock:</w:t>
            </w:r>
          </w:p>
        </w:tc>
        <w:tc>
          <w:tcPr>
            <w:tcW w:w="8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Comcast Corporation Class A Common Stock</w:t>
            </w:r>
          </w:p>
        </w:tc>
        <w:tc>
          <w:tcPr>
            <w:tcW w:w="0" w:type="dxa"/>
            <w:vAlign w:val="bottom"/>
          </w:tcPr>
          <w:p>
            <w:pPr>
              <w:spacing w:after="0"/>
              <w:rPr>
                <w:sz w:val="1"/>
                <w:szCs w:val="1"/>
                <w:color w:val="auto"/>
              </w:rPr>
            </w:pPr>
          </w:p>
        </w:tc>
      </w:tr>
      <w:tr>
        <w:trPr>
          <w:trHeight w:val="283"/>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Per Share Option Price:</w:t>
            </w:r>
          </w:p>
        </w:tc>
        <w:tc>
          <w:tcPr>
            <w:tcW w:w="8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4"/>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Shares Subject to Option:</w:t>
            </w:r>
          </w:p>
        </w:tc>
        <w:tc>
          <w:tcPr>
            <w:tcW w:w="8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4"/>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640" w:type="dxa"/>
            <w:vAlign w:val="bottom"/>
            <w:tcBorders>
              <w:left w:val="single" w:sz="8" w:color="auto"/>
              <w:right w:val="single" w:sz="8" w:color="auto"/>
            </w:tcBorders>
          </w:tcPr>
          <w:p>
            <w:pPr>
              <w:spacing w:after="0"/>
              <w:rPr>
                <w:sz w:val="24"/>
                <w:szCs w:val="24"/>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second anniversary of the</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third anniversary of the</w:t>
            </w: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tcPr>
          <w:p>
            <w:pPr>
              <w:spacing w:after="0"/>
              <w:rPr>
                <w:sz w:val="23"/>
                <w:szCs w:val="23"/>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6"/>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fourth anniversary of the</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tcPr>
          <w:p>
            <w:pPr>
              <w:spacing w:after="0"/>
              <w:rPr>
                <w:sz w:val="23"/>
                <w:szCs w:val="23"/>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fifth anniversary of the</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tcPr>
          <w:p>
            <w:pPr>
              <w:spacing w:after="0"/>
              <w:rPr>
                <w:sz w:val="23"/>
                <w:szCs w:val="23"/>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sixth anniversary of the</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tcPr>
          <w:p>
            <w:pPr>
              <w:spacing w:after="0"/>
              <w:rPr>
                <w:sz w:val="23"/>
                <w:szCs w:val="23"/>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seventh anniversary of the</w:t>
            </w:r>
          </w:p>
        </w:tc>
        <w:tc>
          <w:tcPr>
            <w:tcW w:w="0" w:type="dxa"/>
            <w:vAlign w:val="bottom"/>
          </w:tcPr>
          <w:p>
            <w:pPr>
              <w:spacing w:after="0"/>
              <w:rPr>
                <w:sz w:val="1"/>
                <w:szCs w:val="1"/>
                <w:color w:val="auto"/>
              </w:rPr>
            </w:pPr>
          </w:p>
        </w:tc>
      </w:tr>
      <w:tr>
        <w:trPr>
          <w:trHeight w:val="256"/>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eighth anniversary of the</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tcPr>
          <w:p>
            <w:pPr>
              <w:spacing w:after="0"/>
              <w:rPr>
                <w:sz w:val="23"/>
                <w:szCs w:val="23"/>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ninth anniversary of the</w:t>
            </w:r>
          </w:p>
        </w:tc>
        <w:tc>
          <w:tcPr>
            <w:tcW w:w="0" w:type="dxa"/>
            <w:vAlign w:val="bottom"/>
          </w:tcPr>
          <w:p>
            <w:pPr>
              <w:spacing w:after="0"/>
              <w:rPr>
                <w:sz w:val="1"/>
                <w:szCs w:val="1"/>
                <w:color w:val="auto"/>
              </w:rPr>
            </w:pPr>
          </w:p>
        </w:tc>
      </w:tr>
      <w:tr>
        <w:trPr>
          <w:trHeight w:val="256"/>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311"/>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Vesting Dates /Exercisability of</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nine and one-half year</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Option:</w:t>
            </w:r>
          </w:p>
        </w:tc>
        <w:tc>
          <w:tcPr>
            <w:tcW w:w="8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anniversary of the Date of Grant.</w:t>
            </w:r>
          </w:p>
        </w:tc>
        <w:tc>
          <w:tcPr>
            <w:tcW w:w="0" w:type="dxa"/>
            <w:vAlign w:val="bottom"/>
          </w:tcPr>
          <w:p>
            <w:pPr>
              <w:spacing w:after="0"/>
              <w:rPr>
                <w:sz w:val="1"/>
                <w:szCs w:val="1"/>
                <w:color w:val="auto"/>
              </w:rPr>
            </w:pPr>
          </w:p>
        </w:tc>
      </w:tr>
      <w:tr>
        <w:trPr>
          <w:trHeight w:val="187"/>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Option Term:</w:t>
            </w:r>
          </w:p>
        </w:tc>
        <w:tc>
          <w:tcPr>
            <w:tcW w:w="862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10 Years, except as otherwise provided in your Comcast Corporation Non-Qualified Option award</w:t>
            </w:r>
          </w:p>
        </w:tc>
        <w:tc>
          <w:tcPr>
            <w:tcW w:w="0" w:type="dxa"/>
            <w:vAlign w:val="bottom"/>
          </w:tcPr>
          <w:p>
            <w:pPr>
              <w:spacing w:after="0"/>
              <w:rPr>
                <w:sz w:val="1"/>
                <w:szCs w:val="1"/>
                <w:color w:val="auto"/>
              </w:rPr>
            </w:pPr>
          </w:p>
        </w:tc>
      </w:tr>
      <w:tr>
        <w:trPr>
          <w:trHeight w:val="252"/>
        </w:trPr>
        <w:tc>
          <w:tcPr>
            <w:tcW w:w="26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8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document.</w:t>
            </w:r>
          </w:p>
        </w:tc>
        <w:tc>
          <w:tcPr>
            <w:tcW w:w="0" w:type="dxa"/>
            <w:vAlign w:val="bottom"/>
          </w:tcPr>
          <w:p>
            <w:pPr>
              <w:spacing w:after="0"/>
              <w:rPr>
                <w:sz w:val="1"/>
                <w:szCs w:val="1"/>
                <w:color w:val="auto"/>
              </w:rPr>
            </w:pPr>
          </w:p>
        </w:tc>
      </w:tr>
      <w:tr>
        <w:trPr>
          <w:trHeight w:val="676"/>
        </w:trPr>
        <w:tc>
          <w:tcPr>
            <w:tcW w:w="26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OPTION 3</w:t>
            </w:r>
            <w:r>
              <w:rPr>
                <w:rFonts w:ascii="Times New Roman" w:cs="Times New Roman" w:eastAsia="Times New Roman" w:hAnsi="Times New Roman"/>
                <w:sz w:val="25"/>
                <w:szCs w:val="25"/>
                <w:i w:val="1"/>
                <w:iCs w:val="1"/>
                <w:color w:val="auto"/>
                <w:vertAlign w:val="superscript"/>
              </w:rPr>
              <w:t>28</w:t>
            </w:r>
            <w:r>
              <w:rPr>
                <w:rFonts w:ascii="Times New Roman" w:cs="Times New Roman" w:eastAsia="Times New Roman" w:hAnsi="Times New Roman"/>
                <w:sz w:val="20"/>
                <w:szCs w:val="20"/>
                <w:color w:val="auto"/>
              </w:rPr>
              <w:t>:</w:t>
            </w:r>
          </w:p>
        </w:tc>
        <w:tc>
          <w:tcPr>
            <w:tcW w:w="8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6459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5" w:lineRule="exact"/>
        <w:rPr>
          <w:sz w:val="20"/>
          <w:szCs w:val="20"/>
          <w:color w:val="auto"/>
        </w:rPr>
      </w:pPr>
    </w:p>
    <w:p>
      <w:pPr>
        <w:ind w:left="160" w:hanging="152"/>
        <w:spacing w:after="0"/>
        <w:tabs>
          <w:tab w:leader="none" w:pos="160" w:val="left"/>
        </w:tabs>
        <w:numPr>
          <w:ilvl w:val="0"/>
          <w:numId w:val="3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260"/>
          </w:cols>
          <w:pgMar w:left="320" w:top="1440" w:right="319" w:bottom="1440" w:gutter="0" w:footer="0" w:header="0"/>
        </w:sectPr>
      </w:pPr>
    </w:p>
    <w:bookmarkStart w:id="304" w:name="page305"/>
    <w:bookmarkEnd w:id="30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26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Optionee:</w:t>
            </w:r>
          </w:p>
        </w:tc>
        <w:tc>
          <w:tcPr>
            <w:tcW w:w="86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5"/>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 of Grant:</w:t>
            </w:r>
          </w:p>
        </w:tc>
        <w:tc>
          <w:tcPr>
            <w:tcW w:w="8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5"/>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Common Stock:</w:t>
            </w:r>
          </w:p>
        </w:tc>
        <w:tc>
          <w:tcPr>
            <w:tcW w:w="8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Comcast Corporation Class A Common Stock</w:t>
            </w:r>
          </w:p>
        </w:tc>
        <w:tc>
          <w:tcPr>
            <w:tcW w:w="0" w:type="dxa"/>
            <w:vAlign w:val="bottom"/>
          </w:tcPr>
          <w:p>
            <w:pPr>
              <w:spacing w:after="0"/>
              <w:rPr>
                <w:sz w:val="1"/>
                <w:szCs w:val="1"/>
                <w:color w:val="auto"/>
              </w:rPr>
            </w:pPr>
          </w:p>
        </w:tc>
      </w:tr>
      <w:tr>
        <w:trPr>
          <w:trHeight w:val="283"/>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Per Share Option Price:</w:t>
            </w:r>
          </w:p>
        </w:tc>
        <w:tc>
          <w:tcPr>
            <w:tcW w:w="8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4"/>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Shares Subject to Option:</w:t>
            </w:r>
          </w:p>
        </w:tc>
        <w:tc>
          <w:tcPr>
            <w:tcW w:w="8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4"/>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640" w:type="dxa"/>
            <w:vAlign w:val="bottom"/>
            <w:tcBorders>
              <w:left w:val="single" w:sz="8" w:color="auto"/>
              <w:right w:val="single" w:sz="8" w:color="auto"/>
            </w:tcBorders>
          </w:tcPr>
          <w:p>
            <w:pPr>
              <w:spacing w:after="0"/>
              <w:rPr>
                <w:sz w:val="24"/>
                <w:szCs w:val="24"/>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second anniversary of the</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third anniversary of the</w:t>
            </w: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tcPr>
          <w:p>
            <w:pPr>
              <w:spacing w:after="0"/>
              <w:rPr>
                <w:sz w:val="23"/>
                <w:szCs w:val="23"/>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6"/>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fourth anniversary of the</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311"/>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Vesting Dates /Exercisability of</w:t>
            </w:r>
          </w:p>
        </w:tc>
        <w:tc>
          <w:tcPr>
            <w:tcW w:w="8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fifth anniversary of the</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Option:</w:t>
            </w:r>
          </w:p>
        </w:tc>
        <w:tc>
          <w:tcPr>
            <w:tcW w:w="8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187"/>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Option Term:</w:t>
            </w:r>
          </w:p>
        </w:tc>
        <w:tc>
          <w:tcPr>
            <w:tcW w:w="862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10 Years, except as otherwise provided in your Comcast Corporation Non-Qualified Option award</w:t>
            </w:r>
          </w:p>
        </w:tc>
        <w:tc>
          <w:tcPr>
            <w:tcW w:w="0" w:type="dxa"/>
            <w:vAlign w:val="bottom"/>
          </w:tcPr>
          <w:p>
            <w:pPr>
              <w:spacing w:after="0"/>
              <w:rPr>
                <w:sz w:val="1"/>
                <w:szCs w:val="1"/>
                <w:color w:val="auto"/>
              </w:rPr>
            </w:pPr>
          </w:p>
        </w:tc>
      </w:tr>
      <w:tr>
        <w:trPr>
          <w:trHeight w:val="252"/>
        </w:trPr>
        <w:tc>
          <w:tcPr>
            <w:tcW w:w="26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8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#94014743v4</w:t>
      </w:r>
    </w:p>
    <w:p>
      <w:pPr>
        <w:sectPr>
          <w:pgSz w:w="11900" w:h="16838" w:orient="portrait"/>
          <w:cols w:equalWidth="0" w:num="1">
            <w:col w:w="11260"/>
          </w:cols>
          <w:pgMar w:left="320" w:top="1440" w:right="31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NON-QUALIFIED OPTION AWARD</w:t>
      </w:r>
    </w:p>
    <w:p>
      <w:pPr>
        <w:spacing w:after="0" w:line="332" w:lineRule="exact"/>
        <w:rPr>
          <w:sz w:val="20"/>
          <w:szCs w:val="20"/>
          <w:color w:val="auto"/>
        </w:rPr>
      </w:pPr>
    </w:p>
    <w:p>
      <w:pPr>
        <w:ind w:right="60" w:firstLine="1296"/>
        <w:spacing w:after="0" w:line="284" w:lineRule="auto"/>
        <w:rPr>
          <w:sz w:val="20"/>
          <w:szCs w:val="20"/>
          <w:color w:val="auto"/>
        </w:rPr>
      </w:pPr>
      <w:r>
        <w:rPr>
          <w:rFonts w:ascii="Times New Roman" w:cs="Times New Roman" w:eastAsia="Times New Roman" w:hAnsi="Times New Roman"/>
          <w:sz w:val="22"/>
          <w:szCs w:val="22"/>
          <w:color w:val="auto"/>
        </w:rPr>
        <w:t>This is a Non-Qualified Stock Option Award dated as of the Date of Grant (together with all schedules hereto, this “Agreement”) is entered into by and between Comcast Corporation (the “Company”) and the Optionee.</w:t>
      </w:r>
    </w:p>
    <w:p>
      <w:pPr>
        <w:spacing w:after="0" w:line="117" w:lineRule="exact"/>
        <w:rPr>
          <w:sz w:val="20"/>
          <w:szCs w:val="20"/>
          <w:color w:val="auto"/>
        </w:rPr>
      </w:pPr>
    </w:p>
    <w:p>
      <w:pPr>
        <w:ind w:right="60" w:firstLine="1304"/>
        <w:spacing w:after="0" w:line="236" w:lineRule="auto"/>
        <w:tabs>
          <w:tab w:leader="none" w:pos="1944"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have the meanings ascribed to them below. Capitalized terms used in this Award but not defined herein have the meanings given to them in the Plan.</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the award of Options granted pursuant to this Agreement.</w:t>
      </w:r>
    </w:p>
    <w:p>
      <w:pPr>
        <w:spacing w:after="0" w:line="179"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auto"/>
        </w:rPr>
      </w:pPr>
    </w:p>
    <w:p>
      <w:pPr>
        <w:ind w:right="120" w:firstLine="1952"/>
        <w:spacing w:after="0" w:line="236" w:lineRule="auto"/>
        <w:tabs>
          <w:tab w:leader="none" w:pos="2589"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has the meaning set forth in the Optionee’s employment agreement with the Company, or, if no such agreement exists or has expired prior to such time, then “Cause” has the meaning set forth in the Plan.</w:t>
      </w:r>
    </w:p>
    <w:p>
      <w:pPr>
        <w:spacing w:after="0" w:line="150" w:lineRule="exact"/>
        <w:rPr>
          <w:rFonts w:ascii="Times New Roman" w:cs="Times New Roman" w:eastAsia="Times New Roman" w:hAnsi="Times New Roman"/>
          <w:sz w:val="22"/>
          <w:szCs w:val="22"/>
          <w:color w:val="auto"/>
        </w:rPr>
      </w:pPr>
    </w:p>
    <w:p>
      <w:pPr>
        <w:ind w:right="40" w:firstLine="1952"/>
        <w:spacing w:after="0" w:line="236" w:lineRule="auto"/>
        <w:tabs>
          <w:tab w:leader="none" w:pos="2587"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means the closing of the acquisition and sale of the Shares as described in, and subject to the provisions of, Paragraph 8 hereof.</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of the Closing.</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Company’s Class A Common Stock, par value, $.01 per share.</w:t>
      </w:r>
    </w:p>
    <w:p>
      <w:pPr>
        <w:spacing w:after="0" w:line="179" w:lineRule="exact"/>
        <w:rPr>
          <w:rFonts w:ascii="Times New Roman" w:cs="Times New Roman" w:eastAsia="Times New Roman" w:hAnsi="Times New Roman"/>
          <w:sz w:val="22"/>
          <w:szCs w:val="22"/>
          <w:color w:val="auto"/>
        </w:rPr>
      </w:pPr>
    </w:p>
    <w:p>
      <w:pPr>
        <w:ind w:right="700" w:firstLine="1952"/>
        <w:spacing w:after="0" w:line="236" w:lineRule="auto"/>
        <w:tabs>
          <w:tab w:leader="none" w:pos="2587"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Company (including any successor thereto by merger, consolidation, acquisition of all or substantially all the assets thereof, or otherwise) and each of its Subsidiaries.</w:t>
      </w:r>
    </w:p>
    <w:p>
      <w:pPr>
        <w:spacing w:after="0" w:line="150" w:lineRule="exact"/>
        <w:rPr>
          <w:rFonts w:ascii="Times New Roman" w:cs="Times New Roman" w:eastAsia="Times New Roman" w:hAnsi="Times New Roman"/>
          <w:sz w:val="22"/>
          <w:szCs w:val="22"/>
          <w:color w:val="auto"/>
        </w:rPr>
      </w:pPr>
    </w:p>
    <w:p>
      <w:pPr>
        <w:ind w:right="140" w:firstLine="1952"/>
        <w:spacing w:after="0" w:line="236" w:lineRule="auto"/>
        <w:tabs>
          <w:tab w:leader="none" w:pos="258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Exercise</w:t>
      </w:r>
      <w:r>
        <w:rPr>
          <w:rFonts w:ascii="Times New Roman" w:cs="Times New Roman" w:eastAsia="Times New Roman" w:hAnsi="Times New Roman"/>
          <w:sz w:val="22"/>
          <w:szCs w:val="22"/>
          <w:color w:val="auto"/>
        </w:rPr>
        <w:t>” means the date on which the notice required by Paragraph 5 hereof is delivered to the Company, in the form and in such manner as provided by the Committee from time to time.</w:t>
      </w:r>
    </w:p>
    <w:p>
      <w:pPr>
        <w:spacing w:after="0" w:line="13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means the grant date identified on the attached Long-Term Incentive Award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Summary Schedule.</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means the earliest of the following:</w:t>
      </w:r>
    </w:p>
    <w:p>
      <w:pPr>
        <w:spacing w:after="0" w:line="179" w:lineRule="exact"/>
        <w:rPr>
          <w:rFonts w:ascii="Times New Roman" w:cs="Times New Roman" w:eastAsia="Times New Roman" w:hAnsi="Times New Roman"/>
          <w:sz w:val="22"/>
          <w:szCs w:val="22"/>
          <w:color w:val="auto"/>
        </w:rPr>
      </w:pPr>
    </w:p>
    <w:p>
      <w:pPr>
        <w:ind w:left="80" w:right="120" w:firstLine="2601"/>
        <w:spacing w:after="0" w:line="255" w:lineRule="auto"/>
        <w:tabs>
          <w:tab w:leader="none" w:pos="3234" w:val="left"/>
        </w:tabs>
        <w:numPr>
          <w:ilvl w:val="2"/>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Optionee’s Termination of Employment with the Company is due to any reason other than death, Disability, Cause, or a Retirement Termination, the date 90 days following such Termination of Employment;</w:t>
      </w:r>
    </w:p>
    <w:p>
      <w:pPr>
        <w:spacing w:after="0" w:line="134" w:lineRule="exact"/>
        <w:rPr>
          <w:rFonts w:ascii="Times New Roman" w:cs="Times New Roman" w:eastAsia="Times New Roman" w:hAnsi="Times New Roman"/>
          <w:sz w:val="21"/>
          <w:szCs w:val="21"/>
          <w:color w:val="auto"/>
        </w:rPr>
      </w:pPr>
    </w:p>
    <w:p>
      <w:pPr>
        <w:ind w:left="80" w:right="460" w:firstLine="2601"/>
        <w:spacing w:after="0" w:line="236" w:lineRule="auto"/>
        <w:tabs>
          <w:tab w:leader="none" w:pos="3234" w:val="left"/>
        </w:tabs>
        <w:numPr>
          <w:ilvl w:val="2"/>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Optionee’s Termination of Employment with the Company is because of death or Disability, the day before the tenth anniversary of the Date of Grant;</w:t>
      </w:r>
    </w:p>
    <w:p>
      <w:pPr>
        <w:sectPr>
          <w:pgSz w:w="11900" w:h="16838" w:orient="portrait"/>
          <w:cols w:equalWidth="0" w:num="1">
            <w:col w:w="11240"/>
          </w:cols>
          <w:pgMar w:left="320" w:top="94" w:right="339" w:bottom="1440" w:gutter="0" w:footer="0" w:header="0"/>
        </w:sectPr>
      </w:pPr>
    </w:p>
    <w:bookmarkStart w:id="306" w:name="page307"/>
    <w:bookmarkEnd w:id="306"/>
    <w:p>
      <w:pPr>
        <w:ind w:left="3240" w:hanging="559"/>
        <w:spacing w:after="0"/>
        <w:tabs>
          <w:tab w:leader="none" w:pos="324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Optionee’s Termination of Employment with the Company is for Cause, the date of</w:t>
      </w: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Termination of Employment;</w:t>
      </w:r>
    </w:p>
    <w:p>
      <w:pPr>
        <w:spacing w:after="0" w:line="142" w:lineRule="exact"/>
        <w:rPr>
          <w:rFonts w:ascii="Times New Roman" w:cs="Times New Roman" w:eastAsia="Times New Roman" w:hAnsi="Times New Roman"/>
          <w:sz w:val="22"/>
          <w:szCs w:val="22"/>
          <w:color w:val="auto"/>
        </w:rPr>
      </w:pPr>
    </w:p>
    <w:p>
      <w:pPr>
        <w:ind w:left="3240" w:hanging="559"/>
        <w:spacing w:after="0"/>
        <w:tabs>
          <w:tab w:leader="none" w:pos="324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cancellation by the Committee pursuant to Paragraph 3(d), following the</w:t>
      </w: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Optionee’s Retirement Termination, the day before the tenth anniversary of the Date of Grant; or</w:t>
      </w:r>
    </w:p>
    <w:p>
      <w:pPr>
        <w:spacing w:after="0" w:line="155" w:lineRule="exact"/>
        <w:rPr>
          <w:rFonts w:ascii="Times New Roman" w:cs="Times New Roman" w:eastAsia="Times New Roman" w:hAnsi="Times New Roman"/>
          <w:sz w:val="22"/>
          <w:szCs w:val="22"/>
          <w:color w:val="auto"/>
        </w:rPr>
      </w:pPr>
    </w:p>
    <w:p>
      <w:pPr>
        <w:ind w:left="3240" w:hanging="559"/>
        <w:spacing w:after="0"/>
        <w:tabs>
          <w:tab w:leader="none" w:pos="324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day before the tenth anniversary of the Date of Grant.</w:t>
      </w:r>
    </w:p>
    <w:p>
      <w:pPr>
        <w:spacing w:after="0" w:line="16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the Fair Market Value of a share of Common Stock, as determined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Plan.</w:t>
      </w:r>
    </w:p>
    <w:p>
      <w:pPr>
        <w:spacing w:after="0" w:line="155"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179" w:lineRule="exact"/>
        <w:rPr>
          <w:rFonts w:ascii="Times New Roman" w:cs="Times New Roman" w:eastAsia="Times New Roman" w:hAnsi="Times New Roman"/>
          <w:sz w:val="22"/>
          <w:szCs w:val="22"/>
          <w:color w:val="auto"/>
        </w:rPr>
      </w:pPr>
    </w:p>
    <w:p>
      <w:pPr>
        <w:ind w:right="40" w:firstLine="1952"/>
        <w:spacing w:after="0" w:line="236" w:lineRule="auto"/>
        <w:tabs>
          <w:tab w:leader="none" w:pos="2587"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Incentive Awards Summary Schedule</w:t>
      </w:r>
      <w:r>
        <w:rPr>
          <w:rFonts w:ascii="Times New Roman" w:cs="Times New Roman" w:eastAsia="Times New Roman" w:hAnsi="Times New Roman"/>
          <w:sz w:val="22"/>
          <w:szCs w:val="22"/>
          <w:color w:val="auto"/>
        </w:rPr>
        <w:t>” means the schedule attached hereto, which sets forth specific information relating to the grant, vesting and exercise of the Option.</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the option hereby granted.</w:t>
      </w:r>
    </w:p>
    <w:p>
      <w:pPr>
        <w:spacing w:after="0" w:line="179" w:lineRule="exact"/>
        <w:rPr>
          <w:rFonts w:ascii="Times New Roman" w:cs="Times New Roman" w:eastAsia="Times New Roman" w:hAnsi="Times New Roman"/>
          <w:sz w:val="22"/>
          <w:szCs w:val="22"/>
          <w:color w:val="auto"/>
        </w:rPr>
      </w:pPr>
    </w:p>
    <w:p>
      <w:pPr>
        <w:ind w:right="20" w:firstLine="1952"/>
        <w:spacing w:after="0" w:line="236" w:lineRule="auto"/>
        <w:tabs>
          <w:tab w:leader="none" w:pos="2587"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Optionee</w:t>
      </w:r>
      <w:r>
        <w:rPr>
          <w:rFonts w:ascii="Times New Roman" w:cs="Times New Roman" w:eastAsia="Times New Roman" w:hAnsi="Times New Roman"/>
          <w:sz w:val="22"/>
          <w:szCs w:val="22"/>
          <w:color w:val="auto"/>
        </w:rPr>
        <w:t>” means the individual to whom the Option has been granted as identified on the attached Long-Term Incentive Awards Summary Schedule.</w:t>
      </w:r>
    </w:p>
    <w:p>
      <w:pPr>
        <w:spacing w:after="0" w:line="150" w:lineRule="exact"/>
        <w:rPr>
          <w:rFonts w:ascii="Times New Roman" w:cs="Times New Roman" w:eastAsia="Times New Roman" w:hAnsi="Times New Roman"/>
          <w:sz w:val="22"/>
          <w:szCs w:val="22"/>
          <w:color w:val="auto"/>
        </w:rPr>
      </w:pPr>
    </w:p>
    <w:p>
      <w:pPr>
        <w:ind w:right="80" w:firstLine="1952"/>
        <w:spacing w:after="0" w:line="236" w:lineRule="auto"/>
        <w:tabs>
          <w:tab w:leader="none" w:pos="2587"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 Price</w:t>
      </w:r>
      <w:r>
        <w:rPr>
          <w:rFonts w:ascii="Times New Roman" w:cs="Times New Roman" w:eastAsia="Times New Roman" w:hAnsi="Times New Roman"/>
          <w:sz w:val="22"/>
          <w:szCs w:val="22"/>
          <w:color w:val="auto"/>
        </w:rPr>
        <w:t>” means the per Share exercise price of the Option, as calculated pursuant to the Plan and set forth on the attached Long-Term Incentive Awards Summary Schedule.</w:t>
      </w:r>
    </w:p>
    <w:p>
      <w:pPr>
        <w:spacing w:after="0" w:line="13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an association, a trust or any other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entity or organization.</w:t>
      </w:r>
    </w:p>
    <w:p>
      <w:pPr>
        <w:spacing w:after="0" w:line="155" w:lineRule="exact"/>
        <w:rPr>
          <w:rFonts w:ascii="Times New Roman" w:cs="Times New Roman" w:eastAsia="Times New Roman" w:hAnsi="Times New Roman"/>
          <w:sz w:val="22"/>
          <w:szCs w:val="22"/>
          <w:color w:val="auto"/>
        </w:rPr>
      </w:pPr>
    </w:p>
    <w:p>
      <w:pPr>
        <w:ind w:right="340" w:firstLine="1952"/>
        <w:spacing w:after="0" w:line="236" w:lineRule="auto"/>
        <w:tabs>
          <w:tab w:leader="none" w:pos="259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2023 Omnibus Equity Incentive Plan (as amended from time to time and including any successor plan thereto), incorporated herein by reference.</w:t>
      </w:r>
    </w:p>
    <w:p>
      <w:pPr>
        <w:spacing w:after="0" w:line="150" w:lineRule="exact"/>
        <w:rPr>
          <w:rFonts w:ascii="Times New Roman" w:cs="Times New Roman" w:eastAsia="Times New Roman" w:hAnsi="Times New Roman"/>
          <w:sz w:val="22"/>
          <w:szCs w:val="22"/>
          <w:color w:val="auto"/>
        </w:rPr>
      </w:pPr>
    </w:p>
    <w:p>
      <w:pPr>
        <w:jc w:val="both"/>
        <w:ind w:right="20" w:firstLine="1952"/>
        <w:spacing w:after="0" w:line="220" w:lineRule="auto"/>
        <w:tabs>
          <w:tab w:leader="none" w:pos="258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Termination</w:t>
      </w:r>
      <w:r>
        <w:rPr>
          <w:rFonts w:ascii="Times New Roman" w:cs="Times New Roman" w:eastAsia="Times New Roman" w:hAnsi="Times New Roman"/>
          <w:sz w:val="22"/>
          <w:szCs w:val="22"/>
          <w:color w:val="auto"/>
        </w:rPr>
        <w:t>” means the Optionee’s Termination of Employment for any reason (other than (i) due to the Optionee’s death or Disability or (ii) by the Company for Cause) at such time when the sum of the Optionee’s age and completed Years of Service equals or exceeds 70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Optionee has at least reached age 62 and completed 5 or more Years of Service).</w:t>
      </w:r>
    </w:p>
    <w:p>
      <w:pPr>
        <w:spacing w:after="0" w:line="152" w:lineRule="exact"/>
        <w:rPr>
          <w:rFonts w:ascii="Times New Roman" w:cs="Times New Roman" w:eastAsia="Times New Roman" w:hAnsi="Times New Roman"/>
          <w:sz w:val="22"/>
          <w:szCs w:val="22"/>
          <w:color w:val="auto"/>
        </w:rPr>
      </w:pPr>
    </w:p>
    <w:p>
      <w:pPr>
        <w:ind w:right="180" w:firstLine="1952"/>
        <w:spacing w:after="0" w:line="236" w:lineRule="auto"/>
        <w:tabs>
          <w:tab w:leader="none" w:pos="2587"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the total number of shares of Common Stock, which are the subject of the Option hereby granted, as set forth on the attached Long-Term Incentive Awards Summary Schedule.</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business entity that, at the time in question, is a subsidiary of the Company within the meaning of section 424(f) of the Code.</w:t>
      </w:r>
    </w:p>
    <w:p>
      <w:pPr>
        <w:spacing w:after="0" w:line="150" w:lineRule="exact"/>
        <w:rPr>
          <w:rFonts w:ascii="Times New Roman" w:cs="Times New Roman" w:eastAsia="Times New Roman" w:hAnsi="Times New Roman"/>
          <w:sz w:val="22"/>
          <w:szCs w:val="22"/>
          <w:color w:val="auto"/>
        </w:rPr>
      </w:pPr>
    </w:p>
    <w:p>
      <w:pPr>
        <w:ind w:right="20" w:firstLine="1952"/>
        <w:spacing w:after="0" w:line="217" w:lineRule="auto"/>
        <w:tabs>
          <w:tab w:leader="none" w:pos="2581"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means the Optionee’s termination of employment with the Participating Companies. For purposes of the Plan and this Award, the Optionee’s Termination of Employment occurs on the date the Optionee ceases to have a regular obligation to perform services for the Company, without regard to whether (i) the Optionee continues on the payroll of the Company for regular, severance or other pay or (ii) the Optionee continues to participate in one or more health and welfare plans maintained by the Company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382" w:right="359" w:bottom="1440" w:gutter="0" w:footer="0" w:header="0"/>
        </w:sectPr>
      </w:pPr>
    </w:p>
    <w:bookmarkStart w:id="307" w:name="page308"/>
    <w:bookmarkEnd w:id="307"/>
    <w:p>
      <w:pPr>
        <w:spacing w:after="0" w:line="220" w:lineRule="auto"/>
        <w:rPr>
          <w:sz w:val="20"/>
          <w:szCs w:val="20"/>
          <w:color w:val="auto"/>
        </w:rPr>
      </w:pPr>
      <w:r>
        <w:rPr>
          <w:rFonts w:ascii="Times New Roman" w:cs="Times New Roman" w:eastAsia="Times New Roman" w:hAnsi="Times New Roman"/>
          <w:sz w:val="22"/>
          <w:szCs w:val="22"/>
          <w:color w:val="auto"/>
        </w:rPr>
        <w:t>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139" w:lineRule="exact"/>
        <w:rPr>
          <w:sz w:val="20"/>
          <w:szCs w:val="20"/>
          <w:color w:val="auto"/>
        </w:rPr>
      </w:pPr>
    </w:p>
    <w:p>
      <w:pPr>
        <w:ind w:left="2600" w:hanging="648"/>
        <w:spacing w:after="0"/>
        <w:tabs>
          <w:tab w:leader="none" w:pos="260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means completed continuous years of service as reflected in the personnel</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records of the Company.</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1933 Act</w:t>
      </w:r>
      <w:r>
        <w:rPr>
          <w:rFonts w:ascii="Times New Roman" w:cs="Times New Roman" w:eastAsia="Times New Roman" w:hAnsi="Times New Roman"/>
          <w:sz w:val="22"/>
          <w:szCs w:val="22"/>
          <w:color w:val="auto"/>
        </w:rPr>
        <w:t>” means the Securities Act of 1933, as amended.</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1934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40" w:firstLine="1952"/>
        <w:spacing w:after="0" w:line="255" w:lineRule="auto"/>
        <w:tabs>
          <w:tab w:leader="none" w:pos="2589" w:val="left"/>
        </w:tabs>
        <w:numPr>
          <w:ilvl w:val="1"/>
          <w:numId w:val="3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herein and in the Plan, the Company hereby grants to the Optionee the Option to purchase any or all of the Shares, as set forth in the Long-Term Incentive Awards Summary Schedule.</w:t>
      </w:r>
    </w:p>
    <w:p>
      <w:pPr>
        <w:spacing w:after="0" w:line="134" w:lineRule="exact"/>
        <w:rPr>
          <w:rFonts w:ascii="Times New Roman" w:cs="Times New Roman" w:eastAsia="Times New Roman" w:hAnsi="Times New Roman"/>
          <w:sz w:val="21"/>
          <w:szCs w:val="21"/>
          <w:color w:val="auto"/>
        </w:rPr>
      </w:pPr>
    </w:p>
    <w:p>
      <w:pPr>
        <w:ind w:right="100" w:firstLine="1952"/>
        <w:spacing w:after="0" w:line="217" w:lineRule="auto"/>
        <w:tabs>
          <w:tab w:leader="none" w:pos="2587"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409A of the Code, to the extent applicable, the Company reserves the right to replace the Option, to the extent not yet exercised, with other compensation of comparable value, terms and conditions if, before the earlier of (i) the date the Option has been exercised in full or (ii) the Expiration Date, the Company determines that in connection with the Optionee’s transfer to a location different from the Optionee’s principal place of business on the date of grant, local regulatory requirements render the Option’s continued holding of the Option impracticable.</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of Exercise of Options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952"/>
        <w:spacing w:after="0" w:line="217" w:lineRule="auto"/>
        <w:tabs>
          <w:tab w:leader="none" w:pos="2589"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Paragraphs 3(b) or 3(c), the Option may be exercised after such time or times as set forth on the attached Long-Term Incentive Awards Summary Schedule, and shall remain exercisable until the Expiration Date, when the right to exercise shall terminate absolutely;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Optionee has complied with all applicable provisions of the HSR Act. No Shares subject to the Option shall first become exercisable following the Optionee’s Termination of Employment for any reason other than death or Disability or following the Optionee’s Retirement Termination.</w:t>
      </w:r>
    </w:p>
    <w:p>
      <w:pPr>
        <w:spacing w:after="0" w:line="152" w:lineRule="exact"/>
        <w:rPr>
          <w:rFonts w:ascii="Times New Roman" w:cs="Times New Roman" w:eastAsia="Times New Roman" w:hAnsi="Times New Roman"/>
          <w:sz w:val="22"/>
          <w:szCs w:val="22"/>
          <w:color w:val="auto"/>
        </w:rPr>
      </w:pPr>
    </w:p>
    <w:p>
      <w:pPr>
        <w:ind w:right="860" w:firstLine="1952"/>
        <w:spacing w:after="0" w:line="225" w:lineRule="auto"/>
        <w:tabs>
          <w:tab w:leader="none" w:pos="2587"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Shares subject to the Option shall vest and become exercisable upon the Optionee’s Termination of Employment because of death or Disability;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Optionee has complied with all applicable provisions of the HSR Act.</w:t>
      </w:r>
    </w:p>
    <w:p>
      <w:pPr>
        <w:spacing w:after="0" w:line="152" w:lineRule="exact"/>
        <w:rPr>
          <w:rFonts w:ascii="Times New Roman" w:cs="Times New Roman" w:eastAsia="Times New Roman" w:hAnsi="Times New Roman"/>
          <w:sz w:val="22"/>
          <w:szCs w:val="22"/>
          <w:color w:val="auto"/>
        </w:rPr>
      </w:pPr>
    </w:p>
    <w:p>
      <w:pPr>
        <w:ind w:right="120" w:firstLine="1952"/>
        <w:spacing w:after="0" w:line="220" w:lineRule="auto"/>
        <w:tabs>
          <w:tab w:leader="none" w:pos="2589"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Paragraph 3(a) to the contrary, and subject to the obligations described in Paragraph 3(d);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Optionee has complied with all applicable provisions of the HSR Act, in the event of the Optionee’s Retirement Termination, the Option shall continue to vest and will become exercisable as set forth on the Long-Term Incentive Awards Summary Schedule.</w:t>
      </w:r>
    </w:p>
    <w:p>
      <w:pPr>
        <w:spacing w:after="0" w:line="152" w:lineRule="exact"/>
        <w:rPr>
          <w:rFonts w:ascii="Times New Roman" w:cs="Times New Roman" w:eastAsia="Times New Roman" w:hAnsi="Times New Roman"/>
          <w:sz w:val="22"/>
          <w:szCs w:val="22"/>
          <w:color w:val="auto"/>
        </w:rPr>
      </w:pPr>
    </w:p>
    <w:p>
      <w:pPr>
        <w:ind w:right="80" w:firstLine="1952"/>
        <w:spacing w:after="0" w:line="220" w:lineRule="auto"/>
        <w:tabs>
          <w:tab w:leader="none" w:pos="2587"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Option will be subject to cancellation by the Committee, in its sole discretion, if the Optionee breaches either of the following non-solicitation or non-competition obligations during the period following the Optionee’s Termination of Employment in which the Option remains exercisable by the Optionee pursuant to the terms of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395" w:right="359" w:bottom="1440" w:gutter="0" w:footer="0" w:header="0"/>
        </w:sectPr>
      </w:pPr>
    </w:p>
    <w:bookmarkStart w:id="308" w:name="page309"/>
    <w:bookmarkEnd w:id="308"/>
    <w:p>
      <w:pPr>
        <w:ind w:left="72" w:right="200" w:firstLine="2601"/>
        <w:spacing w:after="0" w:line="225" w:lineRule="auto"/>
        <w:tabs>
          <w:tab w:leader="none" w:pos="3226" w:val="left"/>
        </w:tabs>
        <w:numPr>
          <w:ilvl w:val="2"/>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52" w:lineRule="exact"/>
        <w:rPr>
          <w:rFonts w:ascii="Times New Roman" w:cs="Times New Roman" w:eastAsia="Times New Roman" w:hAnsi="Times New Roman"/>
          <w:sz w:val="22"/>
          <w:szCs w:val="22"/>
          <w:color w:val="auto"/>
        </w:rPr>
      </w:pPr>
    </w:p>
    <w:p>
      <w:pPr>
        <w:ind w:left="72" w:right="80" w:firstLine="2601"/>
        <w:spacing w:after="0" w:line="210" w:lineRule="auto"/>
        <w:tabs>
          <w:tab w:leader="none" w:pos="3226" w:val="left"/>
        </w:tabs>
        <w:numPr>
          <w:ilvl w:val="2"/>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shall not, directly or indirectly, (A) engage or be financially interested in (as an agent, consultant, director, employee, independent contractor, officer, owner, partner, principal or otherwise), any activities for any business (whether conducted by an entity or individuals, including the Optionee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the Optionee’s knowledge at the time of the Optionee’s termination of employment (each a, “</w:t>
      </w:r>
      <w:r>
        <w:rPr>
          <w:rFonts w:ascii="Times New Roman" w:cs="Times New Roman" w:eastAsia="Times New Roman" w:hAnsi="Times New Roman"/>
          <w:sz w:val="22"/>
          <w:szCs w:val="22"/>
          <w:b w:val="1"/>
          <w:bCs w:val="1"/>
          <w:color w:val="auto"/>
        </w:rPr>
        <w:t>Competitive Business</w:t>
      </w:r>
      <w:r>
        <w:rPr>
          <w:rFonts w:ascii="Times New Roman" w:cs="Times New Roman" w:eastAsia="Times New Roman" w:hAnsi="Times New Roman"/>
          <w:sz w:val="22"/>
          <w:szCs w:val="22"/>
          <w:color w:val="auto"/>
        </w:rPr>
        <w:t xml:space="preserve">”) or (B) work in the Optionee’s profession (whether or not for a Competitive Business);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Paragraph 3(b)(2) shall prevent the Optionee from engaging in the practice of law. This restriction shall apply in any geographical area of the United States in which the Company carries out business activities. Nothing herein shall prevent the Optionee from owning for investment up to one percent (1%) of any class of equity security of an entity whose securities are traded on a national securities exchange or market.</w:t>
      </w:r>
    </w:p>
    <w:p>
      <w:pPr>
        <w:spacing w:after="0" w:line="151" w:lineRule="exact"/>
        <w:rPr>
          <w:rFonts w:ascii="Times New Roman" w:cs="Times New Roman" w:eastAsia="Times New Roman" w:hAnsi="Times New Roman"/>
          <w:sz w:val="22"/>
          <w:szCs w:val="22"/>
          <w:color w:val="auto"/>
        </w:rPr>
      </w:pPr>
    </w:p>
    <w:p>
      <w:pPr>
        <w:ind w:left="-8" w:right="40" w:firstLine="1952"/>
        <w:spacing w:after="0" w:line="220" w:lineRule="auto"/>
        <w:tabs>
          <w:tab w:leader="none" w:pos="2581"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 remains unexercised immediately before the time at which the Option is scheduled to expire in accordance with the rules of the Plan and this grant document, the Option shall be deemed automatically exercised in accordance with Section 9(e)(ii) of the Plan immediately before the time at which the Option is scheduled to expire, if the Option satisfies the following conditions:</w:t>
      </w:r>
    </w:p>
    <w:p>
      <w:pPr>
        <w:spacing w:after="0" w:line="139" w:lineRule="exact"/>
        <w:rPr>
          <w:rFonts w:ascii="Times New Roman" w:cs="Times New Roman" w:eastAsia="Times New Roman" w:hAnsi="Times New Roman"/>
          <w:sz w:val="22"/>
          <w:szCs w:val="22"/>
          <w:color w:val="auto"/>
        </w:rPr>
      </w:pPr>
    </w:p>
    <w:p>
      <w:pPr>
        <w:ind w:left="3232" w:hanging="559"/>
        <w:spacing w:after="0"/>
        <w:tabs>
          <w:tab w:leader="none" w:pos="3232" w:val="left"/>
        </w:tabs>
        <w:numPr>
          <w:ilvl w:val="2"/>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is covered by a then current registration statement or a Notification under</w:t>
      </w:r>
    </w:p>
    <w:p>
      <w:pPr>
        <w:ind w:left="7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Regulation A under the 1933 Act.</w:t>
      </w:r>
    </w:p>
    <w:p>
      <w:pPr>
        <w:spacing w:after="0" w:line="155" w:lineRule="exact"/>
        <w:rPr>
          <w:rFonts w:ascii="Times New Roman" w:cs="Times New Roman" w:eastAsia="Times New Roman" w:hAnsi="Times New Roman"/>
          <w:sz w:val="22"/>
          <w:szCs w:val="22"/>
          <w:color w:val="auto"/>
        </w:rPr>
      </w:pPr>
    </w:p>
    <w:p>
      <w:pPr>
        <w:ind w:left="72" w:right="380" w:firstLine="2601"/>
        <w:spacing w:after="0" w:line="220" w:lineRule="auto"/>
        <w:tabs>
          <w:tab w:leader="none" w:pos="3226" w:val="left"/>
        </w:tabs>
        <w:numPr>
          <w:ilvl w:val="2"/>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reported sale price of a share of Common Stock on the principal exchange on which shares of Common Stock are listed on the date of determination, or if such date is not a trading day, the last preceding trading day, exceeds the Option Price by such amount as may be determined by the Committee from time to time. Absent a contrary determination, such excess per share shall be $0.01.</w:t>
      </w:r>
    </w:p>
    <w:p>
      <w:pPr>
        <w:spacing w:after="0" w:line="152" w:lineRule="exact"/>
        <w:rPr>
          <w:rFonts w:ascii="Times New Roman" w:cs="Times New Roman" w:eastAsia="Times New Roman" w:hAnsi="Times New Roman"/>
          <w:sz w:val="22"/>
          <w:szCs w:val="22"/>
          <w:color w:val="auto"/>
        </w:rPr>
      </w:pPr>
    </w:p>
    <w:p>
      <w:pPr>
        <w:ind w:left="72" w:right="280" w:firstLine="2601"/>
        <w:spacing w:after="0" w:line="225" w:lineRule="auto"/>
        <w:tabs>
          <w:tab w:leader="none" w:pos="3226" w:val="left"/>
        </w:tabs>
        <w:numPr>
          <w:ilvl w:val="2"/>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to whom such Option has been granted has not terminated employment for Cause, and, immediately before the time at which such Option is scheduled to expire, there is no basis for a termination of employment for Cause.</w:t>
      </w:r>
    </w:p>
    <w:p>
      <w:pPr>
        <w:spacing w:after="0" w:line="152" w:lineRule="exact"/>
        <w:rPr>
          <w:rFonts w:ascii="Times New Roman" w:cs="Times New Roman" w:eastAsia="Times New Roman" w:hAnsi="Times New Roman"/>
          <w:sz w:val="22"/>
          <w:szCs w:val="22"/>
          <w:color w:val="auto"/>
        </w:rPr>
      </w:pPr>
    </w:p>
    <w:p>
      <w:pPr>
        <w:ind w:left="3232" w:hanging="559"/>
        <w:spacing w:after="0"/>
        <w:tabs>
          <w:tab w:leader="none" w:pos="3232" w:val="left"/>
        </w:tabs>
        <w:numPr>
          <w:ilvl w:val="2"/>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has complied with all applicable provisions of the HSR Act.</w:t>
      </w:r>
    </w:p>
    <w:p>
      <w:pPr>
        <w:spacing w:after="0" w:line="206" w:lineRule="exact"/>
        <w:rPr>
          <w:rFonts w:ascii="Times New Roman" w:cs="Times New Roman" w:eastAsia="Times New Roman" w:hAnsi="Times New Roman"/>
          <w:sz w:val="22"/>
          <w:szCs w:val="22"/>
          <w:color w:val="auto"/>
        </w:rPr>
      </w:pPr>
    </w:p>
    <w:p>
      <w:pPr>
        <w:ind w:left="-8" w:firstLine="8"/>
        <w:spacing w:after="0" w:line="251" w:lineRule="auto"/>
        <w:tabs>
          <w:tab w:leader="none" w:pos="64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subject to this Paragraph 3(e)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Section 11 of the Plan) for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12"/>
          </w:cols>
          <w:pgMar w:left="328" w:top="1395" w:right="359" w:bottom="1440" w:gutter="0" w:footer="0" w:header="0"/>
        </w:sectPr>
      </w:pPr>
    </w:p>
    <w:bookmarkStart w:id="309" w:name="page310"/>
    <w:bookmarkEnd w:id="309"/>
    <w:p>
      <w:pPr>
        <w:ind w:left="-8" w:right="100" w:firstLine="8"/>
        <w:spacing w:after="0" w:line="253" w:lineRule="auto"/>
        <w:tabs>
          <w:tab w:leader="none" w:pos="856"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 If Options would have become exercisable pursuant to the Long-Term Incentive Awards Summary Schedule or this Paragraph 3, but did not vest solely because the Optionee was not in compliance with all applicable provisions of the HSR Act, then, unless the Options have expired, the such Options shall become exercisable on the first date following the date on which they would have become exercisable pursuant to the Long-Term Incentive Awards Summary Schedule or this Paragraph 3 on which Optionee has complied with all applicable provisions of the HSR Act.</w:t>
      </w:r>
    </w:p>
    <w:p>
      <w:pPr>
        <w:spacing w:after="0" w:line="151" w:lineRule="exact"/>
        <w:rPr>
          <w:rFonts w:ascii="Times New Roman" w:cs="Times New Roman" w:eastAsia="Times New Roman" w:hAnsi="Times New Roman"/>
          <w:sz w:val="22"/>
          <w:szCs w:val="22"/>
          <w:color w:val="auto"/>
        </w:rPr>
      </w:pPr>
    </w:p>
    <w:p>
      <w:pPr>
        <w:ind w:left="-8" w:firstLine="1304"/>
        <w:spacing w:after="0" w:line="215" w:lineRule="auto"/>
        <w:tabs>
          <w:tab w:leader="none" w:pos="1936"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for Shares</w:t>
      </w:r>
      <w:r>
        <w:rPr>
          <w:rFonts w:ascii="Times New Roman" w:cs="Times New Roman" w:eastAsia="Times New Roman" w:hAnsi="Times New Roman"/>
          <w:sz w:val="22"/>
          <w:szCs w:val="22"/>
          <w:color w:val="auto"/>
        </w:rPr>
        <w:t>. Full payment for Shares purchased upon the exercise of an Option shall be made via cashless exercise, such that subject to the other terms and conditions of this Award and the Plan, the Company shall deliver to the 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13 of this Award and Section 11 of the Plan) for such exercise.</w:t>
      </w:r>
    </w:p>
    <w:p>
      <w:pPr>
        <w:spacing w:after="0" w:line="152" w:lineRule="exact"/>
        <w:rPr>
          <w:rFonts w:ascii="Times New Roman" w:cs="Times New Roman" w:eastAsia="Times New Roman" w:hAnsi="Times New Roman"/>
          <w:sz w:val="22"/>
          <w:szCs w:val="22"/>
          <w:color w:val="auto"/>
        </w:rPr>
      </w:pPr>
    </w:p>
    <w:p>
      <w:pPr>
        <w:ind w:left="-8" w:right="60" w:firstLine="1304"/>
        <w:spacing w:after="0" w:line="236" w:lineRule="auto"/>
        <w:tabs>
          <w:tab w:leader="none" w:pos="1936"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The Option shall be exercised by giving written notice of exercise in accordance with the manner prescribed by the Committee.</w:t>
      </w:r>
    </w:p>
    <w:p>
      <w:pPr>
        <w:spacing w:after="0" w:line="150" w:lineRule="exact"/>
        <w:rPr>
          <w:rFonts w:ascii="Times New Roman" w:cs="Times New Roman" w:eastAsia="Times New Roman" w:hAnsi="Times New Roman"/>
          <w:sz w:val="22"/>
          <w:szCs w:val="22"/>
          <w:color w:val="auto"/>
        </w:rPr>
      </w:pPr>
    </w:p>
    <w:p>
      <w:pPr>
        <w:ind w:left="-8" w:right="40" w:firstLine="1304"/>
        <w:spacing w:after="0" w:line="215" w:lineRule="auto"/>
        <w:tabs>
          <w:tab w:leader="none" w:pos="1936"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152" w:lineRule="exact"/>
        <w:rPr>
          <w:rFonts w:ascii="Times New Roman" w:cs="Times New Roman" w:eastAsia="Times New Roman" w:hAnsi="Times New Roman"/>
          <w:sz w:val="22"/>
          <w:szCs w:val="22"/>
          <w:color w:val="auto"/>
        </w:rPr>
      </w:pPr>
    </w:p>
    <w:p>
      <w:pPr>
        <w:ind w:left="-8" w:right="60" w:firstLine="1304"/>
        <w:spacing w:after="0" w:line="222" w:lineRule="auto"/>
        <w:tabs>
          <w:tab w:leader="none" w:pos="1936" w:val="left"/>
        </w:tabs>
        <w:numPr>
          <w:ilvl w:val="1"/>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Securities Laws</w:t>
      </w:r>
      <w:r>
        <w:rPr>
          <w:rFonts w:ascii="Times New Roman" w:cs="Times New Roman" w:eastAsia="Times New Roman" w:hAnsi="Times New Roman"/>
          <w:sz w:val="21"/>
          <w:szCs w:val="21"/>
          <w:color w:val="auto"/>
        </w:rPr>
        <w:t>.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Company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Company or its counsel, the Company may cause a legend to be placed on such Shares calling attention to the fact that they have been acquired for investment and have not been registered.</w:t>
      </w:r>
    </w:p>
    <w:p>
      <w:pPr>
        <w:spacing w:after="0" w:line="149" w:lineRule="exact"/>
        <w:rPr>
          <w:rFonts w:ascii="Times New Roman" w:cs="Times New Roman" w:eastAsia="Times New Roman" w:hAnsi="Times New Roman"/>
          <w:sz w:val="21"/>
          <w:szCs w:val="21"/>
          <w:color w:val="auto"/>
        </w:rPr>
      </w:pPr>
    </w:p>
    <w:p>
      <w:pPr>
        <w:ind w:left="-8" w:right="400" w:firstLine="1304"/>
        <w:spacing w:after="0" w:line="220" w:lineRule="auto"/>
        <w:tabs>
          <w:tab w:leader="none" w:pos="1936"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Certificate at Closing</w:t>
      </w:r>
      <w:r>
        <w:rPr>
          <w:rFonts w:ascii="Times New Roman" w:cs="Times New Roman" w:eastAsia="Times New Roman" w:hAnsi="Times New Roman"/>
          <w:sz w:val="22"/>
          <w:szCs w:val="22"/>
          <w:color w:val="auto"/>
        </w:rPr>
        <w:t>. Subject to the provisions of this Paragraph 8, the Closing Date shall occur as promptly as is feasible after the exercise of the Option. Subject to the provisions of Paragraphs 7 and 9 hereof, a certificate for the Shares issuable on the exercise of the Option shall be delivered to the Optionee or to his personal representative, heir or legatee at the Closing.</w:t>
      </w:r>
    </w:p>
    <w:p>
      <w:pPr>
        <w:spacing w:after="0" w:line="152" w:lineRule="exact"/>
        <w:rPr>
          <w:rFonts w:ascii="Times New Roman" w:cs="Times New Roman" w:eastAsia="Times New Roman" w:hAnsi="Times New Roman"/>
          <w:sz w:val="22"/>
          <w:szCs w:val="22"/>
          <w:color w:val="auto"/>
        </w:rPr>
      </w:pPr>
    </w:p>
    <w:p>
      <w:pPr>
        <w:jc w:val="both"/>
        <w:ind w:left="-8" w:right="40" w:firstLine="1304"/>
        <w:spacing w:after="0" w:line="220" w:lineRule="auto"/>
        <w:tabs>
          <w:tab w:leader="none" w:pos="1928"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Prior to Exercise</w:t>
      </w:r>
      <w:r>
        <w:rPr>
          <w:rFonts w:ascii="Times New Roman" w:cs="Times New Roman" w:eastAsia="Times New Roman" w:hAnsi="Times New Roman"/>
          <w:sz w:val="22"/>
          <w:szCs w:val="22"/>
          <w:color w:val="auto"/>
        </w:rPr>
        <w:t>. The Optionee shall not have any right as a stockholder with respect to any Shares subject to his Options until the Option shall have been exercised in accordance with the terms of the Plan and this Award and the Company shall have delivered the Shares. In the event that the Optionee’s Termination of Employment with the Company is for Cause, upon a determination by the Committee, the Optionee shall automatically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92"/>
          </w:cols>
          <w:pgMar w:left="328" w:top="1422" w:right="379" w:bottom="1440" w:gutter="0" w:footer="0" w:header="0"/>
        </w:sectPr>
      </w:pPr>
    </w:p>
    <w:bookmarkStart w:id="310" w:name="page311"/>
    <w:bookmarkEnd w:id="310"/>
    <w:p>
      <w:pPr>
        <w:ind w:right="240"/>
        <w:spacing w:after="0" w:line="236" w:lineRule="auto"/>
        <w:rPr>
          <w:sz w:val="20"/>
          <w:szCs w:val="20"/>
          <w:color w:val="auto"/>
        </w:rPr>
      </w:pPr>
      <w:r>
        <w:rPr>
          <w:rFonts w:ascii="Times New Roman" w:cs="Times New Roman" w:eastAsia="Times New Roman" w:hAnsi="Times New Roman"/>
          <w:sz w:val="22"/>
          <w:szCs w:val="22"/>
          <w:color w:val="auto"/>
        </w:rPr>
        <w:t>forfeit all Shares otherwise subject to delivery upon exercise of an Option but for which the Company has not yet delivered the Shares.</w:t>
      </w:r>
    </w:p>
    <w:p>
      <w:pPr>
        <w:spacing w:after="0" w:line="150" w:lineRule="exact"/>
        <w:rPr>
          <w:sz w:val="20"/>
          <w:szCs w:val="20"/>
          <w:color w:val="auto"/>
        </w:rPr>
      </w:pPr>
    </w:p>
    <w:p>
      <w:pPr>
        <w:jc w:val="both"/>
        <w:ind w:right="40" w:firstLine="1304"/>
        <w:spacing w:after="0" w:line="217" w:lineRule="auto"/>
        <w:tabs>
          <w:tab w:leader="none" w:pos="1944"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Option; Interpretation</w:t>
      </w:r>
      <w:r>
        <w:rPr>
          <w:rFonts w:ascii="Times New Roman" w:cs="Times New Roman" w:eastAsia="Times New Roman" w:hAnsi="Times New Roman"/>
          <w:sz w:val="22"/>
          <w:szCs w:val="22"/>
          <w:color w:val="auto"/>
        </w:rPr>
        <w:t>.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10.</w:t>
      </w:r>
    </w:p>
    <w:p>
      <w:pPr>
        <w:spacing w:after="0" w:line="152" w:lineRule="exact"/>
        <w:rPr>
          <w:rFonts w:ascii="Times New Roman" w:cs="Times New Roman" w:eastAsia="Times New Roman" w:hAnsi="Times New Roman"/>
          <w:sz w:val="22"/>
          <w:szCs w:val="22"/>
          <w:color w:val="auto"/>
        </w:rPr>
      </w:pPr>
    </w:p>
    <w:p>
      <w:pPr>
        <w:ind w:right="160" w:firstLine="1304"/>
        <w:spacing w:after="0" w:line="236" w:lineRule="auto"/>
        <w:tabs>
          <w:tab w:leader="none" w:pos="1944"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Not to Affect Employment</w:t>
      </w:r>
      <w:r>
        <w:rPr>
          <w:rFonts w:ascii="Times New Roman" w:cs="Times New Roman" w:eastAsia="Times New Roman" w:hAnsi="Times New Roman"/>
          <w:sz w:val="22"/>
          <w:szCs w:val="22"/>
          <w:color w:val="auto"/>
        </w:rPr>
        <w:t>. The Option granted hereunder shall not confer upon the Optionee any right to continue in service as an employee, officer or director of the Company or any subsidiary of the Company.</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60" w:firstLine="1952"/>
        <w:spacing w:after="0" w:line="225" w:lineRule="auto"/>
        <w:tabs>
          <w:tab w:leader="none" w:pos="2589"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for the Optionee to which notice, demands and other communications to be given or delivered under or by reason of the provisions hereof shall be the Optionee’s address contained in the Company’s personnel records, or such other address as the Optionee may provide to the Company by written notice.</w:t>
      </w:r>
    </w:p>
    <w:p>
      <w:pPr>
        <w:spacing w:after="0" w:line="15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may be executed in one or more counterparts all of which taken together will constitute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one and the same instrument.</w:t>
      </w:r>
    </w:p>
    <w:p>
      <w:pPr>
        <w:spacing w:after="0" w:line="155" w:lineRule="exact"/>
        <w:rPr>
          <w:rFonts w:ascii="Times New Roman" w:cs="Times New Roman" w:eastAsia="Times New Roman" w:hAnsi="Times New Roman"/>
          <w:sz w:val="21"/>
          <w:szCs w:val="21"/>
          <w:color w:val="auto"/>
        </w:rPr>
      </w:pPr>
    </w:p>
    <w:p>
      <w:pPr>
        <w:ind w:right="240" w:firstLine="1952"/>
        <w:spacing w:after="0" w:line="236" w:lineRule="auto"/>
        <w:tabs>
          <w:tab w:leader="none" w:pos="2589"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performance, construction and effect of this Award shall be governed by the laws of the Commonwealth of Pennsylvania, without giving effect to principles of conflicts of law.</w:t>
      </w:r>
    </w:p>
    <w:p>
      <w:pPr>
        <w:spacing w:after="0" w:line="150" w:lineRule="exact"/>
        <w:rPr>
          <w:rFonts w:ascii="Times New Roman" w:cs="Times New Roman" w:eastAsia="Times New Roman" w:hAnsi="Times New Roman"/>
          <w:sz w:val="22"/>
          <w:szCs w:val="22"/>
          <w:color w:val="auto"/>
        </w:rPr>
      </w:pPr>
    </w:p>
    <w:p>
      <w:pPr>
        <w:jc w:val="both"/>
        <w:ind w:right="280" w:firstLine="1952"/>
        <w:spacing w:after="0" w:line="220" w:lineRule="auto"/>
        <w:tabs>
          <w:tab w:leader="none" w:pos="2587"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term or provision of this Award is held to be invalid or unenforceable for any reason, such invalidity or unenforceability shall not affect any other term or provision hereof and this Award shall continue in full force and effect as if such invalid or unenforceable term or provision (to the extent of the invalidity or unenforceability) had not been contained herein.</w:t>
      </w:r>
    </w:p>
    <w:p>
      <w:pPr>
        <w:spacing w:after="0" w:line="152" w:lineRule="exact"/>
        <w:rPr>
          <w:rFonts w:ascii="Times New Roman" w:cs="Times New Roman" w:eastAsia="Times New Roman" w:hAnsi="Times New Roman"/>
          <w:sz w:val="22"/>
          <w:szCs w:val="22"/>
          <w:color w:val="auto"/>
        </w:rPr>
      </w:pPr>
    </w:p>
    <w:p>
      <w:pPr>
        <w:ind w:right="20" w:firstLine="1304"/>
        <w:spacing w:after="0" w:line="215" w:lineRule="auto"/>
        <w:tabs>
          <w:tab w:leader="none" w:pos="1944"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Whenever the Company proposes or is required to deliver or transfer Shares in connection with the exercise of the Option, the Company shall have the right to (a) withhold Shares subject to the Optionee’s exercise of the Option as provided in Paragraph 4 of the Award and Section 11 of the Plan, (b) require the Optionee to remit to the Company an amount sufficient to satisfy any federal, state and/or local withholding tax requirements prior to the delivery or transfer of any certificate or certificates for such Shares or (c) take whatever action it deems necessary to protect its interests with respect to tax liabilities.</w:t>
      </w:r>
    </w:p>
    <w:p>
      <w:pPr>
        <w:spacing w:after="0" w:line="152" w:lineRule="exact"/>
        <w:rPr>
          <w:rFonts w:ascii="Times New Roman" w:cs="Times New Roman" w:eastAsia="Times New Roman" w:hAnsi="Times New Roman"/>
          <w:sz w:val="22"/>
          <w:szCs w:val="22"/>
          <w:color w:val="auto"/>
        </w:rPr>
      </w:pPr>
    </w:p>
    <w:p>
      <w:pPr>
        <w:ind w:right="160" w:firstLine="1304"/>
        <w:spacing w:after="0" w:line="236" w:lineRule="auto"/>
        <w:tabs>
          <w:tab w:leader="none" w:pos="1944"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Protection</w:t>
      </w:r>
      <w:r>
        <w:rPr>
          <w:rFonts w:ascii="Times New Roman" w:cs="Times New Roman" w:eastAsia="Times New Roman" w:hAnsi="Times New Roman"/>
          <w:sz w:val="22"/>
          <w:szCs w:val="22"/>
          <w:color w:val="auto"/>
        </w:rPr>
        <w:t>. Optionee acknowledges that their personal data will be processed in accordance with the data privacy policy, notice and/or agreement that is applicable to them in connection with their employment.</w:t>
      </w:r>
    </w:p>
    <w:p>
      <w:pPr>
        <w:spacing w:after="0" w:line="150" w:lineRule="exact"/>
        <w:rPr>
          <w:rFonts w:ascii="Times New Roman" w:cs="Times New Roman" w:eastAsia="Times New Roman" w:hAnsi="Times New Roman"/>
          <w:sz w:val="22"/>
          <w:szCs w:val="22"/>
          <w:color w:val="auto"/>
        </w:rPr>
      </w:pPr>
    </w:p>
    <w:p>
      <w:pPr>
        <w:ind w:right="620" w:firstLine="1304"/>
        <w:spacing w:after="0" w:line="236" w:lineRule="auto"/>
        <w:tabs>
          <w:tab w:leader="none" w:pos="1944"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Cancellation/Clawback</w:t>
      </w:r>
      <w:r>
        <w:rPr>
          <w:rFonts w:ascii="Times New Roman" w:cs="Times New Roman" w:eastAsia="Times New Roman" w:hAnsi="Times New Roman"/>
          <w:sz w:val="22"/>
          <w:szCs w:val="22"/>
          <w:color w:val="auto"/>
        </w:rPr>
        <w:t>. Optionee hereby acknowledges and agrees that Optionee and the Award are subject to the terms and conditions of Section 14 (Recoupment) of the Plan.</w:t>
      </w:r>
    </w:p>
    <w:p>
      <w:pPr>
        <w:spacing w:after="0" w:line="150" w:lineRule="exact"/>
        <w:rPr>
          <w:rFonts w:ascii="Times New Roman" w:cs="Times New Roman" w:eastAsia="Times New Roman" w:hAnsi="Times New Roman"/>
          <w:sz w:val="22"/>
          <w:szCs w:val="22"/>
          <w:color w:val="auto"/>
        </w:rPr>
      </w:pPr>
    </w:p>
    <w:p>
      <w:pPr>
        <w:ind w:firstLine="1304"/>
        <w:spacing w:after="0" w:line="225" w:lineRule="auto"/>
        <w:tabs>
          <w:tab w:leader="none" w:pos="1944"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Plan Control</w:t>
      </w:r>
      <w:r>
        <w:rPr>
          <w:rFonts w:ascii="Times New Roman" w:cs="Times New Roman" w:eastAsia="Times New Roman" w:hAnsi="Times New Roman"/>
          <w:sz w:val="22"/>
          <w:szCs w:val="22"/>
          <w:color w:val="auto"/>
        </w:rPr>
        <w:t>. This Agreement is subject to all the terms, conditions and provisions of the Plan, including the amendment provisions thereof, and to such rules, regulations and interpretations relating to the Plan as may be adopted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395" w:right="359" w:bottom="1440" w:gutter="0" w:footer="0" w:header="0"/>
        </w:sectPr>
      </w:pPr>
    </w:p>
    <w:bookmarkStart w:id="311" w:name="page312"/>
    <w:bookmarkEnd w:id="311"/>
    <w:p>
      <w:pPr>
        <w:spacing w:after="0" w:line="236" w:lineRule="auto"/>
        <w:rPr>
          <w:sz w:val="20"/>
          <w:szCs w:val="20"/>
          <w:color w:val="auto"/>
        </w:rPr>
      </w:pPr>
      <w:r>
        <w:rPr>
          <w:rFonts w:ascii="Times New Roman" w:cs="Times New Roman" w:eastAsia="Times New Roman" w:hAnsi="Times New Roman"/>
          <w:sz w:val="22"/>
          <w:szCs w:val="22"/>
          <w:color w:val="auto"/>
        </w:rPr>
        <w:t>and as may be in effect from time to time. The terms of the Plan are incorporated herein by reference. If and to the extent that this Agreement conflicts with the Plan, the Plan shall control, and this Agreement shall be deemed to be modified accordingly.</w:t>
      </w:r>
    </w:p>
    <w:p>
      <w:pPr>
        <w:spacing w:after="0" w:line="150" w:lineRule="exact"/>
        <w:rPr>
          <w:sz w:val="20"/>
          <w:szCs w:val="20"/>
          <w:color w:val="auto"/>
        </w:rPr>
      </w:pPr>
    </w:p>
    <w:p>
      <w:pPr>
        <w:ind w:right="120" w:firstLine="1304"/>
        <w:spacing w:after="0" w:line="231" w:lineRule="auto"/>
        <w:tabs>
          <w:tab w:leader="none" w:pos="1944"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pacing w:after="0" w:line="150" w:lineRule="exact"/>
        <w:rPr>
          <w:rFonts w:ascii="Times New Roman" w:cs="Times New Roman" w:eastAsia="Times New Roman" w:hAnsi="Times New Roman"/>
          <w:sz w:val="21"/>
          <w:szCs w:val="21"/>
          <w:color w:val="auto"/>
        </w:rPr>
      </w:pPr>
    </w:p>
    <w:p>
      <w:pPr>
        <w:ind w:firstLine="1304"/>
        <w:spacing w:after="0" w:line="217" w:lineRule="auto"/>
        <w:tabs>
          <w:tab w:leader="none" w:pos="1944"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No Third-Party Beneficiaries</w:t>
      </w:r>
      <w:r>
        <w:rPr>
          <w:rFonts w:ascii="Times New Roman" w:cs="Times New Roman" w:eastAsia="Times New Roman" w:hAnsi="Times New Roman"/>
          <w:sz w:val="22"/>
          <w:szCs w:val="22"/>
          <w:color w:val="auto"/>
        </w:rPr>
        <w:t>. This Agreement shall inure to the benefit of and be binding upon the Company and Optionee and their respective heirs, successors, legal representatives and permitted assigns. Nothing in this Agreement, express or implied, is intended to confer on any Person other than the Company and Optionee, and their respective heirs, successors, legal representatives and permitted assigns, any rights, remedies, obligations or liabilities under or by reason of this Agreement.</w:t>
      </w:r>
    </w:p>
    <w:p>
      <w:pPr>
        <w:spacing w:after="0" w:line="152" w:lineRule="exact"/>
        <w:rPr>
          <w:rFonts w:ascii="Times New Roman" w:cs="Times New Roman" w:eastAsia="Times New Roman" w:hAnsi="Times New Roman"/>
          <w:sz w:val="22"/>
          <w:szCs w:val="22"/>
          <w:color w:val="auto"/>
        </w:rPr>
      </w:pPr>
    </w:p>
    <w:p>
      <w:pPr>
        <w:ind w:right="120" w:firstLine="1304"/>
        <w:spacing w:after="0" w:line="215" w:lineRule="auto"/>
        <w:tabs>
          <w:tab w:leader="none" w:pos="1944"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 and Optionee Undertaking</w:t>
      </w:r>
      <w:r>
        <w:rPr>
          <w:rFonts w:ascii="Times New Roman" w:cs="Times New Roman" w:eastAsia="Times New Roman" w:hAnsi="Times New Roman"/>
          <w:sz w:val="22"/>
          <w:szCs w:val="22"/>
          <w:color w:val="auto"/>
        </w:rPr>
        <w:t>. The Company reserves the right to impose other requirements on Optionee’s participation in the Plan, on the Award and on any Shares to be issued upon settlement of the Award, to the extent the Company determines it is necessary or advisable for legal or administrative reasons. Optionee agrees to take whatever additional action and execute whatever additional documents the Company may deem necessary or advisable to accomplish the foregoing or to carry out or give effect to any of the obligations or restrictions imposed on either Optionee or the Award pursuant to this Agreement.</w:t>
      </w:r>
    </w:p>
    <w:p>
      <w:pPr>
        <w:spacing w:after="0" w:line="152" w:lineRule="exact"/>
        <w:rPr>
          <w:rFonts w:ascii="Times New Roman" w:cs="Times New Roman" w:eastAsia="Times New Roman" w:hAnsi="Times New Roman"/>
          <w:sz w:val="22"/>
          <w:szCs w:val="22"/>
          <w:color w:val="auto"/>
        </w:rPr>
      </w:pPr>
    </w:p>
    <w:p>
      <w:pPr>
        <w:ind w:right="160" w:firstLine="1304"/>
        <w:spacing w:after="0" w:line="225" w:lineRule="auto"/>
        <w:tabs>
          <w:tab w:leader="none" w:pos="1944"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References herein to rights and obligations of Optionee shall apply, where appropriate, to the Optionee’s legal representative or estate without regard to whether specific reference to such legal representative or estate is contained in a particular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395" w:right="379" w:bottom="1440" w:gutter="0" w:footer="0" w:header="0"/>
        </w:sectPr>
      </w:pPr>
    </w:p>
    <w:bookmarkStart w:id="312" w:name="page313"/>
    <w:bookmarkEnd w:id="312"/>
    <w:p>
      <w:pPr>
        <w:ind w:left="180"/>
        <w:spacing w:after="0"/>
        <w:rPr>
          <w:sz w:val="20"/>
          <w:szCs w:val="20"/>
          <w:color w:val="auto"/>
        </w:rPr>
      </w:pPr>
      <w:r>
        <w:rPr>
          <w:rFonts w:ascii="Times New Roman" w:cs="Times New Roman" w:eastAsia="Times New Roman" w:hAnsi="Times New Roman"/>
          <w:sz w:val="21"/>
          <w:szCs w:val="21"/>
          <w:color w:val="auto"/>
        </w:rPr>
        <w:t>IN WITNESS WHEREOF, the Company has granted this Award on the day and year first above written.</w:t>
      </w:r>
    </w:p>
    <w:p>
      <w:pPr>
        <w:spacing w:after="0" w:line="2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2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220"/>
          </w:cols>
          <w:pgMar w:left="1440" w:top="1422" w:right="1239" w:bottom="1440" w:gutter="0" w:footer="0" w:header="0"/>
        </w:sectPr>
      </w:pPr>
    </w:p>
    <w:bookmarkStart w:id="313" w:name="page314"/>
    <w:bookmarkEnd w:id="31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OF LONG-TERM INCENTIVE AWARDS SUMMARY SCHEDULE</w:t>
      </w:r>
    </w:p>
    <w:p>
      <w:pPr>
        <w:spacing w:after="0" w:line="282" w:lineRule="exact"/>
        <w:rPr>
          <w:sz w:val="20"/>
          <w:szCs w:val="20"/>
          <w:color w:val="auto"/>
        </w:rPr>
      </w:pPr>
    </w:p>
    <w:p>
      <w:pPr>
        <w:ind w:right="20"/>
        <w:spacing w:after="0" w:line="322" w:lineRule="auto"/>
        <w:rPr>
          <w:sz w:val="20"/>
          <w:szCs w:val="20"/>
          <w:color w:val="auto"/>
        </w:rPr>
      </w:pPr>
      <w:r>
        <w:rPr>
          <w:rFonts w:ascii="Times New Roman" w:cs="Times New Roman" w:eastAsia="Times New Roman" w:hAnsi="Times New Roman"/>
          <w:sz w:val="21"/>
          <w:szCs w:val="21"/>
          <w:color w:val="auto"/>
        </w:rPr>
        <w:t>This Long-Term Incentive Awards Summary Schedule (the “Schedule”) provides certain information related to the Non-Qualified Stock Options and Restricted Stock Units you were granted by Comcast Corporation on (the “Date of Grant”). This Schedule is intended to be, and shall at all times be interpreted as, part of your Comcast Corporation Non-Qualified Option award document.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Non-Qualified Stock Option Award</w:t>
      </w: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6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Optionee:</w:t>
            </w:r>
          </w:p>
        </w:tc>
        <w:tc>
          <w:tcPr>
            <w:tcW w:w="86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2"/>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Date of Grant:</w:t>
            </w:r>
          </w:p>
        </w:tc>
        <w:tc>
          <w:tcPr>
            <w:tcW w:w="8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2"/>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Common Stock:</w:t>
            </w:r>
          </w:p>
        </w:tc>
        <w:tc>
          <w:tcPr>
            <w:tcW w:w="8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Comcast Corporation Class A Common Stock</w:t>
            </w:r>
          </w:p>
        </w:tc>
        <w:tc>
          <w:tcPr>
            <w:tcW w:w="0" w:type="dxa"/>
            <w:vAlign w:val="bottom"/>
          </w:tcPr>
          <w:p>
            <w:pPr>
              <w:spacing w:after="0"/>
              <w:rPr>
                <w:sz w:val="1"/>
                <w:szCs w:val="1"/>
                <w:color w:val="auto"/>
              </w:rPr>
            </w:pPr>
          </w:p>
        </w:tc>
      </w:tr>
      <w:tr>
        <w:trPr>
          <w:trHeight w:val="303"/>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Per Share Option Price:</w:t>
            </w:r>
          </w:p>
        </w:tc>
        <w:tc>
          <w:tcPr>
            <w:tcW w:w="8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2"/>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Shares Subject to Option:</w:t>
            </w:r>
          </w:p>
        </w:tc>
        <w:tc>
          <w:tcPr>
            <w:tcW w:w="8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2"/>
        </w:trPr>
        <w:tc>
          <w:tcPr>
            <w:tcW w:w="2640" w:type="dxa"/>
            <w:vAlign w:val="bottom"/>
            <w:tcBorders>
              <w:left w:val="single" w:sz="8" w:color="auto"/>
              <w:bottom w:val="single" w:sz="8" w:color="auto"/>
              <w:right w:val="single" w:sz="8" w:color="auto"/>
            </w:tcBorders>
          </w:tcPr>
          <w:p>
            <w:pPr>
              <w:spacing w:after="0"/>
              <w:rPr>
                <w:sz w:val="3"/>
                <w:szCs w:val="3"/>
                <w:color w:val="auto"/>
              </w:rPr>
            </w:pPr>
          </w:p>
        </w:tc>
        <w:tc>
          <w:tcPr>
            <w:tcW w:w="8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640" w:type="dxa"/>
            <w:vAlign w:val="bottom"/>
            <w:tcBorders>
              <w:left w:val="single" w:sz="8" w:color="auto"/>
              <w:right w:val="single" w:sz="8" w:color="auto"/>
            </w:tcBorders>
          </w:tcPr>
          <w:p>
            <w:pPr>
              <w:spacing w:after="0"/>
              <w:rPr>
                <w:sz w:val="24"/>
                <w:szCs w:val="24"/>
                <w:color w:val="auto"/>
              </w:rPr>
            </w:pPr>
          </w:p>
        </w:tc>
        <w:tc>
          <w:tcPr>
            <w:tcW w:w="8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 of the Shares subject to the Option may be exercised following the second anniversary of the</w:t>
            </w:r>
          </w:p>
        </w:tc>
        <w:tc>
          <w:tcPr>
            <w:tcW w:w="0" w:type="dxa"/>
            <w:vAlign w:val="bottom"/>
          </w:tcPr>
          <w:p>
            <w:pPr>
              <w:spacing w:after="0"/>
              <w:rPr>
                <w:sz w:val="1"/>
                <w:szCs w:val="1"/>
                <w:color w:val="auto"/>
              </w:rPr>
            </w:pPr>
          </w:p>
        </w:tc>
      </w:tr>
      <w:tr>
        <w:trPr>
          <w:trHeight w:val="256"/>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 of the Shares subject to the Option may be exercised following the third anniversary of the</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6"/>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 of the Shares subject to the Option may be exercised following the fourth anniversary of the</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tcPr>
          <w:p>
            <w:pPr>
              <w:spacing w:after="0"/>
              <w:rPr>
                <w:sz w:val="22"/>
                <w:szCs w:val="22"/>
                <w:color w:val="auto"/>
              </w:rPr>
            </w:pPr>
          </w:p>
        </w:tc>
        <w:tc>
          <w:tcPr>
            <w:tcW w:w="8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84"/>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Vesting Dates /Exercisability</w:t>
            </w:r>
          </w:p>
        </w:tc>
        <w:tc>
          <w:tcPr>
            <w:tcW w:w="8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 of the Shares subject to the Option may be exercised following the fifth anniversary of the</w:t>
            </w:r>
          </w:p>
        </w:tc>
        <w:tc>
          <w:tcPr>
            <w:tcW w:w="0" w:type="dxa"/>
            <w:vAlign w:val="bottom"/>
          </w:tcPr>
          <w:p>
            <w:pPr>
              <w:spacing w:after="0"/>
              <w:rPr>
                <w:sz w:val="1"/>
                <w:szCs w:val="1"/>
                <w:color w:val="auto"/>
              </w:rPr>
            </w:pPr>
          </w:p>
        </w:tc>
      </w:tr>
      <w:tr>
        <w:trPr>
          <w:trHeight w:val="283"/>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of Option:</w:t>
            </w:r>
          </w:p>
        </w:tc>
        <w:tc>
          <w:tcPr>
            <w:tcW w:w="8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197"/>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Option Term:</w:t>
            </w:r>
          </w:p>
        </w:tc>
        <w:tc>
          <w:tcPr>
            <w:tcW w:w="862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w w:val="98"/>
              </w:rPr>
              <w:t>10 Years, except as otherwise provided in your Comcast Corporation Non-Qualified Option award</w:t>
            </w:r>
          </w:p>
        </w:tc>
        <w:tc>
          <w:tcPr>
            <w:tcW w:w="0" w:type="dxa"/>
            <w:vAlign w:val="bottom"/>
          </w:tcPr>
          <w:p>
            <w:pPr>
              <w:spacing w:after="0"/>
              <w:rPr>
                <w:sz w:val="1"/>
                <w:szCs w:val="1"/>
                <w:color w:val="auto"/>
              </w:rPr>
            </w:pPr>
          </w:p>
        </w:tc>
      </w:tr>
      <w:tr>
        <w:trPr>
          <w:trHeight w:val="283"/>
        </w:trPr>
        <w:tc>
          <w:tcPr>
            <w:tcW w:w="264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60"/>
          </w:cols>
          <w:pgMar w:left="320" w:top="1436" w:right="31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FORM OF COMCAST CORPORATION</w:t>
      </w:r>
    </w:p>
    <w:p>
      <w:pPr>
        <w:spacing w:after="0" w:line="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PERFORMANCE STOCK UNIT AWARD</w:t>
      </w:r>
    </w:p>
    <w:p>
      <w:pPr>
        <w:spacing w:after="0" w:line="12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Performance Stock Unit Award Agreement, dated [●] (together with all schedules hereto,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being entered into by and between Comcast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[Grantee][Participant].</w:t>
      </w:r>
    </w:p>
    <w:p>
      <w:pPr>
        <w:spacing w:after="0" w:line="90"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have the meanings ascribed to them below. Capitalized terms used in this Agreement but not defined herein have the meanings given to them in the Plan [or in the DC Plan, as applicable].</w:t>
      </w:r>
    </w:p>
    <w:p>
      <w:pPr>
        <w:spacing w:after="0" w:line="90"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an unfunded bookkeeping account established pursuant to Paragraph 6(e) and maintained by the Committee in the name of [Grantee][Participant]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[DC] Plan.</w:t>
      </w:r>
    </w:p>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the award of Performance Stock Units granted pursuant to this Agreement.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52"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has the meaning set forth in the [Grantee][Participant]’s employment agreement with the Company, or, if no such agreement exists or has expired prior to such time, then “Cause” means (i) fraud; (ii) embezzlement or other misappropriation of funds; (iii) gross negligence or willful misconduct in the performance of duties; (iv) self-dealing; (v) material misrepresentation with respect to the Company; (vi) conviction of a felony; or (vii) material violation of the Employee Handbook, the Code of Conduct or any other written Company policy.</w:t>
      </w:r>
    </w:p>
    <w:p>
      <w:pPr>
        <w:spacing w:after="0" w:line="1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its delegate.</w:t>
      </w:r>
    </w:p>
    <w:p>
      <w:pPr>
        <w:spacing w:after="0" w:line="139" w:lineRule="exact"/>
        <w:rPr>
          <w:sz w:val="20"/>
          <w:szCs w:val="20"/>
          <w:color w:val="auto"/>
        </w:rPr>
      </w:pPr>
    </w:p>
    <w:p>
      <w:pPr>
        <w:ind w:right="300" w:firstLine="1296"/>
        <w:spacing w:after="0" w:line="284"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means the date first set forth above, on which the Company awarded the Performance Stock Units to [Grantee][Participant].</w:t>
      </w:r>
    </w:p>
    <w:p>
      <w:pPr>
        <w:spacing w:after="0" w:line="76" w:lineRule="exact"/>
        <w:rPr>
          <w:sz w:val="20"/>
          <w:szCs w:val="20"/>
          <w:color w:val="auto"/>
        </w:rPr>
      </w:pPr>
    </w:p>
    <w:p>
      <w:pPr>
        <w:ind w:right="40" w:firstLine="1304"/>
        <w:spacing w:after="0" w:line="271" w:lineRule="auto"/>
        <w:tabs>
          <w:tab w:leader="none" w:pos="1602"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[“DC Plan” means the Comcast Corporation 2005 Deferred Compensation Plan (as amended from time to time and including any successor plan thereto).][Reserved]</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Deferred Stock Units</w:t>
      </w:r>
      <w:r>
        <w:rPr>
          <w:rFonts w:ascii="Times New Roman" w:cs="Times New Roman" w:eastAsia="Times New Roman" w:hAnsi="Times New Roman"/>
          <w:sz w:val="22"/>
          <w:szCs w:val="22"/>
          <w:color w:val="auto"/>
        </w:rPr>
        <w:t>” means the number of hypothetical Shares subject to an Election.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22"/>
          <w:szCs w:val="22"/>
          <w:u w:val="single" w:color="auto"/>
          <w:color w:val="auto"/>
        </w:rPr>
        <w:t>Earned PSUs</w:t>
      </w:r>
      <w:r>
        <w:rPr>
          <w:rFonts w:ascii="Times New Roman" w:cs="Times New Roman" w:eastAsia="Times New Roman" w:hAnsi="Times New Roman"/>
          <w:sz w:val="22"/>
          <w:szCs w:val="22"/>
          <w:color w:val="auto"/>
        </w:rPr>
        <w:t>” has the meaning set forth on the attached Long-Term Incentive Awards Summary Schedule.</w:t>
      </w:r>
    </w:p>
    <w:p>
      <w:pPr>
        <w:spacing w:after="0" w:line="152" w:lineRule="exact"/>
        <w:rPr>
          <w:sz w:val="20"/>
          <w:szCs w:val="20"/>
          <w:color w:val="auto"/>
        </w:rPr>
      </w:pPr>
    </w:p>
    <w:p>
      <w:pPr>
        <w:ind w:right="40" w:firstLine="1296"/>
        <w:spacing w:after="0" w:line="271" w:lineRule="auto"/>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the Company, the Subsidiary Company or the Affiliate of the Company for which [Grantee] [Participant] is performing services on the Vesting Date.</w:t>
      </w:r>
    </w:p>
    <w:p>
      <w:pPr>
        <w:spacing w:after="0" w:line="90"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means the individual to whom this Award has been granted, as identified on the attached Long-Term Incentive Awards Summary Schedule.]</w:t>
      </w:r>
    </w:p>
    <w:p>
      <w:pPr>
        <w:sectPr>
          <w:pgSz w:w="11900" w:h="16838" w:orient="portrait"/>
          <w:cols w:equalWidth="0" w:num="1">
            <w:col w:w="11240"/>
          </w:cols>
          <w:pgMar w:left="320" w:top="122" w:right="339" w:bottom="1440" w:gutter="0" w:footer="0" w:header="0"/>
        </w:sectPr>
      </w:pPr>
    </w:p>
    <w:bookmarkStart w:id="315" w:name="page316"/>
    <w:bookmarkEnd w:id="315"/>
    <w:p>
      <w:pPr>
        <w:ind w:left="1300"/>
        <w:spacing w:after="0"/>
        <w:rPr>
          <w:sz w:val="20"/>
          <w:szCs w:val="20"/>
          <w:color w:val="auto"/>
        </w:rPr>
      </w:pPr>
      <w:r>
        <w:rPr>
          <w:rFonts w:ascii="Times New Roman" w:cs="Times New Roman" w:eastAsia="Times New Roman" w:hAnsi="Times New Roman"/>
          <w:sz w:val="22"/>
          <w:szCs w:val="22"/>
          <w:color w:val="auto"/>
        </w:rPr>
        <w:t>[(l)][(m)]“</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152" w:lineRule="exact"/>
        <w:rPr>
          <w:sz w:val="20"/>
          <w:szCs w:val="20"/>
          <w:color w:val="auto"/>
        </w:rPr>
      </w:pPr>
    </w:p>
    <w:p>
      <w:pPr>
        <w:ind w:firstLine="1296"/>
        <w:spacing w:after="0" w:line="276" w:lineRule="auto"/>
        <w:rPr>
          <w:sz w:val="20"/>
          <w:szCs w:val="20"/>
          <w:color w:val="auto"/>
        </w:rPr>
      </w:pPr>
      <w:r>
        <w:rPr>
          <w:rFonts w:ascii="Times New Roman" w:cs="Times New Roman" w:eastAsia="Times New Roman" w:hAnsi="Times New Roman"/>
          <w:sz w:val="22"/>
          <w:szCs w:val="22"/>
          <w:color w:val="auto"/>
        </w:rPr>
        <w:t>[(m)][(n)]“</w:t>
      </w:r>
      <w:r>
        <w:rPr>
          <w:rFonts w:ascii="Times New Roman" w:cs="Times New Roman" w:eastAsia="Times New Roman" w:hAnsi="Times New Roman"/>
          <w:sz w:val="22"/>
          <w:szCs w:val="22"/>
          <w:u w:val="single" w:color="auto"/>
          <w:color w:val="auto"/>
        </w:rPr>
        <w:t>Long-Term Incentive Awards Summary Schedule</w:t>
      </w:r>
      <w:r>
        <w:rPr>
          <w:rFonts w:ascii="Times New Roman" w:cs="Times New Roman" w:eastAsia="Times New Roman" w:hAnsi="Times New Roman"/>
          <w:sz w:val="22"/>
          <w:szCs w:val="22"/>
          <w:color w:val="auto"/>
        </w:rPr>
        <w:t>” means the schedule attached hereto, which sets forth specific information relating to the grant and vesting of this Award (including the Service Condition and the Performance Condition applicable to this Award).</w:t>
      </w:r>
    </w:p>
    <w:p>
      <w:pPr>
        <w:spacing w:after="0" w:line="72" w:lineRule="exact"/>
        <w:rPr>
          <w:sz w:val="20"/>
          <w:szCs w:val="20"/>
          <w:color w:val="auto"/>
        </w:rPr>
      </w:pPr>
    </w:p>
    <w:p>
      <w:pPr>
        <w:ind w:right="180" w:firstLine="1296"/>
        <w:spacing w:after="0" w:line="284"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the individual to whom this Award has been granted, as identified on the attached Long-Term Incentive Awards Summary Schedule.]</w:t>
      </w:r>
    </w:p>
    <w:p>
      <w:pPr>
        <w:spacing w:after="0" w:line="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22"/>
          <w:szCs w:val="22"/>
          <w:u w:val="single" w:color="auto"/>
          <w:color w:val="auto"/>
        </w:rPr>
        <w:t>Performance Condition</w:t>
      </w:r>
      <w:r>
        <w:rPr>
          <w:rFonts w:ascii="Times New Roman" w:cs="Times New Roman" w:eastAsia="Times New Roman" w:hAnsi="Times New Roman"/>
          <w:sz w:val="22"/>
          <w:szCs w:val="22"/>
          <w:color w:val="auto"/>
        </w:rPr>
        <w:t>” has the meaning set forth on the attached Long-Term Incentive Awards Summary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w:t>
      </w:r>
    </w:p>
    <w:p>
      <w:pPr>
        <w:spacing w:after="0" w:line="128"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u w:val="single" w:color="auto"/>
          <w:color w:val="auto"/>
        </w:rPr>
        <w:t>Performance Stock Units</w:t>
      </w:r>
      <w:r>
        <w:rPr>
          <w:rFonts w:ascii="Times New Roman" w:cs="Times New Roman" w:eastAsia="Times New Roman" w:hAnsi="Times New Roman"/>
          <w:sz w:val="22"/>
          <w:szCs w:val="22"/>
          <w:color w:val="auto"/>
        </w:rPr>
        <w:t>” means the Restricted Stock Units subject to Service Conditions and Performance Conditions granted to [Grantee][Participant] pursuant to this Award.</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(q)“</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an association, a trust or any other entity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organization.</w:t>
      </w:r>
    </w:p>
    <w:p>
      <w:pPr>
        <w:spacing w:after="0" w:line="128"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[2002 Restricted Stock Plan][2023 Omnibus Equity Incentive Plan] (as amended from time to time and including any successor plan thereto), incorporated herein by reference.</w:t>
      </w:r>
    </w:p>
    <w:p>
      <w:pPr>
        <w:spacing w:after="0" w:line="90" w:lineRule="exact"/>
        <w:rPr>
          <w:sz w:val="20"/>
          <w:szCs w:val="20"/>
          <w:color w:val="auto"/>
        </w:rPr>
      </w:pPr>
    </w:p>
    <w:p>
      <w:pPr>
        <w:ind w:right="120" w:firstLine="1304"/>
        <w:spacing w:after="0" w:line="265" w:lineRule="auto"/>
        <w:tabs>
          <w:tab w:leader="none" w:pos="1578" w:val="left"/>
        </w:tabs>
        <w:numPr>
          <w:ilvl w:val="0"/>
          <w:numId w:val="4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Rata Amount”</w:t>
      </w:r>
      <w:r>
        <w:rPr>
          <w:rFonts w:ascii="Times New Roman" w:cs="Times New Roman" w:eastAsia="Times New Roman" w:hAnsi="Times New Roman"/>
          <w:sz w:val="21"/>
          <w:szCs w:val="21"/>
          <w:color w:val="auto"/>
        </w:rPr>
        <w:t xml:space="preserve"> means a fraction, (i) the numerator of which is the sum of (A) the number of calendar days elapsed during the period starting with and inclusive of [●] and ending on the effective date of the [Grantee][Participant]’s Termination of Employment plus (B) the number of days of continued vesting to which [Grantee][Participant] is entitled upon a Termination of Employment by the Company without Cause or by the [Grantee][Participant] for Good Reason (as defined in the [Grantee][Participant]’s employment agreement) pursuant to the [Grantee][Participant]’s employment agreement (if any) (but in no event to exceed [●] days) and (ii) the denominator of which is [●].]</w:t>
      </w:r>
    </w:p>
    <w:p>
      <w:pPr>
        <w:spacing w:after="0" w:line="88"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22"/>
          <w:szCs w:val="22"/>
          <w:u w:val="single" w:color="auto"/>
          <w:color w:val="auto"/>
        </w:rPr>
        <w:t>Retirement Termination</w:t>
      </w:r>
      <w:r>
        <w:rPr>
          <w:rFonts w:ascii="Times New Roman" w:cs="Times New Roman" w:eastAsia="Times New Roman" w:hAnsi="Times New Roman"/>
          <w:sz w:val="22"/>
          <w:szCs w:val="22"/>
          <w:color w:val="auto"/>
        </w:rPr>
        <w:t>” means [Grantee][Participant]’s Termination of Employment for any reason (other than (i) due to [Grantee][Participant]’s death or Disability or (ii) by the applicable Participating Company for Cause) at such time when the sum of [Grantee][Participant]’s age and completed Years of Service equals or exceeds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[Participant] has at least reached age [●] and completed [●] or more Years of Service).</w:t>
      </w:r>
    </w:p>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promulgated under the 1934 Act, as in effect from time to time.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 “</w:t>
      </w:r>
      <w:r>
        <w:rPr>
          <w:rFonts w:ascii="Times New Roman" w:cs="Times New Roman" w:eastAsia="Times New Roman" w:hAnsi="Times New Roman"/>
          <w:sz w:val="22"/>
          <w:szCs w:val="22"/>
          <w:u w:val="single" w:color="auto"/>
          <w:color w:val="auto"/>
        </w:rPr>
        <w:t>Service Condition</w:t>
      </w:r>
      <w:r>
        <w:rPr>
          <w:rFonts w:ascii="Times New Roman" w:cs="Times New Roman" w:eastAsia="Times New Roman" w:hAnsi="Times New Roman"/>
          <w:sz w:val="22"/>
          <w:szCs w:val="22"/>
          <w:color w:val="auto"/>
        </w:rPr>
        <w:t>” has the meaning set forth on the attached Long-Term Incentive Awards Summary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22"/>
          <w:szCs w:val="22"/>
          <w:u w:val="single" w:color="auto"/>
          <w:color w:val="auto"/>
        </w:rPr>
        <w:t>Service Vesting Date</w:t>
      </w:r>
      <w:r>
        <w:rPr>
          <w:rFonts w:ascii="Times New Roman" w:cs="Times New Roman" w:eastAsia="Times New Roman" w:hAnsi="Times New Roman"/>
          <w:sz w:val="22"/>
          <w:szCs w:val="22"/>
          <w:color w:val="auto"/>
        </w:rPr>
        <w:t>” has the meaning set forth on the attached Long-Term Incentive Awards Summary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22" w:right="359" w:bottom="1440" w:gutter="0" w:footer="0" w:header="0"/>
        </w:sectPr>
      </w:pPr>
    </w:p>
    <w:bookmarkStart w:id="316" w:name="page317"/>
    <w:bookmarkEnd w:id="316"/>
    <w:p>
      <w:pPr>
        <w:ind w:left="1300"/>
        <w:spacing w:after="0"/>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 shares of the Company’s Class A Common Stock, par value $.01 per share.</w:t>
      </w:r>
    </w:p>
    <w:p>
      <w:pPr>
        <w:spacing w:after="0" w:line="152" w:lineRule="exact"/>
        <w:rPr>
          <w:sz w:val="20"/>
          <w:szCs w:val="20"/>
          <w:color w:val="auto"/>
        </w:rPr>
      </w:pPr>
    </w:p>
    <w:p>
      <w:pPr>
        <w:ind w:right="40" w:firstLine="1296"/>
        <w:spacing w:after="0" w:line="249" w:lineRule="auto"/>
        <w:rPr>
          <w:sz w:val="20"/>
          <w:szCs w:val="20"/>
          <w:color w:val="auto"/>
        </w:rPr>
      </w:pPr>
      <w:r>
        <w:rPr>
          <w:rFonts w:ascii="Times New Roman" w:cs="Times New Roman" w:eastAsia="Times New Roman" w:hAnsi="Times New Roman"/>
          <w:sz w:val="22"/>
          <w:szCs w:val="22"/>
          <w:color w:val="auto"/>
        </w:rPr>
        <w:t>(y)“</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means [Grantee][Participant]’s termination of employment with the Participating Companies. For purposes of the Plan and this Award, [Grantee][Participant]’s Termination of Employment occurs on the date [Grantee][Participant] ceases to have a regular obligation to perform services for the Participating Companies, without regard to whether (i) [Grantee][Participant] continues on the payroll of any Participating Company for regular, severance or other pay or (ii) [Grantee][Participant] continues to participate in one or more health and welfare plans maintained by any Participating Company on the same basis as active employees. Whether [Grantee][Participant] ceases to have a regular obligation to perform services for the Participating Companies shall be determined by the Committee in its sole discretion. Notwithstanding the foregoing, if [Grantee][Participant] is a party to an employment agreement or severance agreement with any Participating Company which establishes the effective date of [Grantee][Participant]’s termination of employment for purposes of this Award, that date shall apply.</w:t>
      </w:r>
    </w:p>
    <w:p>
      <w:pPr>
        <w:spacing w:after="0" w:line="102" w:lineRule="exact"/>
        <w:rPr>
          <w:sz w:val="20"/>
          <w:szCs w:val="20"/>
          <w:color w:val="auto"/>
        </w:rPr>
      </w:pPr>
    </w:p>
    <w:p>
      <w:pPr>
        <w:ind w:right="140" w:firstLine="1296"/>
        <w:spacing w:after="0" w:line="263" w:lineRule="auto"/>
        <w:rPr>
          <w:sz w:val="20"/>
          <w:szCs w:val="20"/>
          <w:color w:val="auto"/>
        </w:rPr>
      </w:pPr>
      <w:r>
        <w:rPr>
          <w:rFonts w:ascii="Times New Roman" w:cs="Times New Roman" w:eastAsia="Times New Roman" w:hAnsi="Times New Roman"/>
          <w:sz w:val="22"/>
          <w:szCs w:val="22"/>
          <w:color w:val="auto"/>
        </w:rPr>
        <w:t>(z)“</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means the date(s) on which both of the Service Condition and the Performance Condition applicable to any Performance Stock Units are satisfied (or deemed satisfied) pursuant to the terms of this Agreement (including the Long-Term Incentive Awards Summary Schedule).</w:t>
      </w:r>
    </w:p>
    <w:p>
      <w:pPr>
        <w:spacing w:after="0" w:line="100" w:lineRule="exact"/>
        <w:rPr>
          <w:sz w:val="20"/>
          <w:szCs w:val="20"/>
          <w:color w:val="auto"/>
        </w:rPr>
      </w:pPr>
    </w:p>
    <w:p>
      <w:pPr>
        <w:ind w:right="300" w:firstLine="1296"/>
        <w:spacing w:after="0" w:line="271" w:lineRule="auto"/>
        <w:rPr>
          <w:sz w:val="20"/>
          <w:szCs w:val="20"/>
          <w:color w:val="auto"/>
        </w:rPr>
      </w:pPr>
      <w:r>
        <w:rPr>
          <w:rFonts w:ascii="Times New Roman" w:cs="Times New Roman" w:eastAsia="Times New Roman" w:hAnsi="Times New Roman"/>
          <w:sz w:val="22"/>
          <w:szCs w:val="22"/>
          <w:color w:val="auto"/>
        </w:rPr>
        <w:t>(aa)“</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means completed continuous years of service as reflected in the personnel records of the Company and the Subsidiary Companies.</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(bb)“</w:t>
      </w:r>
      <w:r>
        <w:rPr>
          <w:rFonts w:ascii="Times New Roman" w:cs="Times New Roman" w:eastAsia="Times New Roman" w:hAnsi="Times New Roman"/>
          <w:sz w:val="22"/>
          <w:szCs w:val="22"/>
          <w:u w:val="single" w:color="auto"/>
          <w:color w:val="auto"/>
        </w:rPr>
        <w:t>1934 Act</w:t>
      </w:r>
      <w:r>
        <w:rPr>
          <w:rFonts w:ascii="Times New Roman" w:cs="Times New Roman" w:eastAsia="Times New Roman" w:hAnsi="Times New Roman"/>
          <w:sz w:val="22"/>
          <w:szCs w:val="22"/>
          <w:color w:val="auto"/>
        </w:rPr>
        <w:t>” means the Securities Exchange Act of 1934, as amended.</w:t>
      </w:r>
    </w:p>
    <w:p>
      <w:pPr>
        <w:spacing w:after="0" w:line="139"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21"/>
          <w:szCs w:val="21"/>
          <w:color w:val="auto"/>
        </w:rPr>
        <w:t>2.</w:t>
      </w:r>
      <w:r>
        <w:rPr>
          <w:rFonts w:ascii="Times New Roman" w:cs="Times New Roman" w:eastAsia="Times New Roman" w:hAnsi="Times New Roman"/>
          <w:sz w:val="21"/>
          <w:szCs w:val="21"/>
          <w:u w:val="single" w:color="auto"/>
          <w:color w:val="auto"/>
        </w:rPr>
        <w:t>Grant of Performance Stock Units</w:t>
      </w:r>
      <w:r>
        <w:rPr>
          <w:rFonts w:ascii="Times New Roman" w:cs="Times New Roman" w:eastAsia="Times New Roman" w:hAnsi="Times New Roman"/>
          <w:sz w:val="21"/>
          <w:szCs w:val="21"/>
          <w:color w:val="auto"/>
        </w:rPr>
        <w:t>. Subject to the terms and conditions set forth herein and in the Plan, the Company hereby grants to [Grantee][Participant] the Performance Stock Units, as set forth in the Long-Term Incentive Awards Summary Schedule attached hereto. Each Performance Stock Unit represents the right to receive between [●]% and [●]% of a Share based on achievement of the Performance Condition, as set forth in the Long-Term Incentive Awards Summary Schedule, subject to the terms and conditions set forth herein and in the Plan, including the satisfaction of the applicable Service Condition.</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2"/>
          <w:szCs w:val="22"/>
          <w:color w:val="auto"/>
        </w:rPr>
        <w:t>(a)The Performance Stock Units are granted with dividend equivalent rights. If the Company declares a cash dividend on the Shares, an amount equivalent to such dividend will be credited to an unfunded bookkeeping account with respect to each outstanding and unvested Performance Stock Unit (the “</w:t>
      </w:r>
      <w:r>
        <w:rPr>
          <w:rFonts w:ascii="Times New Roman" w:cs="Times New Roman" w:eastAsia="Times New Roman" w:hAnsi="Times New Roman"/>
          <w:sz w:val="22"/>
          <w:szCs w:val="22"/>
          <w:u w:val="single" w:color="auto"/>
          <w:color w:val="auto"/>
        </w:rPr>
        <w:t>Dividend Equivalent Amount</w:t>
      </w:r>
      <w:r>
        <w:rPr>
          <w:rFonts w:ascii="Times New Roman" w:cs="Times New Roman" w:eastAsia="Times New Roman" w:hAnsi="Times New Roman"/>
          <w:sz w:val="22"/>
          <w:szCs w:val="22"/>
          <w:color w:val="auto"/>
        </w:rPr>
        <w:t>”) on the record date of such dividend.</w:t>
      </w:r>
    </w:p>
    <w:p>
      <w:pPr>
        <w:spacing w:after="0" w:line="112" w:lineRule="exact"/>
        <w:rPr>
          <w:sz w:val="20"/>
          <w:szCs w:val="20"/>
          <w:color w:val="auto"/>
        </w:rPr>
      </w:pPr>
    </w:p>
    <w:p>
      <w:pPr>
        <w:ind w:firstLine="1296"/>
        <w:spacing w:after="0" w:line="281" w:lineRule="auto"/>
        <w:rPr>
          <w:sz w:val="20"/>
          <w:szCs w:val="20"/>
          <w:color w:val="auto"/>
        </w:rPr>
      </w:pPr>
      <w:r>
        <w:rPr>
          <w:rFonts w:ascii="Times New Roman" w:cs="Times New Roman" w:eastAsia="Times New Roman" w:hAnsi="Times New Roman"/>
          <w:sz w:val="21"/>
          <w:szCs w:val="21"/>
          <w:color w:val="auto"/>
        </w:rPr>
        <w:t>(b)The Dividend Equivalent Amount will be credited as cash, without interest, and will not be converted to Shares. The Dividend Equivalent Amount will be payable in cash, but subject to and only upon the applicable Vesting Date(s) of the underlying Performance Stock Units as determined in accordance with Paragraph 4 below, and will be cancelled and forfeited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317" w:name="page318"/>
    <w:bookmarkEnd w:id="317"/>
    <w:p>
      <w:pPr>
        <w:spacing w:after="0" w:line="271" w:lineRule="auto"/>
        <w:rPr>
          <w:sz w:val="20"/>
          <w:szCs w:val="20"/>
          <w:color w:val="auto"/>
        </w:rPr>
      </w:pPr>
      <w:r>
        <w:rPr>
          <w:rFonts w:ascii="Times New Roman" w:cs="Times New Roman" w:eastAsia="Times New Roman" w:hAnsi="Times New Roman"/>
          <w:sz w:val="22"/>
          <w:szCs w:val="22"/>
          <w:color w:val="auto"/>
        </w:rPr>
        <w:t>the underlying Performance Stock Units are cancelled or forfeited (including as a result of failing to satisfy the applicable Service Condition or Performance Condition).</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Vesting of Performance Stock Units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21"/>
          <w:szCs w:val="21"/>
          <w:color w:val="auto"/>
        </w:rPr>
        <w:t xml:space="preserve">(a)Subject to the terms and conditions set forth in this Agreement and in the Plan, the Performance Stock Units shall vest in accordance with the terms and conditions set forth on the attached Long-Term Incentive Awards Summary Schedule;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[Grantee][Participant] has complied with all applicable provisions of the HSR Act. As of the applicable Vesting Date, [Grantee][Participant] shall be entitled to the delivery of Shares with respect to the applicable Earned PSUs.</w:t>
      </w:r>
    </w:p>
    <w:p>
      <w:pPr>
        <w:spacing w:after="0" w:line="96" w:lineRule="exact"/>
        <w:rPr>
          <w:sz w:val="20"/>
          <w:szCs w:val="20"/>
          <w:color w:val="auto"/>
        </w:rPr>
      </w:pPr>
    </w:p>
    <w:p>
      <w:pPr>
        <w:ind w:right="140" w:firstLine="1296"/>
        <w:spacing w:after="0" w:line="263" w:lineRule="auto"/>
        <w:rPr>
          <w:sz w:val="20"/>
          <w:szCs w:val="20"/>
          <w:color w:val="auto"/>
        </w:rPr>
      </w:pPr>
      <w:r>
        <w:rPr>
          <w:rFonts w:ascii="Times New Roman" w:cs="Times New Roman" w:eastAsia="Times New Roman" w:hAnsi="Times New Roman"/>
          <w:sz w:val="21"/>
          <w:szCs w:val="21"/>
          <w:color w:val="auto"/>
        </w:rPr>
        <w:t xml:space="preserve">(b)Notwithstanding anything to the contrary in this Agreement of the Plan, the Service Condition [and the Performance Condition] applicable to the Performance Stock Units shall be deemed fully satisfied upon [Grantee][Participant]’s Termination of Employment due to [Grantee][Participant]’s death or Disability[, and[, subject to the determination of the Committee,] [the Performance Stock Units will remain outstanding and will vest subject to the satisfaction of the applicable Performance Condition] [or] [the Target PSUs with a Service Vesting Date subsequent to the termination of employment, as set forth on the Long-Term Incentive Awards Summary Schedule, will vest immediately following such Termination of Employment];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[Grantee][Participant] has complied with all applicable provisions of the HSR Act.</w:t>
      </w:r>
    </w:p>
    <w:p>
      <w:pPr>
        <w:spacing w:after="0" w:line="105" w:lineRule="exact"/>
        <w:rPr>
          <w:sz w:val="20"/>
          <w:szCs w:val="20"/>
          <w:color w:val="auto"/>
        </w:rPr>
      </w:pPr>
    </w:p>
    <w:p>
      <w:pPr>
        <w:ind w:right="180" w:firstLine="1304"/>
        <w:spacing w:after="0" w:line="259" w:lineRule="auto"/>
        <w:tabs>
          <w:tab w:leader="none" w:pos="1590"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and subject to the obligations described in Paragraph 4(e), in the event of [Grantee][Participant]’s Retirement Termination, the Service Condition applicable to the Performance Stock Units shall be deemed fully satisfied and the Performance Stock Units will remain outstanding and will vest subject to the satisfaction of the Performance Conditions, as set forth on the Long-Term Incentive Awards Summary Schedule;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[Grantee][Participant] has complied with all applicable provisions of the HSR Act. :</w:t>
      </w:r>
    </w:p>
    <w:p>
      <w:pPr>
        <w:spacing w:after="0" w:line="106" w:lineRule="exact"/>
        <w:rPr>
          <w:rFonts w:ascii="Times New Roman" w:cs="Times New Roman" w:eastAsia="Times New Roman" w:hAnsi="Times New Roman"/>
          <w:sz w:val="22"/>
          <w:szCs w:val="22"/>
          <w:color w:val="auto"/>
        </w:rPr>
      </w:pPr>
    </w:p>
    <w:p>
      <w:pPr>
        <w:ind w:right="40" w:firstLine="1304"/>
        <w:spacing w:after="0" w:line="250" w:lineRule="auto"/>
        <w:tabs>
          <w:tab w:leader="none" w:pos="1602"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and subject to the obligations described in Paragraph 4(e), in the event of [Grantee][Participant]’s Termination of Employment by the Company without Cause or by the [Grantee][Participant] with Good Reason (as defined in the [Grantee][Participant]’s employment agreement), the Service Condition shall be deemed satisfied based on the Pro Rata Amount and the Performance Stock Units will remain outstanding and will vest subject to the satisfaction of the Performance Conditions, as set forth on the Long-Term Incentive Awards Summary Schedule; provided that [Grantee][Participant] has complied with all applicable provisions of the HSR Act. As of the applicable Vesting Date, [Grantee][Participant] shall be entitled to the delivery of a number of Shares determined by multiplying (i) the number of Earned PSUs that would have been delivered had the [Grantee][Participant] remained employed through the Service Vesting Date by (ii) the Pro Rata Amount.]</w:t>
      </w:r>
    </w:p>
    <w:p>
      <w:pPr>
        <w:spacing w:after="0" w:line="112" w:lineRule="exact"/>
        <w:rPr>
          <w:sz w:val="20"/>
          <w:szCs w:val="20"/>
          <w:color w:val="auto"/>
        </w:rPr>
      </w:pPr>
    </w:p>
    <w:p>
      <w:pPr>
        <w:ind w:right="460" w:firstLine="1296"/>
        <w:spacing w:after="0" w:line="271" w:lineRule="auto"/>
        <w:rPr>
          <w:sz w:val="20"/>
          <w:szCs w:val="20"/>
          <w:color w:val="auto"/>
        </w:rPr>
      </w:pPr>
      <w:r>
        <w:rPr>
          <w:rFonts w:ascii="Times New Roman" w:cs="Times New Roman" w:eastAsia="Times New Roman" w:hAnsi="Times New Roman"/>
          <w:sz w:val="22"/>
          <w:szCs w:val="22"/>
          <w:color w:val="auto"/>
        </w:rPr>
        <w:t>(e)[[Notwithstanding Paragraph [4(c) [or 4(d)]]], the Performance Stock Units will be subject to forfeiture, as determined by the Committee in its sole discretion,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22" w:right="359" w:bottom="1440" w:gutter="0" w:footer="0" w:header="0"/>
        </w:sectPr>
      </w:pPr>
    </w:p>
    <w:bookmarkStart w:id="318" w:name="page319"/>
    <w:bookmarkEnd w:id="318"/>
    <w:p>
      <w:pPr>
        <w:ind w:right="840"/>
        <w:spacing w:after="0" w:line="271" w:lineRule="auto"/>
        <w:rPr>
          <w:sz w:val="20"/>
          <w:szCs w:val="20"/>
          <w:color w:val="auto"/>
        </w:rPr>
      </w:pPr>
      <w:r>
        <w:rPr>
          <w:rFonts w:ascii="Times New Roman" w:cs="Times New Roman" w:eastAsia="Times New Roman" w:hAnsi="Times New Roman"/>
          <w:sz w:val="22"/>
          <w:szCs w:val="22"/>
          <w:color w:val="auto"/>
        </w:rPr>
        <w:t>[Grantee][Participant] breaches either of the following non-solicitation or non-competition obligations during the period following [Grantee][Participant]’s Termination of Employment and before the applicable Vesting Date:</w:t>
      </w:r>
    </w:p>
    <w:p>
      <w:pPr>
        <w:spacing w:after="0" w:line="90" w:lineRule="exact"/>
        <w:rPr>
          <w:sz w:val="20"/>
          <w:szCs w:val="20"/>
          <w:color w:val="auto"/>
        </w:rPr>
      </w:pPr>
    </w:p>
    <w:p>
      <w:pPr>
        <w:ind w:right="80" w:firstLine="1952"/>
        <w:spacing w:after="0" w:line="256" w:lineRule="auto"/>
        <w:tabs>
          <w:tab w:leader="none" w:pos="2250" w:val="left"/>
        </w:tabs>
        <w:numPr>
          <w:ilvl w:val="2"/>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[Grantee][Participant] shall not, directly or indirectly, solicit, induce, encourage or attempt to influence any customer, employee, consultant, independent contractor, service provider or supplier of the Company or any Subsidiary Company to cease to do business or to terminate the employment or other relationship with the Company or any Subsidiary Company.</w:t>
      </w:r>
    </w:p>
    <w:p>
      <w:pPr>
        <w:spacing w:after="0" w:line="95" w:lineRule="exact"/>
        <w:rPr>
          <w:rFonts w:ascii="Times New Roman" w:cs="Times New Roman" w:eastAsia="Times New Roman" w:hAnsi="Times New Roman"/>
          <w:sz w:val="22"/>
          <w:szCs w:val="22"/>
          <w:color w:val="auto"/>
        </w:rPr>
      </w:pPr>
    </w:p>
    <w:p>
      <w:pPr>
        <w:ind w:firstLine="1952"/>
        <w:spacing w:after="0" w:line="249" w:lineRule="auto"/>
        <w:tabs>
          <w:tab w:leader="none" w:pos="2250" w:val="left"/>
        </w:tabs>
        <w:numPr>
          <w:ilvl w:val="2"/>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[Grantee][Participant] shall not, directly or indirectly, engage or be financially interested in (as an agent, consultant, director, employee, independent contractor, officer, owner, partner, principal or otherwise), any activities for any business (whether conducted by an entity or individuals, including [Grantee][Participant]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[Grantee][Participant]’s knowledge at the time of [Grantee][Participant]’s termination of employment (each a, “Competitive Business”) or (B) work in Participant’s profession (whether or not for a Competitive Business); provided that nothing in this Section 4(f)(2) shall prevent the Participant from engaging in the practice of law. This restriction shall apply in any geographical area of the United States in which the Company carries out business activities. Nothing herein shall prevent [Grantee][Participant] from owning for investment up to one percent (1%) of any class of equity security of an entity whose securities are traded on a national securities exchange or market.</w:t>
      </w:r>
    </w:p>
    <w:p>
      <w:pPr>
        <w:spacing w:after="0" w:line="103" w:lineRule="exact"/>
        <w:rPr>
          <w:rFonts w:ascii="Times New Roman" w:cs="Times New Roman" w:eastAsia="Times New Roman" w:hAnsi="Times New Roman"/>
          <w:sz w:val="22"/>
          <w:szCs w:val="22"/>
          <w:color w:val="auto"/>
        </w:rPr>
      </w:pPr>
    </w:p>
    <w:p>
      <w:pPr>
        <w:ind w:right="40" w:firstLine="1304"/>
        <w:spacing w:after="0" w:line="251" w:lineRule="auto"/>
        <w:tabs>
          <w:tab w:leader="none" w:pos="1590"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Performance Stock Units would have vested pursuant to the Long-Term Incentive Awards Summary Schedule or Paragraphs [4(b), [or] 4(c) [or 4(d)]], but did not vest solely because [Grantee][Participant] was not in compliance with all applicable provisions of the HSR Act, then, notwithstanding anything to the contrary in this Agreement, the Vesting Date for such Performance Stock Units shall occur on the first date following the date on which they would have been earned and become vested pursuant to the Long-Term Incentive Awards Summary Schedule or Paragraphs [4(b), [or] 4(c) [or 4(d)]] on which [Grantee][Participant] has complied with all applicable provisions of the HSR Act.</w:t>
      </w:r>
    </w:p>
    <w:p>
      <w:pPr>
        <w:spacing w:after="0" w:line="113"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Performance Stock Units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right="120" w:firstLine="1304"/>
        <w:spacing w:after="0" w:line="259" w:lineRule="auto"/>
        <w:tabs>
          <w:tab w:leader="none" w:pos="1590" w:val="left"/>
        </w:tabs>
        <w:numPr>
          <w:ilvl w:val="1"/>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and in the Plan, in the event of [Grantee] [Participant]’s Termination of Employment other than due to (i) [Grantee][Participant]’s death or Disability or (ii) [Grantee] [Participant]’s Retirement Termination, [Grantee][Participant] shall forfeit the Performance Stock Units effective as of such Termination of Employment. Upon a forfeiture of the Performance Stock Units as provided in this Paragraph 5, the Performance Stock Units shall be deemed canceled.</w:t>
      </w:r>
    </w:p>
    <w:p>
      <w:pPr>
        <w:spacing w:after="0" w:line="106" w:lineRule="exact"/>
        <w:rPr>
          <w:rFonts w:ascii="Times New Roman" w:cs="Times New Roman" w:eastAsia="Times New Roman" w:hAnsi="Times New Roman"/>
          <w:sz w:val="22"/>
          <w:szCs w:val="22"/>
          <w:color w:val="auto"/>
        </w:rPr>
      </w:pPr>
    </w:p>
    <w:p>
      <w:pPr>
        <w:ind w:right="100" w:firstLine="1304"/>
        <w:spacing w:after="0" w:line="271" w:lineRule="auto"/>
        <w:tabs>
          <w:tab w:leader="none" w:pos="1602" w:val="left"/>
        </w:tabs>
        <w:numPr>
          <w:ilvl w:val="1"/>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Paragraph 5(a) shall not apply to Shares issued in respect of the Performance Stock Units as to which a Vesting Date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319" w:name="page320"/>
    <w:bookmarkEnd w:id="319"/>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Deferral Elections</w:t>
      </w:r>
      <w:r>
        <w:rPr>
          <w:rFonts w:ascii="Times New Roman" w:cs="Times New Roman" w:eastAsia="Times New Roman" w:hAnsi="Times New Roman"/>
          <w:sz w:val="22"/>
          <w:szCs w:val="22"/>
          <w:color w:val="auto"/>
        </w:rPr>
        <w:t>. [Grantee][Participant] may elect to defer the receipt of Shares issuable with respect to Performance Stock Units, consistent, however, with the following:</w:t>
      </w:r>
    </w:p>
    <w:p>
      <w:pPr>
        <w:spacing w:after="0" w:line="90" w:lineRule="exact"/>
        <w:rPr>
          <w:sz w:val="20"/>
          <w:szCs w:val="20"/>
          <w:color w:val="auto"/>
        </w:rPr>
      </w:pPr>
    </w:p>
    <w:p>
      <w:pPr>
        <w:jc w:val="both"/>
        <w:ind w:right="320" w:firstLine="1304"/>
        <w:spacing w:after="0" w:line="275" w:lineRule="auto"/>
        <w:tabs>
          <w:tab w:leader="none" w:pos="1590" w:val="left"/>
        </w:tabs>
        <w:numPr>
          <w:ilvl w:val="0"/>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Deferral Elections</w:t>
      </w:r>
      <w:r>
        <w:rPr>
          <w:rFonts w:ascii="Times New Roman" w:cs="Times New Roman" w:eastAsia="Times New Roman" w:hAnsi="Times New Roman"/>
          <w:sz w:val="21"/>
          <w:szCs w:val="21"/>
          <w:color w:val="auto"/>
        </w:rPr>
        <w:t>. [Grantee][Participant] shall have the right to make an Initial Deferral Election to defer the receipt of all or a portion of the Shares issuable with respect to Performance Stock Units hereby granted by filing an Initial Deferral Election to defer the receipt of such Shares on the form provided by the Committee for this purpose.</w:t>
      </w:r>
    </w:p>
    <w:p>
      <w:pPr>
        <w:spacing w:after="0" w:line="87" w:lineRule="exact"/>
        <w:rPr>
          <w:rFonts w:ascii="Times New Roman" w:cs="Times New Roman" w:eastAsia="Times New Roman" w:hAnsi="Times New Roman"/>
          <w:sz w:val="21"/>
          <w:szCs w:val="21"/>
          <w:color w:val="auto"/>
        </w:rPr>
      </w:pPr>
    </w:p>
    <w:p>
      <w:pPr>
        <w:ind w:right="40" w:firstLine="1952"/>
        <w:spacing w:after="0" w:line="263" w:lineRule="auto"/>
        <w:tabs>
          <w:tab w:leader="none" w:pos="2250" w:val="left"/>
        </w:tabs>
        <w:numPr>
          <w:ilvl w:val="1"/>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for Initial Deferral Election</w:t>
      </w:r>
      <w:r>
        <w:rPr>
          <w:rFonts w:ascii="Times New Roman" w:cs="Times New Roman" w:eastAsia="Times New Roman" w:hAnsi="Times New Roman"/>
          <w:sz w:val="22"/>
          <w:szCs w:val="22"/>
          <w:color w:val="auto"/>
        </w:rPr>
        <w:t>. An Initial Deferral Election to defer the receipt of Shares issuable with respect to Performance Stock Units hereby granted shall not be effective unless it is filed with the Committee on or before [●].</w:t>
      </w:r>
    </w:p>
    <w:p>
      <w:pPr>
        <w:spacing w:after="0" w:line="86" w:lineRule="exact"/>
        <w:rPr>
          <w:rFonts w:ascii="Times New Roman" w:cs="Times New Roman" w:eastAsia="Times New Roman" w:hAnsi="Times New Roman"/>
          <w:sz w:val="22"/>
          <w:szCs w:val="22"/>
          <w:color w:val="auto"/>
        </w:rPr>
      </w:pPr>
    </w:p>
    <w:p>
      <w:pPr>
        <w:ind w:firstLine="1952"/>
        <w:spacing w:after="0" w:line="253" w:lineRule="auto"/>
        <w:tabs>
          <w:tab w:leader="none" w:pos="2250" w:val="left"/>
        </w:tabs>
        <w:numPr>
          <w:ilvl w:val="1"/>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Subject to Paragraph 6[(b)][(c)], all Shares issuable with respect to Performance Stock Units that are subject to an Initial Deferral Election under this Paragraph 6(a) shall be delivered to [Grantee][Participant] without any legend or restrictions (except those that may be imposed by the Committee, in its sole judgment, under Paragraph 9), on the date designated by [Grantee][Participant], which shall be designated in accordance with the deferral periods permissible under the terms of the DC Plan on the date the Initial Deferral Election is made.</w:t>
      </w:r>
    </w:p>
    <w:p>
      <w:pPr>
        <w:spacing w:after="0" w:line="111" w:lineRule="exact"/>
        <w:rPr>
          <w:rFonts w:ascii="Times New Roman" w:cs="Times New Roman" w:eastAsia="Times New Roman" w:hAnsi="Times New Roman"/>
          <w:sz w:val="22"/>
          <w:szCs w:val="22"/>
          <w:color w:val="auto"/>
        </w:rPr>
      </w:pPr>
    </w:p>
    <w:p>
      <w:pPr>
        <w:ind w:right="560" w:firstLine="1952"/>
        <w:spacing w:after="0" w:line="271" w:lineRule="auto"/>
        <w:tabs>
          <w:tab w:leader="none" w:pos="2250" w:val="left"/>
        </w:tabs>
        <w:numPr>
          <w:ilvl w:val="1"/>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Failure of Vesting Date to Occur</w:t>
      </w:r>
      <w:r>
        <w:rPr>
          <w:rFonts w:ascii="Times New Roman" w:cs="Times New Roman" w:eastAsia="Times New Roman" w:hAnsi="Times New Roman"/>
          <w:sz w:val="22"/>
          <w:szCs w:val="22"/>
          <w:color w:val="auto"/>
        </w:rPr>
        <w:t>. An Initial Deferral Election shall be null and void if a Vesting Date does not occur with respect to Performance Stock Units identified in such Initial Deferral Election.</w:t>
      </w:r>
    </w:p>
    <w:p>
      <w:pPr>
        <w:spacing w:after="0" w:line="90"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Regular Deferral Elections</w:t>
      </w:r>
      <w:r>
        <w:rPr>
          <w:rFonts w:ascii="Times New Roman" w:cs="Times New Roman" w:eastAsia="Times New Roman" w:hAnsi="Times New Roman"/>
          <w:sz w:val="22"/>
          <w:szCs w:val="22"/>
          <w:color w:val="auto"/>
        </w:rPr>
        <w:t>. No Regular Deferral Election shall be effective until 12 months after the date on which a Regular Deferral Election is filed with the Committee. [Grantee][Participant] shall have the right to make a Regular Deferral Election to defer the receipt of all or a portion of the Shares issuable with respect to Restricted Stock Units hereby granted that are not subject to an Initial Deferral Election by filing a Regular Deferral Election to defer the receipt of such Shares on the form provided by the Committee for this purpose.</w:t>
      </w:r>
    </w:p>
    <w:p>
      <w:pPr>
        <w:spacing w:after="0" w:line="111" w:lineRule="exact"/>
        <w:rPr>
          <w:sz w:val="20"/>
          <w:szCs w:val="20"/>
          <w:color w:val="auto"/>
        </w:rPr>
      </w:pPr>
    </w:p>
    <w:p>
      <w:pPr>
        <w:ind w:right="160" w:firstLine="1952"/>
        <w:spacing w:after="0" w:line="295" w:lineRule="auto"/>
        <w:tabs>
          <w:tab w:leader="none" w:pos="2250" w:val="left"/>
        </w:tabs>
        <w:numPr>
          <w:ilvl w:val="0"/>
          <w:numId w:val="4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Deadline for Regular Deferral Election</w:t>
      </w:r>
      <w:r>
        <w:rPr>
          <w:rFonts w:ascii="Times New Roman" w:cs="Times New Roman" w:eastAsia="Times New Roman" w:hAnsi="Times New Roman"/>
          <w:sz w:val="21"/>
          <w:szCs w:val="21"/>
          <w:color w:val="auto"/>
        </w:rPr>
        <w:t>. A Regular Deferral Election to defer the receipt of Shares issuable with respect to Performance Stock Units hereby granted shall not be effective unless it is filed with the Committee: [●]</w:t>
      </w:r>
    </w:p>
    <w:p>
      <w:pPr>
        <w:spacing w:after="0" w:line="310" w:lineRule="exact"/>
        <w:rPr>
          <w:rFonts w:ascii="Times New Roman" w:cs="Times New Roman" w:eastAsia="Times New Roman" w:hAnsi="Times New Roman"/>
          <w:sz w:val="21"/>
          <w:szCs w:val="21"/>
          <w:color w:val="auto"/>
        </w:rPr>
      </w:pPr>
    </w:p>
    <w:p>
      <w:pPr>
        <w:jc w:val="both"/>
        <w:ind w:right="220" w:firstLine="1952"/>
        <w:spacing w:after="0" w:line="252" w:lineRule="auto"/>
        <w:tabs>
          <w:tab w:leader="none" w:pos="2250"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If [Grantee][Participant] makes a Regular Deferral Election to defer the distribution date for Shares issuable with respect to some or all of the Performance Stock Units hereby granted, [Grantee][Participant] may elect to defer the distribution date for a minimum of five years and a maximum of seven additional years from the Service Vesting Date.</w:t>
      </w:r>
    </w:p>
    <w:p>
      <w:pPr>
        <w:spacing w:after="0" w:line="111" w:lineRule="exact"/>
        <w:rPr>
          <w:rFonts w:ascii="Times New Roman" w:cs="Times New Roman" w:eastAsia="Times New Roman" w:hAnsi="Times New Roman"/>
          <w:sz w:val="22"/>
          <w:szCs w:val="22"/>
          <w:color w:val="auto"/>
        </w:rPr>
      </w:pPr>
    </w:p>
    <w:p>
      <w:pPr>
        <w:ind w:right="500" w:firstLine="1952"/>
        <w:spacing w:after="0" w:line="271" w:lineRule="auto"/>
        <w:tabs>
          <w:tab w:leader="none" w:pos="2250"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Failure of Vesting Date to Occur</w:t>
      </w:r>
      <w:r>
        <w:rPr>
          <w:rFonts w:ascii="Times New Roman" w:cs="Times New Roman" w:eastAsia="Times New Roman" w:hAnsi="Times New Roman"/>
          <w:sz w:val="22"/>
          <w:szCs w:val="22"/>
          <w:color w:val="auto"/>
        </w:rPr>
        <w:t>. A Regular Deferral Election shall be null and void if a Vesting Date does not occur with respect to Restricted Stock Units identified in such Initial Deferral Election.]</w:t>
      </w:r>
    </w:p>
    <w:p>
      <w:pPr>
        <w:spacing w:after="0" w:line="90"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[(b)][(c)] </w:t>
      </w: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No Subsequent Deferral Election shall be effective until 12 months after the date on which a Subsequent Deferral Election is filed with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6-</w:t>
      </w:r>
    </w:p>
    <w:p>
      <w:pPr>
        <w:sectPr>
          <w:pgSz w:w="11900" w:h="16838" w:orient="portrait"/>
          <w:cols w:equalWidth="0" w:num="1">
            <w:col w:w="11180"/>
          </w:cols>
          <w:pgMar w:left="320" w:top="1422" w:right="399" w:bottom="1440" w:gutter="0" w:footer="0" w:header="0"/>
        </w:sectPr>
      </w:pPr>
    </w:p>
    <w:bookmarkStart w:id="320" w:name="page321"/>
    <w:bookmarkEnd w:id="320"/>
    <w:p>
      <w:pPr>
        <w:ind w:left="-20" w:right="20" w:firstLine="1952"/>
        <w:spacing w:after="0" w:line="251" w:lineRule="auto"/>
        <w:tabs>
          <w:tab w:leader="none" w:pos="2230" w:val="left"/>
        </w:tabs>
        <w:numPr>
          <w:ilvl w:val="1"/>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[Grantee][Participant] makes an Initial Deferral Election, a Regular Deferral Election or pursuant to this Paragraph 6[(b)][(c)](1) makes a Subsequent Deferral Election to defer the distribution date for Shares issuable with respect to some or all of the Performance Stock Units hereby granted, [Grantee][Participant] may elect to defer the distribution date for a minimum of five years and a maximum of seven additional years from the previously-elected distribution date by filing a Subsequent Deferral Election with the Committee on or before the close of business at least one year before the date on which the distribution would otherwise be made.</w:t>
      </w:r>
    </w:p>
    <w:p>
      <w:pPr>
        <w:spacing w:after="0" w:line="113" w:lineRule="exact"/>
        <w:rPr>
          <w:rFonts w:ascii="Times New Roman" w:cs="Times New Roman" w:eastAsia="Times New Roman" w:hAnsi="Times New Roman"/>
          <w:sz w:val="22"/>
          <w:szCs w:val="22"/>
          <w:color w:val="auto"/>
        </w:rPr>
      </w:pPr>
    </w:p>
    <w:p>
      <w:pPr>
        <w:ind w:left="-20" w:right="20" w:firstLine="1952"/>
        <w:spacing w:after="0" w:line="268" w:lineRule="auto"/>
        <w:tabs>
          <w:tab w:leader="none" w:pos="2230"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[Grantee][Participant] dies before Shares subject to an Initial Deferral Election under Paragraph 6(a) are to be delivered, the estate or beneficiary to whom the right to delivery of such Shares shall have passed may make a Subsequent Deferral Election to defer receipt of all or any portion of such Shares for five additional years from the date delivery of Shares would otherwise be made, provided that such Subsequent Deferral Election must be filed with the Committee at least one year before the date on which the distribution would otherwise be made, as reflected on [Grantee][Participant]’s last Election.</w:t>
      </w:r>
    </w:p>
    <w:p>
      <w:pPr>
        <w:spacing w:after="0" w:line="82" w:lineRule="exact"/>
        <w:rPr>
          <w:rFonts w:ascii="Times New Roman" w:cs="Times New Roman" w:eastAsia="Times New Roman" w:hAnsi="Times New Roman"/>
          <w:sz w:val="21"/>
          <w:szCs w:val="21"/>
          <w:color w:val="auto"/>
        </w:rPr>
      </w:pPr>
    </w:p>
    <w:p>
      <w:pPr>
        <w:ind w:left="-20" w:right="140" w:firstLine="1952"/>
        <w:spacing w:after="0" w:line="268" w:lineRule="auto"/>
        <w:tabs>
          <w:tab w:leader="none" w:pos="2230"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[Grantee][Participant] has a Termination of Employment before Shares subject to an Initial Deferral Election, a Regular Deferral Election or a Subsequent Deferral Election are required to be delivered, [Grantee][Participant] may make a Subsequent Deferral Election to defer all or any portion of such Shares for a minimum of five years and a maximum of seven additional years from the previously-elected distribution date. Such a Subsequent Deferral Election must be filed with the Committee at least one year before the date on which the distribution would otherwise be made.</w:t>
      </w:r>
    </w:p>
    <w:p>
      <w:pPr>
        <w:spacing w:after="0" w:line="96" w:lineRule="exact"/>
        <w:rPr>
          <w:rFonts w:ascii="Times New Roman" w:cs="Times New Roman" w:eastAsia="Times New Roman" w:hAnsi="Times New Roman"/>
          <w:sz w:val="21"/>
          <w:szCs w:val="21"/>
          <w:color w:val="auto"/>
        </w:rPr>
      </w:pPr>
    </w:p>
    <w:p>
      <w:pPr>
        <w:ind w:left="-20" w:right="160" w:firstLine="1304"/>
        <w:spacing w:after="0" w:line="257" w:lineRule="auto"/>
        <w:tabs>
          <w:tab w:leader="none" w:pos="1582"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Diversification Election</w:t>
      </w:r>
      <w:r>
        <w:rPr>
          <w:rFonts w:ascii="Times New Roman" w:cs="Times New Roman" w:eastAsia="Times New Roman" w:hAnsi="Times New Roman"/>
          <w:sz w:val="22"/>
          <w:szCs w:val="22"/>
          <w:color w:val="auto"/>
        </w:rPr>
        <w:t>. As provided in the [DC] Plan and as described in the prospectus for the [DC] Plan, a [Grantee][Participant] with an Account may be eligible to make a Diversification Election on an election form supplied by the Committee for this purpose.</w:t>
      </w:r>
    </w:p>
    <w:p>
      <w:pPr>
        <w:spacing w:after="0" w:line="105" w:lineRule="exact"/>
        <w:rPr>
          <w:rFonts w:ascii="Times New Roman" w:cs="Times New Roman" w:eastAsia="Times New Roman" w:hAnsi="Times New Roman"/>
          <w:sz w:val="22"/>
          <w:szCs w:val="22"/>
          <w:color w:val="auto"/>
        </w:rPr>
      </w:pPr>
    </w:p>
    <w:p>
      <w:pPr>
        <w:ind w:left="-20" w:firstLine="1304"/>
        <w:spacing w:after="0" w:line="251" w:lineRule="auto"/>
        <w:tabs>
          <w:tab w:leader="none" w:pos="1570"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 Accounts</w:t>
      </w:r>
      <w:r>
        <w:rPr>
          <w:rFonts w:ascii="Times New Roman" w:cs="Times New Roman" w:eastAsia="Times New Roman" w:hAnsi="Times New Roman"/>
          <w:sz w:val="22"/>
          <w:szCs w:val="22"/>
          <w:color w:val="auto"/>
        </w:rPr>
        <w:t>. An Account shall be established for each [Grantee][Participant] who makes an Initial Deferral Election. Deferred Stock Units shall be credited to the Account as of the Date an Initial Deferral Election becomes effective. Each Deferred Stock Unit will represent a hypothetical Share credited to the Account in lieu of delivery of the Shares to which an Initial Deferral Election, Regular Deferral Election or a Subsequent Deferral Election applies. If an eligible [Grantee][Participant] makes a Diversification Election, then to the extent an Account is deemed invested in the Income Fund, the Committee shall credit earnings with respect to such Account at the Applicable Interest Rate.</w:t>
      </w:r>
    </w:p>
    <w:p>
      <w:pPr>
        <w:spacing w:after="0" w:line="113" w:lineRule="exact"/>
        <w:rPr>
          <w:rFonts w:ascii="Times New Roman" w:cs="Times New Roman" w:eastAsia="Times New Roman" w:hAnsi="Times New Roman"/>
          <w:sz w:val="22"/>
          <w:szCs w:val="22"/>
          <w:color w:val="auto"/>
        </w:rPr>
      </w:pPr>
    </w:p>
    <w:p>
      <w:pPr>
        <w:ind w:left="-20" w:firstLine="1304"/>
        <w:spacing w:after="0" w:line="251" w:lineRule="auto"/>
        <w:tabs>
          <w:tab w:leader="none" w:pos="1546"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Deferred Amounts</w:t>
      </w:r>
      <w:r>
        <w:rPr>
          <w:rFonts w:ascii="Times New Roman" w:cs="Times New Roman" w:eastAsia="Times New Roman" w:hAnsi="Times New Roman"/>
          <w:sz w:val="22"/>
          <w:szCs w:val="22"/>
          <w:color w:val="auto"/>
        </w:rPr>
        <w:t>. [Grantee][Participant]’s right to delivery of Shares subject to an Initial Deferral Election, Regular Deferral Election or Subsequent Deferral Election, or to amounts deemed invested in the Income Fund pursuant to a Diversification Election, shall at all times represent the general obligation of the Company. [Grantee][Participant] shall be a general creditor of the Company with respect to this obligation, and shall not have a secured or preferred position with respect to such obligation. Nothing contained in the [DC] Plan or an Award shall be deemed to create an escrow, trust, custodial account or fiduciary relationship of any kind. Nothing contained in the [DC] Plan or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7-</w:t>
      </w:r>
    </w:p>
    <w:p>
      <w:pPr>
        <w:sectPr>
          <w:pgSz w:w="11900" w:h="16838" w:orient="portrait"/>
          <w:cols w:equalWidth="0" w:num="1">
            <w:col w:w="11220"/>
          </w:cols>
          <w:pgMar w:left="340" w:top="1422" w:right="339" w:bottom="1440" w:gutter="0" w:footer="0" w:header="0"/>
        </w:sectPr>
      </w:pPr>
    </w:p>
    <w:bookmarkStart w:id="321" w:name="page322"/>
    <w:bookmarkEnd w:id="321"/>
    <w:p>
      <w:pPr>
        <w:ind w:right="180"/>
        <w:spacing w:after="0" w:line="271" w:lineRule="auto"/>
        <w:rPr>
          <w:sz w:val="20"/>
          <w:szCs w:val="20"/>
          <w:color w:val="auto"/>
        </w:rPr>
      </w:pPr>
      <w:r>
        <w:rPr>
          <w:rFonts w:ascii="Times New Roman" w:cs="Times New Roman" w:eastAsia="Times New Roman" w:hAnsi="Times New Roman"/>
          <w:sz w:val="22"/>
          <w:szCs w:val="22"/>
          <w:color w:val="auto"/>
        </w:rPr>
        <w:t>shall be construed to eliminate any priority or preferred position of [Grantee][Participant] in a bankruptcy matter with respect to claims for wages.</w:t>
      </w:r>
    </w:p>
    <w:p>
      <w:pPr>
        <w:spacing w:after="0" w:line="90" w:lineRule="exact"/>
        <w:rPr>
          <w:sz w:val="20"/>
          <w:szCs w:val="20"/>
          <w:color w:val="auto"/>
        </w:rPr>
      </w:pPr>
    </w:p>
    <w:p>
      <w:pPr>
        <w:ind w:firstLine="1304"/>
        <w:spacing w:after="0" w:line="256" w:lineRule="auto"/>
        <w:tabs>
          <w:tab w:leader="none" w:pos="1602"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 Etc.</w:t>
      </w:r>
      <w:r>
        <w:rPr>
          <w:rFonts w:ascii="Times New Roman" w:cs="Times New Roman" w:eastAsia="Times New Roman" w:hAnsi="Times New Roman"/>
          <w:sz w:val="22"/>
          <w:szCs w:val="22"/>
          <w:color w:val="auto"/>
        </w:rPr>
        <w:t xml:space="preserve"> The right of [Grantee][Participant] to receive Shares subject to an Election under this Paragraph 6, or to amounts deemed invested in the Income Fund pursuant to a Diversification Election, shall not be subject in any manner to attachment or other legal process for the debts of [Grantee][Participant]; and no right to receive Shares or cash hereunder shall be subject to anticipation, alienation, sale, transfer, assignment or encumbrance.</w:t>
      </w:r>
    </w:p>
    <w:p>
      <w:pPr>
        <w:spacing w:after="0" w:line="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Nontransferability of Award</w:t>
      </w:r>
      <w:r>
        <w:rPr>
          <w:rFonts w:ascii="Times New Roman" w:cs="Times New Roman" w:eastAsia="Times New Roman" w:hAnsi="Times New Roman"/>
          <w:sz w:val="22"/>
          <w:szCs w:val="22"/>
          <w:color w:val="auto"/>
        </w:rPr>
        <w:t>. The Award and any Performance Stock Units hereunder may not be transferred or assigned by [Grantee][Participant] other than by will or the laws of descent and distribution or be exercised during his life other than by [Grantee][Participant] or for his benefit by his attorney-in-fact or guardian. Any attempt at assignment, transfer, pledge or disposition of any Performance Stock Units contrary to the provisions hereof or the levy of any execution, attachment or similar process upon the Performance Stock Units shall be null and void and without effect.</w:t>
      </w:r>
    </w:p>
    <w:p>
      <w:pPr>
        <w:spacing w:after="0" w:line="111"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the Company under this Agreement shall be made in care of the Committee at the Company’s main office in Philadelphia, Pennsylvania. The address for [Grantee][Participant] to which notice, demands and other communications to be given or delivered under or by reason of the provisions hereof shall be [Grantee][Participant]’s address as reflected in the Company’s personnel records. All notices under this Agreement shall be deemed to have been given when hand-delivered or mailed, first class postage prepaid.</w:t>
      </w:r>
    </w:p>
    <w:p>
      <w:pPr>
        <w:spacing w:after="0" w:line="11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The Committee may from time to time impose any conditions on the Shares issuable with respect to Performance Stock Units as it deems necessary or advisable to ensure that the Plan and this Award satisfies the conditions of Rule 16b-3, and that Shares are issued and resold in compliance with the Securities Act of 1933, as amended.</w:t>
      </w: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Delivery of Shares; Repayment</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firstLine="1304"/>
        <w:spacing w:after="0" w:line="248" w:lineRule="auto"/>
        <w:tabs>
          <w:tab w:leader="none" w:pos="1590"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Shares</w:t>
      </w:r>
      <w:r>
        <w:rPr>
          <w:rFonts w:ascii="Times New Roman" w:cs="Times New Roman" w:eastAsia="Times New Roman" w:hAnsi="Times New Roman"/>
          <w:sz w:val="22"/>
          <w:szCs w:val="22"/>
          <w:color w:val="auto"/>
        </w:rPr>
        <w:t>. Except as otherwise provided in Paragraph 6, the Company shall notify [Grantee]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[Participant] that a Vesting Date with respect to Performance Stock Units has occurred. Within ten (10) business days of a Vesting Date, the Company shall, without payment from [Grantee][Participant], satisfy its obligations to (1) pay the Dividend Equivalent Amount (if any) and (2) deliver Shares underlying the applicable Earned PSUs by arranging for the recording of [Grantee] [Participant]’s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Dividend Equivalent Amount (if any) will not be paid and/or Shares will not be delivered to [Grantee][Participant]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[Grantee][Participant] of any undertakings which it may determine are required to assure that the certificates are being issued in compliance with federal and state securities laws.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2" w:right="339" w:bottom="1440" w:gutter="0" w:footer="0" w:header="0"/>
        </w:sectPr>
      </w:pPr>
    </w:p>
    <w:bookmarkStart w:id="322" w:name="page323"/>
    <w:bookmarkEnd w:id="322"/>
    <w:p>
      <w:pPr>
        <w:ind w:right="200"/>
        <w:spacing w:after="0" w:line="271" w:lineRule="auto"/>
        <w:rPr>
          <w:sz w:val="20"/>
          <w:szCs w:val="20"/>
          <w:color w:val="auto"/>
        </w:rPr>
      </w:pPr>
      <w:r>
        <w:rPr>
          <w:rFonts w:ascii="Times New Roman" w:cs="Times New Roman" w:eastAsia="Times New Roman" w:hAnsi="Times New Roman"/>
          <w:sz w:val="22"/>
          <w:szCs w:val="22"/>
          <w:color w:val="auto"/>
        </w:rPr>
        <w:t>right to payment of any fractional Shares shall be satisfied in cash, measured by the product of the fractional amount multiplied by the Fair Market Value of a Share on the Vesting Date, as determined by the Committee.</w:t>
      </w:r>
    </w:p>
    <w:p>
      <w:pPr>
        <w:spacing w:after="0" w:line="86" w:lineRule="exact"/>
        <w:rPr>
          <w:sz w:val="20"/>
          <w:szCs w:val="20"/>
          <w:color w:val="auto"/>
        </w:rPr>
      </w:pPr>
    </w:p>
    <w:p>
      <w:pPr>
        <w:ind w:firstLine="1304"/>
        <w:spacing w:after="0" w:line="250" w:lineRule="auto"/>
        <w:tabs>
          <w:tab w:leader="none" w:pos="1602"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Repayment</w:t>
      </w:r>
      <w:r>
        <w:rPr>
          <w:rFonts w:ascii="Times New Roman" w:cs="Times New Roman" w:eastAsia="Times New Roman" w:hAnsi="Times New Roman"/>
          <w:sz w:val="22"/>
          <w:szCs w:val="22"/>
          <w:color w:val="auto"/>
        </w:rPr>
        <w:t>. Notwithstanding anything to the contrary contained herein, the Award shall be subject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or require reimbursement of the Award or any Shares issued or cash received upon vesting, exercise or settlement of the Award or sale of Shares underlying the Award. In addition, to the extent that the receipt of an Award subject to repayment under this Paragraph 10(b) has been deferred pursuant to Paragraph 6 (or any other plan, program or arrangement that permits the deferral of receipt of an Award), such Award (and any earnings credited with respect thereto) shall be forfeited in lieu of repayment.</w:t>
      </w:r>
    </w:p>
    <w:p>
      <w:pPr>
        <w:spacing w:after="0" w:line="103"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Rights Prior to Settlement</w:t>
      </w:r>
      <w:r>
        <w:rPr>
          <w:rFonts w:ascii="Times New Roman" w:cs="Times New Roman" w:eastAsia="Times New Roman" w:hAnsi="Times New Roman"/>
          <w:sz w:val="22"/>
          <w:szCs w:val="22"/>
          <w:color w:val="auto"/>
        </w:rPr>
        <w:t>. [Grantee][Participant] shall not have any right as a stockholder with respect to any Shares subject to his or her Performance Stock Unit until the Performance Stock Unit shall have been settled in accordance with the terms of the Plan and this Agreement, and the Company shall have delivered the Shares.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[Grantee][Participant] understands and agrees that all payments made pursuant to this Award 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intended to be exempt and/or comply with Section 409A of the Code (together with its implement regulations and guidance,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and shall be interpreted on a basis consistent with such intent. For the avoidance of doubt, the Company makes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representations that the payments provided pursuant this Award comply with Section 409A, and in no event will the Company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liable for any taxes, penalties, interest or other expenses that may be incurred by you on account of non-compliance with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409A. Notwithstanding anything to the contrary in this Agreement, to the extent that any Performance Stock Units are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determined by the Company to be “nonqualified deferred compensation” for purposes Section 409A, and Shares become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deliverable with respect to this Award as a result of [Grantee][Participant]’s Termination of Employment, such Shares will only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delivered if such Termination of Employment constitutes a “separation from service” within the meaning of Treas. Reg.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1.409A-1(h) and, to the extent compliance with the requirements of Treas. Reg. § 1.409A-3(i)(2) is necessary to avoid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application of an additional tax under Section 409A of the Code, as determined by the Company, Shares that would otherwise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become deliverable upon [Grantee][Participant]’s “separation from service” will be deferred (without interest) and issued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[Grantee][Participant] immediately following the expiration of the six-month period measured from the date of [Grantee]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separation from service.</w:t>
      </w:r>
    </w:p>
    <w:p>
      <w:pPr>
        <w:spacing w:after="0" w:line="128" w:lineRule="exact"/>
        <w:rPr>
          <w:sz w:val="20"/>
          <w:szCs w:val="20"/>
          <w:color w:val="auto"/>
        </w:rPr>
      </w:pPr>
    </w:p>
    <w:p>
      <w:pPr>
        <w:ind w:right="200" w:firstLine="656"/>
        <w:spacing w:after="0" w:line="252" w:lineRule="auto"/>
        <w:tabs>
          <w:tab w:leader="none" w:pos="972"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422" w:right="359" w:bottom="1440" w:gutter="0" w:footer="0" w:header="0"/>
        </w:sectPr>
      </w:pPr>
    </w:p>
    <w:bookmarkStart w:id="323" w:name="page324"/>
    <w:bookmarkEnd w:id="323"/>
    <w:p>
      <w:pPr>
        <w:ind w:right="280" w:firstLine="656"/>
        <w:spacing w:after="0" w:line="271" w:lineRule="auto"/>
        <w:tabs>
          <w:tab w:leader="none" w:pos="972"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Not to Affect Employment</w:t>
      </w:r>
      <w:r>
        <w:rPr>
          <w:rFonts w:ascii="Times New Roman" w:cs="Times New Roman" w:eastAsia="Times New Roman" w:hAnsi="Times New Roman"/>
          <w:sz w:val="22"/>
          <w:szCs w:val="22"/>
          <w:color w:val="auto"/>
        </w:rPr>
        <w:t>. The Award granted hereunder shall not confer upon [Grantee][Participant] any right to continue in the employment of the Company or any Subsidiary Company or Affiliate of the Company.</w:t>
      </w:r>
    </w:p>
    <w:p>
      <w:pPr>
        <w:spacing w:after="0" w:line="9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performance, construction and effect of this Award shall be governed by the laws of the Commonwealth of Pennsylvania, without giving effect to principles of conflicts of law.</w:t>
      </w:r>
    </w:p>
    <w:p>
      <w:pPr>
        <w:spacing w:after="0" w:line="90"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Data Protection.</w:t>
      </w:r>
      <w:r>
        <w:rPr>
          <w:rFonts w:ascii="Times New Roman" w:cs="Times New Roman" w:eastAsia="Times New Roman" w:hAnsi="Times New Roman"/>
          <w:sz w:val="22"/>
          <w:szCs w:val="22"/>
          <w:color w:val="auto"/>
        </w:rPr>
        <w:t xml:space="preserve"> Participant acknowledges that their personal data will be processed in accordance with the data privacy policy, notice and/or agreement that is applicable to them in connection with their employment.]</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IN WITNESS WHEREOF, the Company has granted this Award on the Date of Grant.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 ]</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10-</w:t>
      </w:r>
    </w:p>
    <w:p>
      <w:pPr>
        <w:sectPr>
          <w:pgSz w:w="11900" w:h="16838" w:orient="portrait"/>
          <w:cols w:equalWidth="0" w:num="1">
            <w:col w:w="11100"/>
          </w:cols>
          <w:pgMar w:left="320" w:top="1422" w:right="479" w:bottom="1440" w:gutter="0" w:footer="0" w:header="0"/>
        </w:sectPr>
      </w:pPr>
    </w:p>
    <w:bookmarkStart w:id="324" w:name="page325"/>
    <w:bookmarkEnd w:id="32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LONG-TERM INCENTIVE AWARDS SUMMARY SCHEDULE</w:t>
      </w:r>
    </w:p>
    <w:p>
      <w:pPr>
        <w:spacing w:after="0" w:line="22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2"/>
          <w:szCs w:val="22"/>
          <w:color w:val="auto"/>
        </w:rPr>
        <w:t>This Long-Term Incentive Awards Summary Schedule (this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provides certain information related to the Performance Stock Units [Grantee][Participant] was granted by the Company on the Date of Grant pursuant to the Performance Stock Unit Award Agreement to which this Schedule is attached.</w:t>
      </w:r>
    </w:p>
    <w:p>
      <w:pPr>
        <w:spacing w:after="0" w:line="167"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22"/>
          <w:szCs w:val="22"/>
          <w:color w:val="auto"/>
        </w:rPr>
        <w:t>Capitalized terms that are not otherwise defined in this Schedule shall have the meanings given to them in the applicable Performance Stock Unit Award Agreement or in the Plan.</w:t>
      </w:r>
    </w:p>
    <w:p>
      <w:pPr>
        <w:spacing w:after="0" w:line="15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22"/>
          <w:szCs w:val="22"/>
          <w:b w:val="1"/>
          <w:bCs w:val="1"/>
          <w:color w:val="auto"/>
        </w:rPr>
        <w:t>This Schedule is intended to be, and shall at all times be interpreted as, a part of the Performance Stock Unit Award Agreement to which it relates.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Stock Unit Award</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33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[Grantee][Participant]:</w:t>
            </w:r>
          </w:p>
        </w:tc>
        <w:tc>
          <w:tcPr>
            <w:tcW w:w="78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3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Date of Grant:</w:t>
            </w: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3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Comcast Corporation Class A Common Stock</w:t>
            </w:r>
          </w:p>
        </w:tc>
        <w:tc>
          <w:tcPr>
            <w:tcW w:w="0" w:type="dxa"/>
            <w:vAlign w:val="bottom"/>
          </w:tcPr>
          <w:p>
            <w:pPr>
              <w:spacing w:after="0"/>
              <w:rPr>
                <w:sz w:val="1"/>
                <w:szCs w:val="1"/>
                <w:color w:val="auto"/>
              </w:rPr>
            </w:pPr>
          </w:p>
        </w:tc>
      </w:tr>
      <w:tr>
        <w:trPr>
          <w:trHeight w:val="21"/>
        </w:trPr>
        <w:tc>
          <w:tcPr>
            <w:tcW w:w="3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Number of Performance Stock Units</w:t>
            </w:r>
          </w:p>
        </w:tc>
        <w:tc>
          <w:tcPr>
            <w:tcW w:w="78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 Performance Stock Units (“</w:t>
            </w:r>
            <w:r>
              <w:rPr>
                <w:rFonts w:ascii="Times New Roman" w:cs="Times New Roman" w:eastAsia="Times New Roman" w:hAnsi="Times New Roman"/>
                <w:sz w:val="20"/>
                <w:szCs w:val="20"/>
                <w:b w:val="1"/>
                <w:bCs w:val="1"/>
                <w:color w:val="auto"/>
              </w:rPr>
              <w:t>Target PSUs</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Granted:</w:t>
            </w:r>
          </w:p>
        </w:tc>
        <w:tc>
          <w:tcPr>
            <w:tcW w:w="788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Vesting of Performance Stock Units:</w:t>
            </w: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The Performance Stock Units will vest upon the satisfaction of both of the Service Condition and</w:t>
            </w:r>
          </w:p>
        </w:tc>
        <w:tc>
          <w:tcPr>
            <w:tcW w:w="0" w:type="dxa"/>
            <w:vAlign w:val="bottom"/>
          </w:tcPr>
          <w:p>
            <w:pPr>
              <w:spacing w:after="0"/>
              <w:rPr>
                <w:sz w:val="1"/>
                <w:szCs w:val="1"/>
                <w:color w:val="auto"/>
              </w:rPr>
            </w:pPr>
          </w:p>
        </w:tc>
      </w:tr>
      <w:tr>
        <w:trPr>
          <w:trHeight w:val="243"/>
        </w:trPr>
        <w:tc>
          <w:tcPr>
            <w:tcW w:w="3380" w:type="dxa"/>
            <w:vAlign w:val="bottom"/>
            <w:tcBorders>
              <w:left w:val="single" w:sz="8" w:color="auto"/>
              <w:right w:val="single" w:sz="8" w:color="auto"/>
            </w:tcBorders>
          </w:tcPr>
          <w:p>
            <w:pPr>
              <w:spacing w:after="0"/>
              <w:rPr>
                <w:sz w:val="21"/>
                <w:szCs w:val="21"/>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Performance Condition applicable to the Performance Stock Units, as set forth in more detail</w:t>
            </w:r>
          </w:p>
        </w:tc>
        <w:tc>
          <w:tcPr>
            <w:tcW w:w="0" w:type="dxa"/>
            <w:vAlign w:val="bottom"/>
          </w:tcPr>
          <w:p>
            <w:pPr>
              <w:spacing w:after="0"/>
              <w:rPr>
                <w:sz w:val="1"/>
                <w:szCs w:val="1"/>
                <w:color w:val="auto"/>
              </w:rPr>
            </w:pPr>
          </w:p>
        </w:tc>
      </w:tr>
      <w:tr>
        <w:trPr>
          <w:trHeight w:val="258"/>
        </w:trPr>
        <w:tc>
          <w:tcPr>
            <w:tcW w:w="3380" w:type="dxa"/>
            <w:vAlign w:val="bottom"/>
            <w:tcBorders>
              <w:left w:val="single" w:sz="8" w:color="auto"/>
              <w:right w:val="single" w:sz="8" w:color="auto"/>
            </w:tcBorders>
          </w:tcPr>
          <w:p>
            <w:pPr>
              <w:spacing w:after="0"/>
              <w:rPr>
                <w:sz w:val="22"/>
                <w:szCs w:val="22"/>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below.</w:t>
            </w:r>
          </w:p>
        </w:tc>
        <w:tc>
          <w:tcPr>
            <w:tcW w:w="0" w:type="dxa"/>
            <w:vAlign w:val="bottom"/>
          </w:tcPr>
          <w:p>
            <w:pPr>
              <w:spacing w:after="0"/>
              <w:rPr>
                <w:sz w:val="1"/>
                <w:szCs w:val="1"/>
                <w:color w:val="auto"/>
              </w:rPr>
            </w:pPr>
          </w:p>
        </w:tc>
      </w:tr>
      <w:tr>
        <w:trPr>
          <w:trHeight w:val="35"/>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38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 satisfaction of the “</w:t>
            </w:r>
            <w:r>
              <w:rPr>
                <w:rFonts w:ascii="Times New Roman" w:cs="Times New Roman" w:eastAsia="Times New Roman" w:hAnsi="Times New Roman"/>
                <w:sz w:val="22"/>
                <w:szCs w:val="22"/>
                <w:b w:val="1"/>
                <w:bCs w:val="1"/>
                <w:color w:val="auto"/>
              </w:rPr>
              <w:t>Performance Condition</w:t>
            </w:r>
            <w:r>
              <w:rPr>
                <w:rFonts w:ascii="Times New Roman" w:cs="Times New Roman" w:eastAsia="Times New Roman" w:hAnsi="Times New Roman"/>
                <w:sz w:val="22"/>
                <w:szCs w:val="22"/>
                <w:color w:val="auto"/>
              </w:rPr>
              <w:t>” will be determined as follows:</w:t>
            </w:r>
          </w:p>
        </w:tc>
        <w:tc>
          <w:tcPr>
            <w:tcW w:w="0" w:type="dxa"/>
            <w:vAlign w:val="bottom"/>
          </w:tcPr>
          <w:p>
            <w:pPr>
              <w:spacing w:after="0"/>
              <w:rPr>
                <w:sz w:val="1"/>
                <w:szCs w:val="1"/>
                <w:color w:val="auto"/>
              </w:rPr>
            </w:pPr>
          </w:p>
        </w:tc>
      </w:tr>
      <w:tr>
        <w:trPr>
          <w:trHeight w:val="537"/>
        </w:trPr>
        <w:tc>
          <w:tcPr>
            <w:tcW w:w="338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 number of Performance Stock Units earned and eligible to vest and convert to</w:t>
            </w:r>
          </w:p>
        </w:tc>
        <w:tc>
          <w:tcPr>
            <w:tcW w:w="0" w:type="dxa"/>
            <w:vAlign w:val="bottom"/>
          </w:tcPr>
          <w:p>
            <w:pPr>
              <w:spacing w:after="0"/>
              <w:rPr>
                <w:sz w:val="1"/>
                <w:szCs w:val="1"/>
                <w:color w:val="auto"/>
              </w:rPr>
            </w:pPr>
          </w:p>
        </w:tc>
      </w:tr>
      <w:tr>
        <w:trPr>
          <w:trHeight w:val="270"/>
        </w:trPr>
        <w:tc>
          <w:tcPr>
            <w:tcW w:w="3380" w:type="dxa"/>
            <w:vAlign w:val="bottom"/>
            <w:tcBorders>
              <w:left w:val="single" w:sz="8" w:color="auto"/>
              <w:right w:val="single" w:sz="8" w:color="auto"/>
            </w:tcBorders>
          </w:tcPr>
          <w:p>
            <w:pPr>
              <w:spacing w:after="0"/>
              <w:rPr>
                <w:sz w:val="23"/>
                <w:szCs w:val="23"/>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Shares (the “</w:t>
            </w:r>
            <w:r>
              <w:rPr>
                <w:rFonts w:ascii="Times New Roman" w:cs="Times New Roman" w:eastAsia="Times New Roman" w:hAnsi="Times New Roman"/>
                <w:sz w:val="22"/>
                <w:szCs w:val="22"/>
                <w:b w:val="1"/>
                <w:bCs w:val="1"/>
                <w:color w:val="auto"/>
              </w:rPr>
              <w:t>Earned PSUs</w:t>
            </w:r>
            <w:r>
              <w:rPr>
                <w:rFonts w:ascii="Times New Roman" w:cs="Times New Roman" w:eastAsia="Times New Roman" w:hAnsi="Times New Roman"/>
                <w:sz w:val="22"/>
                <w:szCs w:val="22"/>
                <w:color w:val="auto"/>
              </w:rPr>
              <w:t xml:space="preserve">”) will be equal to (i) the number of Target PSUs </w:t>
            </w:r>
            <w:r>
              <w:rPr>
                <w:rFonts w:ascii="Times New Roman" w:cs="Times New Roman" w:eastAsia="Times New Roman" w:hAnsi="Times New Roman"/>
                <w:sz w:val="22"/>
                <w:szCs w:val="22"/>
                <w:i w:val="1"/>
                <w:iCs w:val="1"/>
                <w:color w:val="auto"/>
              </w:rPr>
              <w:t>multiplied</w:t>
            </w:r>
          </w:p>
        </w:tc>
        <w:tc>
          <w:tcPr>
            <w:tcW w:w="0" w:type="dxa"/>
            <w:vAlign w:val="bottom"/>
          </w:tcPr>
          <w:p>
            <w:pPr>
              <w:spacing w:after="0"/>
              <w:rPr>
                <w:sz w:val="1"/>
                <w:szCs w:val="1"/>
                <w:color w:val="auto"/>
              </w:rPr>
            </w:pPr>
          </w:p>
        </w:tc>
      </w:tr>
      <w:tr>
        <w:trPr>
          <w:trHeight w:val="355"/>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Performance Condition:</w:t>
            </w:r>
            <w:r>
              <w:rPr>
                <w:rFonts w:ascii="Times New Roman" w:cs="Times New Roman" w:eastAsia="Times New Roman" w:hAnsi="Times New Roman"/>
                <w:sz w:val="25"/>
                <w:szCs w:val="25"/>
                <w:b w:val="1"/>
                <w:bCs w:val="1"/>
                <w:color w:val="auto"/>
                <w:vertAlign w:val="superscript"/>
              </w:rPr>
              <w:t>1</w:t>
            </w: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i w:val="1"/>
                <w:iCs w:val="1"/>
                <w:color w:val="auto"/>
              </w:rPr>
              <w:t xml:space="preserve">by </w:t>
            </w:r>
            <w:r>
              <w:rPr>
                <w:rFonts w:ascii="Times New Roman" w:cs="Times New Roman" w:eastAsia="Times New Roman" w:hAnsi="Times New Roman"/>
                <w:sz w:val="22"/>
                <w:szCs w:val="22"/>
                <w:color w:val="auto"/>
              </w:rPr>
              <w:t>(ii) the [Final][●] Performance Goal Achievement Percentage.]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wp:posOffset>
            </wp:positionV>
            <wp:extent cx="7148830" cy="336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extLst>
                        <a:ext uri="{28A0092B-C50C-407E-A947-70E740481C1C}"/>
                      </a:extLst>
                    </a:blip>
                    <a:srcRect/>
                    <a:stretch>
                      <a:fillRect/>
                    </a:stretch>
                  </pic:blipFill>
                  <pic:spPr bwMode="auto">
                    <a:xfrm>
                      <a:off x="0" y="0"/>
                      <a:ext cx="7148830" cy="33655"/>
                    </a:xfrm>
                    <a:prstGeom prst="rect">
                      <a:avLst/>
                    </a:prstGeom>
                    <a:noFill/>
                  </pic:spPr>
                </pic:pic>
              </a:graphicData>
            </a:graphic>
          </wp:anchor>
        </w:drawing>
      </w:r>
    </w:p>
    <w:p>
      <w:pPr>
        <w:spacing w:after="0" w:line="340" w:lineRule="exact"/>
        <w:rPr>
          <w:sz w:val="20"/>
          <w:szCs w:val="20"/>
          <w:color w:val="auto"/>
        </w:rPr>
      </w:pPr>
    </w:p>
    <w:p>
      <w:pPr>
        <w:ind w:right="520" w:firstLine="8"/>
        <w:spacing w:after="0" w:line="297" w:lineRule="auto"/>
        <w:tabs>
          <w:tab w:leader="none" w:pos="99" w:val="left"/>
        </w:tabs>
        <w:numPr>
          <w:ilvl w:val="0"/>
          <w:numId w:val="420"/>
        </w:numPr>
        <w:rPr>
          <w:rFonts w:ascii="Calibri" w:cs="Calibri" w:eastAsia="Calibri" w:hAnsi="Calibri"/>
          <w:sz w:val="12"/>
          <w:szCs w:val="12"/>
          <w:color w:val="auto"/>
        </w:rPr>
      </w:pPr>
      <w:r>
        <w:rPr>
          <w:rFonts w:ascii="Times New Roman" w:cs="Times New Roman" w:eastAsia="Times New Roman" w:hAnsi="Times New Roman"/>
          <w:sz w:val="18"/>
          <w:szCs w:val="18"/>
          <w:color w:val="auto"/>
        </w:rPr>
        <w:t>The performance goals may be any financial, operational or shareholder return metrics (or any combination thereof) determined by the Board or the Committee, and may be measured on an absolute and/or relative basis.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11-</w:t>
      </w:r>
    </w:p>
    <w:p>
      <w:pPr>
        <w:sectPr>
          <w:pgSz w:w="11900" w:h="16838" w:orient="portrait"/>
          <w:cols w:equalWidth="0" w:num="1">
            <w:col w:w="11260"/>
          </w:cols>
          <w:pgMar w:left="320" w:top="1418" w:right="319" w:bottom="1440" w:gutter="0" w:footer="0" w:header="0"/>
        </w:sectPr>
      </w:pPr>
    </w:p>
    <w:bookmarkStart w:id="325" w:name="page326"/>
    <w:bookmarkEnd w:id="325"/>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916305</wp:posOffset>
            </wp:positionV>
            <wp:extent cx="7148830" cy="53232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extLst>
                    </a:blip>
                    <a:srcRect/>
                    <a:stretch>
                      <a:fillRect/>
                    </a:stretch>
                  </pic:blipFill>
                  <pic:spPr bwMode="auto">
                    <a:xfrm>
                      <a:off x="0" y="0"/>
                      <a:ext cx="7148830" cy="53232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4"/>
        </w:trPr>
        <w:tc>
          <w:tcPr>
            <w:tcW w:w="10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 Performance Goal Achievement   </w:t>
            </w:r>
            <w:r>
              <w:rPr>
                <w:rFonts w:ascii="Times New Roman" w:cs="Times New Roman" w:eastAsia="Times New Roman" w:hAnsi="Times New Roman"/>
                <w:sz w:val="21"/>
                <w:szCs w:val="21"/>
                <w:color w:val="auto"/>
              </w:rPr>
              <w:t>[[●]% of the Target PSUs are subject to the [●] Performance Goal [and [●]% of the</w:t>
            </w:r>
          </w:p>
        </w:tc>
      </w:tr>
      <w:tr>
        <w:trPr>
          <w:trHeight w:val="295"/>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Percentage][●]:]</w:t>
            </w: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Target PSUs are subject to the [●] Performance Goal.]]</w:t>
            </w:r>
          </w:p>
        </w:tc>
      </w:tr>
      <w:tr>
        <w:trPr>
          <w:trHeight w:val="528"/>
        </w:trPr>
        <w:tc>
          <w:tcPr>
            <w:tcW w:w="336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Performance Goal]</w:t>
            </w:r>
          </w:p>
        </w:tc>
      </w:tr>
      <w:tr>
        <w:trPr>
          <w:trHeight w:val="20"/>
        </w:trPr>
        <w:tc>
          <w:tcPr>
            <w:tcW w:w="33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300"/>
        </w:trPr>
        <w:tc>
          <w:tcPr>
            <w:tcW w:w="336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[The “</w:t>
            </w:r>
            <w:r>
              <w:rPr>
                <w:rFonts w:ascii="Times New Roman" w:cs="Times New Roman" w:eastAsia="Times New Roman" w:hAnsi="Times New Roman"/>
                <w:sz w:val="22"/>
                <w:szCs w:val="22"/>
                <w:b w:val="1"/>
                <w:bCs w:val="1"/>
                <w:color w:val="auto"/>
                <w:w w:val="97"/>
              </w:rPr>
              <w:t>[●] Performance Goal Achievement Percentage</w:t>
            </w:r>
            <w:r>
              <w:rPr>
                <w:rFonts w:ascii="Times New Roman" w:cs="Times New Roman" w:eastAsia="Times New Roman" w:hAnsi="Times New Roman"/>
                <w:sz w:val="22"/>
                <w:szCs w:val="22"/>
                <w:color w:val="auto"/>
                <w:w w:val="97"/>
              </w:rPr>
              <w:t>” will be [determined based on</w:t>
            </w:r>
          </w:p>
        </w:tc>
      </w:tr>
      <w:tr>
        <w:trPr>
          <w:trHeight w:val="261"/>
        </w:trPr>
        <w:tc>
          <w:tcPr>
            <w:tcW w:w="3360" w:type="dxa"/>
            <w:vAlign w:val="bottom"/>
          </w:tcPr>
          <w:p>
            <w:pPr>
              <w:spacing w:after="0"/>
              <w:rPr>
                <w:sz w:val="22"/>
                <w:szCs w:val="22"/>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level of achievement of [●],] determined as follows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will be</w:t>
            </w:r>
          </w:p>
        </w:tc>
      </w:tr>
      <w:tr>
        <w:trPr>
          <w:trHeight w:val="257"/>
        </w:trPr>
        <w:tc>
          <w:tcPr>
            <w:tcW w:w="3360" w:type="dxa"/>
            <w:vAlign w:val="bottom"/>
          </w:tcPr>
          <w:p>
            <w:pPr>
              <w:spacing w:after="0"/>
              <w:rPr>
                <w:sz w:val="22"/>
                <w:szCs w:val="22"/>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straight-line interpolation to derive the [●] Performance Goal Achievement Percentage</w:t>
            </w:r>
          </w:p>
        </w:tc>
      </w:tr>
      <w:tr>
        <w:trPr>
          <w:trHeight w:val="282"/>
        </w:trPr>
        <w:tc>
          <w:tcPr>
            <w:tcW w:w="336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not expressly set forth below):</w:t>
            </w:r>
          </w:p>
        </w:tc>
      </w:tr>
      <w:tr>
        <w:trPr>
          <w:trHeight w:val="580"/>
        </w:trPr>
        <w:tc>
          <w:tcPr>
            <w:tcW w:w="336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t>
            </w:r>
          </w:p>
        </w:tc>
      </w:tr>
      <w:tr>
        <w:trPr>
          <w:trHeight w:val="623"/>
        </w:trPr>
        <w:tc>
          <w:tcPr>
            <w:tcW w:w="336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Performance Goal]</w:t>
            </w:r>
          </w:p>
        </w:tc>
      </w:tr>
      <w:tr>
        <w:trPr>
          <w:trHeight w:val="20"/>
        </w:trPr>
        <w:tc>
          <w:tcPr>
            <w:tcW w:w="33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583"/>
        </w:trPr>
        <w:tc>
          <w:tcPr>
            <w:tcW w:w="336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[The “</w:t>
            </w:r>
            <w:r>
              <w:rPr>
                <w:rFonts w:ascii="Times New Roman" w:cs="Times New Roman" w:eastAsia="Times New Roman" w:hAnsi="Times New Roman"/>
                <w:sz w:val="22"/>
                <w:szCs w:val="22"/>
                <w:b w:val="1"/>
                <w:bCs w:val="1"/>
                <w:color w:val="auto"/>
                <w:w w:val="97"/>
              </w:rPr>
              <w:t>[●] Performance Goal Achievement Percentage</w:t>
            </w:r>
            <w:r>
              <w:rPr>
                <w:rFonts w:ascii="Times New Roman" w:cs="Times New Roman" w:eastAsia="Times New Roman" w:hAnsi="Times New Roman"/>
                <w:sz w:val="22"/>
                <w:szCs w:val="22"/>
                <w:color w:val="auto"/>
                <w:w w:val="97"/>
              </w:rPr>
              <w:t>” will be [determined based on</w:t>
            </w:r>
          </w:p>
        </w:tc>
      </w:tr>
      <w:tr>
        <w:trPr>
          <w:trHeight w:val="261"/>
        </w:trPr>
        <w:tc>
          <w:tcPr>
            <w:tcW w:w="3360" w:type="dxa"/>
            <w:vAlign w:val="bottom"/>
          </w:tcPr>
          <w:p>
            <w:pPr>
              <w:spacing w:after="0"/>
              <w:rPr>
                <w:sz w:val="22"/>
                <w:szCs w:val="22"/>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level of achievement of [●],] determined as follows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will be</w:t>
            </w:r>
          </w:p>
        </w:tc>
      </w:tr>
      <w:tr>
        <w:trPr>
          <w:trHeight w:val="256"/>
        </w:trPr>
        <w:tc>
          <w:tcPr>
            <w:tcW w:w="3360" w:type="dxa"/>
            <w:vAlign w:val="bottom"/>
          </w:tcPr>
          <w:p>
            <w:pPr>
              <w:spacing w:after="0"/>
              <w:rPr>
                <w:sz w:val="22"/>
                <w:szCs w:val="22"/>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straight-line interpolation to derive the [●] Performance Goal Achievement Percentage</w:t>
            </w:r>
          </w:p>
        </w:tc>
      </w:tr>
      <w:tr>
        <w:trPr>
          <w:trHeight w:val="282"/>
        </w:trPr>
        <w:tc>
          <w:tcPr>
            <w:tcW w:w="336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not expressly set forth below):</w:t>
            </w:r>
          </w:p>
        </w:tc>
      </w:tr>
    </w:tbl>
    <w:p>
      <w:pPr>
        <w:spacing w:after="0" w:line="29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[[●][TSR] Modifier Performance Goal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[●][TSR] Modifier Performance Goal Achievement Percentage</w:t>
      </w:r>
      <w:r>
        <w:rPr>
          <w:rFonts w:ascii="Times New Roman" w:cs="Times New Roman" w:eastAsia="Times New Roman" w:hAnsi="Times New Roman"/>
          <w:sz w:val="20"/>
          <w:szCs w:val="20"/>
          <w:color w:val="auto"/>
        </w:rPr>
        <w:t>” will be [determined</w:t>
      </w:r>
    </w:p>
    <w:p>
      <w:pPr>
        <w:spacing w:after="0" w:line="32" w:lineRule="exact"/>
        <w:rPr>
          <w:sz w:val="20"/>
          <w:szCs w:val="20"/>
          <w:color w:val="auto"/>
        </w:rPr>
      </w:pPr>
    </w:p>
    <w:p>
      <w:pPr>
        <w:ind w:left="3360" w:hanging="3347"/>
        <w:spacing w:after="0" w:line="267" w:lineRule="auto"/>
        <w:tabs>
          <w:tab w:leader="none" w:pos="3340" w:val="left"/>
        </w:tabs>
        <w:rPr>
          <w:sz w:val="20"/>
          <w:szCs w:val="20"/>
          <w:color w:val="auto"/>
        </w:rPr>
      </w:pPr>
      <w:r>
        <w:rPr>
          <w:rFonts w:ascii="Times New Roman" w:cs="Times New Roman" w:eastAsia="Times New Roman" w:hAnsi="Times New Roman"/>
          <w:sz w:val="20"/>
          <w:szCs w:val="20"/>
          <w:b w:val="1"/>
          <w:bCs w:val="1"/>
          <w:color w:val="auto"/>
        </w:rPr>
        <w:t>Achievement Percentage:]</w:t>
      </w:r>
      <w:r>
        <w:rPr>
          <w:sz w:val="20"/>
          <w:szCs w:val="20"/>
          <w:color w:val="auto"/>
        </w:rPr>
        <w:tab/>
      </w:r>
      <w:r>
        <w:rPr>
          <w:rFonts w:ascii="Times New Roman" w:cs="Times New Roman" w:eastAsia="Times New Roman" w:hAnsi="Times New Roman"/>
          <w:sz w:val="20"/>
          <w:szCs w:val="20"/>
          <w:color w:val="auto"/>
        </w:rPr>
        <w:t>based on the level of achievement of [●][TSR],] determined as follows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there will be straight-line interpolation to derive the [●][TSR] Modifier Performance Goal Achievement Percentage not expressly set forth below)]:</w:t>
      </w:r>
    </w:p>
    <w:p>
      <w:pPr>
        <w:spacing w:after="0" w:line="4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w:t>
      </w:r>
    </w:p>
    <w:p>
      <w:pPr>
        <w:spacing w:after="0" w:line="288"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20"/>
          <w:szCs w:val="20"/>
          <w:b w:val="1"/>
          <w:bCs w:val="1"/>
          <w:color w:val="auto"/>
        </w:rPr>
        <w:t>[[Final] Performance Achievement</w:t>
      </w:r>
      <w:r>
        <w:rPr>
          <w:sz w:val="20"/>
          <w:szCs w:val="20"/>
          <w:color w:val="auto"/>
        </w:rPr>
        <w:tab/>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[Final] Performance Achievement Percentage</w:t>
      </w:r>
      <w:r>
        <w:rPr>
          <w:rFonts w:ascii="Times New Roman" w:cs="Times New Roman" w:eastAsia="Times New Roman" w:hAnsi="Times New Roman"/>
          <w:sz w:val="19"/>
          <w:szCs w:val="19"/>
          <w:color w:val="auto"/>
        </w:rPr>
        <w:t>” means (A) [●][the [mathematical</w:t>
      </w:r>
    </w:p>
    <w:p>
      <w:pPr>
        <w:spacing w:after="0" w:line="32" w:lineRule="exact"/>
        <w:rPr>
          <w:sz w:val="20"/>
          <w:szCs w:val="20"/>
          <w:color w:val="auto"/>
        </w:rPr>
      </w:pPr>
    </w:p>
    <w:p>
      <w:pPr>
        <w:jc w:val="both"/>
        <w:ind w:left="3360" w:right="840" w:hanging="3359"/>
        <w:spacing w:after="0" w:line="267" w:lineRule="auto"/>
        <w:tabs>
          <w:tab w:leader="none" w:pos="3340" w:val="left"/>
        </w:tabs>
        <w:rPr>
          <w:sz w:val="20"/>
          <w:szCs w:val="20"/>
          <w:color w:val="auto"/>
        </w:rPr>
      </w:pPr>
      <w:r>
        <w:rPr>
          <w:rFonts w:ascii="Times New Roman" w:cs="Times New Roman" w:eastAsia="Times New Roman" w:hAnsi="Times New Roman"/>
          <w:sz w:val="20"/>
          <w:szCs w:val="20"/>
          <w:b w:val="1"/>
          <w:bCs w:val="1"/>
          <w:color w:val="auto"/>
        </w:rPr>
        <w:t>Percentage:]</w:t>
      </w:r>
      <w:r>
        <w:rPr>
          <w:sz w:val="20"/>
          <w:szCs w:val="20"/>
          <w:color w:val="auto"/>
        </w:rPr>
        <w:tab/>
      </w:r>
      <w:r>
        <w:rPr>
          <w:rFonts w:ascii="Times New Roman" w:cs="Times New Roman" w:eastAsia="Times New Roman" w:hAnsi="Times New Roman"/>
          <w:sz w:val="20"/>
          <w:szCs w:val="20"/>
          <w:color w:val="auto"/>
        </w:rPr>
        <w:t>average] of [(i) the [●] Performance Goal Achievement Percentage[,][and] (ii) the [●] Performance Goal Achievement Percentage [multiplied by (B) the [●][TSR] Modifier Performance Goal Achievement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12-</w:t>
      </w:r>
    </w:p>
    <w:p>
      <w:pPr>
        <w:sectPr>
          <w:pgSz w:w="11900" w:h="16838" w:orient="portrait"/>
          <w:cols w:equalWidth="0" w:num="1">
            <w:col w:w="11000"/>
          </w:cols>
          <w:pgMar w:left="400" w:top="1440" w:right="499" w:bottom="1440" w:gutter="0" w:footer="0" w:header="0"/>
        </w:sectPr>
      </w:pPr>
    </w:p>
    <w:bookmarkStart w:id="326" w:name="page327"/>
    <w:bookmarkEnd w:id="3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916305</wp:posOffset>
            </wp:positionV>
            <wp:extent cx="714883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7148830" cy="342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33"/>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 means the [●][the period beginning [●] and ending [●].]</w:t>
            </w:r>
          </w:p>
        </w:tc>
      </w:tr>
      <w:tr>
        <w:trPr>
          <w:trHeight w:val="62"/>
        </w:trPr>
        <w:tc>
          <w:tcPr>
            <w:tcW w:w="3380" w:type="dxa"/>
            <w:vAlign w:val="bottom"/>
            <w:tcBorders>
              <w:left w:val="single" w:sz="8" w:color="auto"/>
              <w:bottom w:val="single" w:sz="8" w:color="auto"/>
              <w:right w:val="single" w:sz="8" w:color="auto"/>
            </w:tcBorders>
          </w:tcPr>
          <w:p>
            <w:pPr>
              <w:spacing w:after="0"/>
              <w:rPr>
                <w:sz w:val="5"/>
                <w:szCs w:val="5"/>
                <w:color w:val="auto"/>
              </w:rPr>
            </w:pPr>
          </w:p>
        </w:tc>
        <w:tc>
          <w:tcPr>
            <w:tcW w:w="7880" w:type="dxa"/>
            <w:vAlign w:val="bottom"/>
            <w:tcBorders>
              <w:bottom w:val="single" w:sz="8" w:color="auto"/>
              <w:right w:val="single" w:sz="8" w:color="auto"/>
            </w:tcBorders>
          </w:tcPr>
          <w:p>
            <w:pPr>
              <w:spacing w:after="0"/>
              <w:rPr>
                <w:sz w:val="5"/>
                <w:szCs w:val="5"/>
                <w:color w:val="auto"/>
              </w:rPr>
            </w:pPr>
          </w:p>
        </w:tc>
      </w:tr>
      <w:tr>
        <w:trPr>
          <w:trHeight w:val="250"/>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Service Condition:</w:t>
            </w: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Except as otherwise provided in Paragraph 4 of Performance Stock Unit Award Agreement,</w:t>
            </w:r>
          </w:p>
        </w:tc>
      </w:tr>
      <w:tr>
        <w:trPr>
          <w:trHeight w:val="257"/>
        </w:trPr>
        <w:tc>
          <w:tcPr>
            <w:tcW w:w="3380" w:type="dxa"/>
            <w:vAlign w:val="bottom"/>
            <w:tcBorders>
              <w:left w:val="single" w:sz="8" w:color="auto"/>
              <w:right w:val="single" w:sz="8" w:color="auto"/>
            </w:tcBorders>
          </w:tcPr>
          <w:p>
            <w:pPr>
              <w:spacing w:after="0"/>
              <w:rPr>
                <w:sz w:val="22"/>
                <w:szCs w:val="22"/>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[Grantee][Participant] will satisfy the “</w:t>
            </w:r>
            <w:r>
              <w:rPr>
                <w:rFonts w:ascii="Times New Roman" w:cs="Times New Roman" w:eastAsia="Times New Roman" w:hAnsi="Times New Roman"/>
                <w:sz w:val="20"/>
                <w:szCs w:val="20"/>
                <w:b w:val="1"/>
                <w:bCs w:val="1"/>
                <w:color w:val="auto"/>
              </w:rPr>
              <w:t>Service Condition</w:t>
            </w:r>
            <w:r>
              <w:rPr>
                <w:rFonts w:ascii="Times New Roman" w:cs="Times New Roman" w:eastAsia="Times New Roman" w:hAnsi="Times New Roman"/>
                <w:sz w:val="20"/>
                <w:szCs w:val="20"/>
                <w:color w:val="auto"/>
              </w:rPr>
              <w:t>” applicable to the Earned PSUs on</w:t>
            </w:r>
          </w:p>
        </w:tc>
      </w:tr>
      <w:tr>
        <w:trPr>
          <w:trHeight w:val="247"/>
        </w:trPr>
        <w:tc>
          <w:tcPr>
            <w:tcW w:w="3380" w:type="dxa"/>
            <w:vAlign w:val="bottom"/>
            <w:tcBorders>
              <w:left w:val="single" w:sz="8" w:color="auto"/>
              <w:right w:val="single" w:sz="8" w:color="auto"/>
            </w:tcBorders>
          </w:tcPr>
          <w:p>
            <w:pPr>
              <w:spacing w:after="0"/>
              <w:rPr>
                <w:sz w:val="21"/>
                <w:szCs w:val="21"/>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[each of] the date[s] set forth below ([each, a][the] “</w:t>
            </w:r>
            <w:r>
              <w:rPr>
                <w:rFonts w:ascii="Times New Roman" w:cs="Times New Roman" w:eastAsia="Times New Roman" w:hAnsi="Times New Roman"/>
                <w:sz w:val="20"/>
                <w:szCs w:val="20"/>
                <w:b w:val="1"/>
                <w:bCs w:val="1"/>
                <w:color w:val="auto"/>
                <w:w w:val="99"/>
              </w:rPr>
              <w:t>Service Vesting Date</w:t>
            </w:r>
            <w:r>
              <w:rPr>
                <w:rFonts w:ascii="Times New Roman" w:cs="Times New Roman" w:eastAsia="Times New Roman" w:hAnsi="Times New Roman"/>
                <w:sz w:val="20"/>
                <w:szCs w:val="20"/>
                <w:color w:val="auto"/>
                <w:w w:val="99"/>
              </w:rPr>
              <w:t>”), subject to [Grantee]</w:t>
            </w:r>
          </w:p>
        </w:tc>
      </w:tr>
      <w:tr>
        <w:trPr>
          <w:trHeight w:val="258"/>
        </w:trPr>
        <w:tc>
          <w:tcPr>
            <w:tcW w:w="3380" w:type="dxa"/>
            <w:vAlign w:val="bottom"/>
            <w:tcBorders>
              <w:left w:val="single" w:sz="8" w:color="auto"/>
              <w:right w:val="single" w:sz="8" w:color="auto"/>
            </w:tcBorders>
          </w:tcPr>
          <w:p>
            <w:pPr>
              <w:spacing w:after="0"/>
              <w:rPr>
                <w:sz w:val="22"/>
                <w:szCs w:val="22"/>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[Participant]’s continued employment through the applicable Service Vesting Date[s]:</w:t>
            </w:r>
          </w:p>
        </w:tc>
      </w:tr>
      <w:tr>
        <w:trPr>
          <w:trHeight w:val="675"/>
        </w:trPr>
        <w:tc>
          <w:tcPr>
            <w:tcW w:w="338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62"/>
        </w:trPr>
        <w:tc>
          <w:tcPr>
            <w:tcW w:w="3380" w:type="dxa"/>
            <w:vAlign w:val="bottom"/>
            <w:tcBorders>
              <w:left w:val="single" w:sz="8" w:color="auto"/>
              <w:bottom w:val="single" w:sz="8" w:color="auto"/>
              <w:right w:val="single" w:sz="8" w:color="auto"/>
            </w:tcBorders>
          </w:tcPr>
          <w:p>
            <w:pPr>
              <w:spacing w:after="0"/>
              <w:rPr>
                <w:sz w:val="5"/>
                <w:szCs w:val="5"/>
                <w:color w:val="auto"/>
              </w:rPr>
            </w:pPr>
          </w:p>
        </w:tc>
        <w:tc>
          <w:tcPr>
            <w:tcW w:w="7880" w:type="dxa"/>
            <w:vAlign w:val="bottom"/>
            <w:tcBorders>
              <w:bottom w:val="single" w:sz="8" w:color="auto"/>
              <w:right w:val="single" w:sz="8" w:color="auto"/>
            </w:tcBorders>
          </w:tcPr>
          <w:p>
            <w:pPr>
              <w:spacing w:after="0"/>
              <w:rPr>
                <w:sz w:val="5"/>
                <w:szCs w:val="5"/>
                <w:color w:val="auto"/>
              </w:rPr>
            </w:pPr>
          </w:p>
        </w:tc>
      </w:tr>
      <w:tr>
        <w:trPr>
          <w:trHeight w:val="289"/>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Definitions:</w:t>
            </w: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Adjusted EBITDA</w:t>
            </w:r>
            <w:r>
              <w:rPr>
                <w:rFonts w:ascii="Times New Roman" w:cs="Times New Roman" w:eastAsia="Times New Roman" w:hAnsi="Times New Roman"/>
                <w:sz w:val="21"/>
                <w:szCs w:val="21"/>
                <w:color w:val="auto"/>
              </w:rPr>
              <w:t>” means [●].]</w:t>
            </w:r>
          </w:p>
        </w:tc>
      </w:tr>
      <w:tr>
        <w:trPr>
          <w:trHeight w:val="486"/>
        </w:trPr>
        <w:tc>
          <w:tcPr>
            <w:tcW w:w="338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EPS</w:t>
            </w:r>
            <w:r>
              <w:rPr>
                <w:rFonts w:ascii="Times New Roman" w:cs="Times New Roman" w:eastAsia="Times New Roman" w:hAnsi="Times New Roman"/>
                <w:sz w:val="22"/>
                <w:szCs w:val="22"/>
                <w:color w:val="auto"/>
              </w:rPr>
              <w:t>” [●].]</w:t>
            </w:r>
          </w:p>
        </w:tc>
      </w:tr>
      <w:tr>
        <w:trPr>
          <w:trHeight w:val="473"/>
        </w:trPr>
        <w:tc>
          <w:tcPr>
            <w:tcW w:w="338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ROIC</w:t>
            </w:r>
            <w:r>
              <w:rPr>
                <w:rFonts w:ascii="Times New Roman" w:cs="Times New Roman" w:eastAsia="Times New Roman" w:hAnsi="Times New Roman"/>
                <w:sz w:val="22"/>
                <w:szCs w:val="22"/>
                <w:color w:val="auto"/>
              </w:rPr>
              <w:t>” means [●].]</w:t>
            </w:r>
          </w:p>
        </w:tc>
      </w:tr>
      <w:tr>
        <w:trPr>
          <w:trHeight w:val="473"/>
        </w:trPr>
        <w:tc>
          <w:tcPr>
            <w:tcW w:w="338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TSR</w:t>
            </w:r>
            <w:r>
              <w:rPr>
                <w:rFonts w:ascii="Times New Roman" w:cs="Times New Roman" w:eastAsia="Times New Roman" w:hAnsi="Times New Roman"/>
                <w:sz w:val="22"/>
                <w:szCs w:val="22"/>
                <w:color w:val="auto"/>
              </w:rPr>
              <w:t>” means [●].]</w:t>
            </w:r>
          </w:p>
        </w:tc>
      </w:tr>
      <w:tr>
        <w:trPr>
          <w:trHeight w:val="244"/>
        </w:trPr>
        <w:tc>
          <w:tcPr>
            <w:tcW w:w="3380" w:type="dxa"/>
            <w:vAlign w:val="bottom"/>
            <w:tcBorders>
              <w:left w:val="single" w:sz="8" w:color="auto"/>
              <w:bottom w:val="single" w:sz="8" w:color="auto"/>
              <w:right w:val="single" w:sz="8" w:color="auto"/>
            </w:tcBorders>
          </w:tcPr>
          <w:p>
            <w:pPr>
              <w:spacing w:after="0"/>
              <w:rPr>
                <w:sz w:val="21"/>
                <w:szCs w:val="21"/>
                <w:color w:val="auto"/>
              </w:rPr>
            </w:pPr>
          </w:p>
        </w:tc>
        <w:tc>
          <w:tcPr>
            <w:tcW w:w="78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color w:val="auto"/>
        </w:rPr>
        <w:t>13-</w:t>
      </w:r>
    </w:p>
    <w:p>
      <w:pPr>
        <w:sectPr>
          <w:pgSz w:w="11900" w:h="16838" w:orient="portrait"/>
          <w:cols w:equalWidth="0" w:num="1">
            <w:col w:w="11260"/>
          </w:cols>
          <w:pgMar w:left="320" w:top="1440" w:right="31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COMCAST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196" w:lineRule="exact"/>
        <w:rPr>
          <w:sz w:val="20"/>
          <w:szCs w:val="20"/>
          <w:color w:val="auto"/>
        </w:rPr>
      </w:pPr>
    </w:p>
    <w:p>
      <w:pPr>
        <w:ind w:right="60" w:firstLine="1296"/>
        <w:spacing w:after="0" w:line="284" w:lineRule="auto"/>
        <w:rPr>
          <w:sz w:val="20"/>
          <w:szCs w:val="20"/>
          <w:color w:val="auto"/>
        </w:rPr>
      </w:pPr>
      <w:r>
        <w:rPr>
          <w:rFonts w:ascii="Times New Roman" w:cs="Times New Roman" w:eastAsia="Times New Roman" w:hAnsi="Times New Roman"/>
          <w:sz w:val="22"/>
          <w:szCs w:val="22"/>
          <w:color w:val="auto"/>
        </w:rPr>
        <w:t>This Restricted Stock Unit Award Agreement dated as of the Date of Grant (together with all schedules hereto, the “Agreement”) is entered into by and between Comcast Corporation (the “Company”) and Grantee.</w:t>
      </w:r>
    </w:p>
    <w:p>
      <w:pPr>
        <w:spacing w:after="0" w:line="144" w:lineRule="exact"/>
        <w:rPr>
          <w:sz w:val="20"/>
          <w:szCs w:val="20"/>
          <w:color w:val="auto"/>
        </w:rPr>
      </w:pPr>
    </w:p>
    <w:p>
      <w:pPr>
        <w:ind w:right="340" w:firstLine="1304"/>
        <w:spacing w:after="0" w:line="271" w:lineRule="auto"/>
        <w:tabs>
          <w:tab w:leader="none" w:pos="1674"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have the meanings ascribed to them below. Capitalized terms used in this Agreement but not defined herein, have the meanings given to them in the Plan [or in the DC Plan, as applicable].</w:t>
      </w:r>
    </w:p>
    <w:p>
      <w:pPr>
        <w:spacing w:after="0" w:line="157" w:lineRule="exact"/>
        <w:rPr>
          <w:rFonts w:ascii="Times New Roman" w:cs="Times New Roman" w:eastAsia="Times New Roman" w:hAnsi="Times New Roman"/>
          <w:sz w:val="22"/>
          <w:szCs w:val="22"/>
          <w:color w:val="auto"/>
        </w:rPr>
      </w:pPr>
    </w:p>
    <w:p>
      <w:pPr>
        <w:ind w:right="140" w:firstLine="1952"/>
        <w:spacing w:after="0" w:line="256" w:lineRule="auto"/>
        <w:tabs>
          <w:tab w:leader="none" w:pos="2400"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an unfunded bookkeeping account established pursuant to Paragraph 6(d) and maintained by the Committee in the name of Grantee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DC Plan.</w:t>
      </w:r>
    </w:p>
    <w:p>
      <w:pPr>
        <w:spacing w:after="0" w:line="17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the award of Restricted Stock Units granted pursuant to this Agreement.</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auto"/>
        </w:rPr>
      </w:pPr>
    </w:p>
    <w:p>
      <w:pPr>
        <w:ind w:right="220" w:firstLine="1952"/>
        <w:spacing w:after="0" w:line="295" w:lineRule="auto"/>
        <w:tabs>
          <w:tab w:leader="none" w:pos="2412" w:val="left"/>
        </w:tabs>
        <w:numPr>
          <w:ilvl w:val="1"/>
          <w:numId w:val="4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has the meaning set forth in the Grantee’s employment agreement with the Company, or, if no such agreement exists or such agreement has expired prior to such time, then “Cause” has the meaning set forth in the Plan.</w:t>
      </w:r>
    </w:p>
    <w:p>
      <w:pPr>
        <w:spacing w:after="0" w:line="148" w:lineRule="exact"/>
        <w:rPr>
          <w:rFonts w:ascii="Times New Roman" w:cs="Times New Roman" w:eastAsia="Times New Roman" w:hAnsi="Times New Roman"/>
          <w:sz w:val="21"/>
          <w:szCs w:val="21"/>
          <w:color w:val="auto"/>
        </w:rPr>
      </w:pPr>
    </w:p>
    <w:p>
      <w:pPr>
        <w:ind w:left="2400" w:hanging="448"/>
        <w:spacing w:after="0"/>
        <w:tabs>
          <w:tab w:leader="none" w:pos="2400"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19" w:lineRule="exact"/>
        <w:rPr>
          <w:rFonts w:ascii="Times New Roman" w:cs="Times New Roman" w:eastAsia="Times New Roman" w:hAnsi="Times New Roman"/>
          <w:sz w:val="22"/>
          <w:szCs w:val="22"/>
          <w:color w:val="auto"/>
        </w:rPr>
      </w:pPr>
    </w:p>
    <w:p>
      <w:pPr>
        <w:ind w:right="720" w:firstLine="1952"/>
        <w:spacing w:after="0" w:line="271" w:lineRule="auto"/>
        <w:tabs>
          <w:tab w:leader="none" w:pos="2376"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means the grant date [identified on the attached Long-Term Incentive Awards Summary Schedule][as indicated for Grantee on the website of the third party administrator for the Plan].</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DC Plan</w:t>
      </w:r>
      <w:r>
        <w:rPr>
          <w:rFonts w:ascii="Times New Roman" w:cs="Times New Roman" w:eastAsia="Times New Roman" w:hAnsi="Times New Roman"/>
          <w:sz w:val="22"/>
          <w:szCs w:val="22"/>
          <w:color w:val="auto"/>
        </w:rPr>
        <w:t>” means the Comcast Corporation 2005 Deferred Compensation Plan (as amended from</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to time).</w:t>
      </w:r>
    </w:p>
    <w:p>
      <w:pPr>
        <w:spacing w:after="0" w:line="20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Stock Units</w:t>
      </w:r>
      <w:r>
        <w:rPr>
          <w:rFonts w:ascii="Times New Roman" w:cs="Times New Roman" w:eastAsia="Times New Roman" w:hAnsi="Times New Roman"/>
          <w:sz w:val="22"/>
          <w:szCs w:val="22"/>
          <w:color w:val="auto"/>
        </w:rPr>
        <w:t>” means the number of hypothetical Shares subject to an Election.</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Diversification Election</w:t>
      </w:r>
      <w:r>
        <w:rPr>
          <w:rFonts w:ascii="Times New Roman" w:cs="Times New Roman" w:eastAsia="Times New Roman" w:hAnsi="Times New Roman"/>
          <w:sz w:val="22"/>
          <w:szCs w:val="22"/>
          <w:color w:val="auto"/>
        </w:rPr>
        <w:t>” has the meaning set forth in the DC Plan.</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means a Regular Deferral Election or a Subsequent Deferral Election.</w:t>
      </w:r>
    </w:p>
    <w:p>
      <w:pPr>
        <w:spacing w:after="0" w:line="219" w:lineRule="exact"/>
        <w:rPr>
          <w:rFonts w:ascii="Times New Roman" w:cs="Times New Roman" w:eastAsia="Times New Roman" w:hAnsi="Times New Roman"/>
          <w:sz w:val="22"/>
          <w:szCs w:val="22"/>
          <w:color w:val="auto"/>
        </w:rPr>
      </w:pPr>
    </w:p>
    <w:p>
      <w:pPr>
        <w:ind w:right="480" w:firstLine="1952"/>
        <w:spacing w:after="0" w:line="271" w:lineRule="auto"/>
        <w:tabs>
          <w:tab w:leader="none" w:pos="2412"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the Company, a Subsidiary Company, or any of their respective Affiliates for which Grantee is performing services on the Vesting Date.</w:t>
      </w:r>
    </w:p>
    <w:p>
      <w:pPr>
        <w:sectPr>
          <w:pgSz w:w="11900" w:h="16838" w:orient="portrait"/>
          <w:cols w:equalWidth="0" w:num="1">
            <w:col w:w="11240"/>
          </w:cols>
          <w:pgMar w:left="320" w:top="122" w:right="339" w:bottom="1440" w:gutter="0" w:footer="0" w:header="0"/>
        </w:sectPr>
      </w:pPr>
    </w:p>
    <w:bookmarkStart w:id="328" w:name="page329"/>
    <w:bookmarkEnd w:id="328"/>
    <w:p>
      <w:pPr>
        <w:ind w:right="280" w:firstLine="1952"/>
        <w:spacing w:after="0" w:line="271" w:lineRule="auto"/>
        <w:tabs>
          <w:tab w:leader="none" w:pos="2364"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means the individual to whom this Award has been granted as identified on the [attached Long-Term Incentive Awards Summary Schedule][website for the third party administrator for the Plan].</w:t>
      </w:r>
    </w:p>
    <w:p>
      <w:pPr>
        <w:spacing w:after="0" w:line="157"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Fund</w:t>
      </w:r>
      <w:r>
        <w:rPr>
          <w:rFonts w:ascii="Times New Roman" w:cs="Times New Roman" w:eastAsia="Times New Roman" w:hAnsi="Times New Roman"/>
          <w:sz w:val="22"/>
          <w:szCs w:val="22"/>
          <w:color w:val="auto"/>
        </w:rPr>
        <w:t>” has the meaning set forth in the DC Plan.</w:t>
      </w:r>
    </w:p>
    <w:p>
      <w:pPr>
        <w:spacing w:after="0" w:line="219" w:lineRule="exact"/>
        <w:rPr>
          <w:rFonts w:ascii="Times New Roman" w:cs="Times New Roman" w:eastAsia="Times New Roman" w:hAnsi="Times New Roman"/>
          <w:sz w:val="22"/>
          <w:szCs w:val="22"/>
          <w:color w:val="auto"/>
        </w:rPr>
      </w:pPr>
    </w:p>
    <w:p>
      <w:pPr>
        <w:ind w:right="220" w:firstLine="1952"/>
        <w:spacing w:after="0" w:line="257" w:lineRule="auto"/>
        <w:tabs>
          <w:tab w:leader="none" w:pos="2412"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Incentive Awards Summary Schedule</w:t>
      </w:r>
      <w:r>
        <w:rPr>
          <w:rFonts w:ascii="Times New Roman" w:cs="Times New Roman" w:eastAsia="Times New Roman" w:hAnsi="Times New Roman"/>
          <w:sz w:val="22"/>
          <w:szCs w:val="22"/>
          <w:color w:val="auto"/>
        </w:rPr>
        <w:t>” means the schedule attached hereto, which sets forth specific information relating to the grant and vesting of this Award (including the Service Condition applicable to this Award).</w:t>
      </w:r>
    </w:p>
    <w:p>
      <w:pPr>
        <w:spacing w:after="0" w:line="172" w:lineRule="exact"/>
        <w:rPr>
          <w:rFonts w:ascii="Times New Roman" w:cs="Times New Roman" w:eastAsia="Times New Roman" w:hAnsi="Times New Roman"/>
          <w:sz w:val="22"/>
          <w:szCs w:val="22"/>
          <w:color w:val="auto"/>
        </w:rPr>
      </w:pPr>
    </w:p>
    <w:p>
      <w:pPr>
        <w:ind w:right="720" w:firstLine="1952"/>
        <w:spacing w:after="0" w:line="263" w:lineRule="auto"/>
        <w:tabs>
          <w:tab w:leader="none" w:pos="2412"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[2002 Restricted Stock Plan] [2023 Omnibus Equity Incentive Plan] (as amended from time to time and including any successor plan thereto), which is incorporated herein by reference.</w:t>
      </w:r>
    </w:p>
    <w:p>
      <w:pPr>
        <w:spacing w:after="0" w:line="16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Regular Deferral Election</w:t>
      </w:r>
      <w:r>
        <w:rPr>
          <w:rFonts w:ascii="Times New Roman" w:cs="Times New Roman" w:eastAsia="Times New Roman" w:hAnsi="Times New Roman"/>
          <w:sz w:val="22"/>
          <w:szCs w:val="22"/>
          <w:color w:val="auto"/>
        </w:rPr>
        <w:t>” has the meaning set forth in the DC Plan.</w:t>
      </w:r>
    </w:p>
    <w:p>
      <w:pPr>
        <w:spacing w:after="0" w:line="219" w:lineRule="exact"/>
        <w:rPr>
          <w:rFonts w:ascii="Times New Roman" w:cs="Times New Roman" w:eastAsia="Times New Roman" w:hAnsi="Times New Roman"/>
          <w:sz w:val="22"/>
          <w:szCs w:val="22"/>
          <w:color w:val="auto"/>
        </w:rPr>
      </w:pPr>
    </w:p>
    <w:p>
      <w:pPr>
        <w:ind w:right="340" w:firstLine="1952"/>
        <w:spacing w:after="0" w:line="271" w:lineRule="auto"/>
        <w:tabs>
          <w:tab w:leader="none" w:pos="2376"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means, with respect to each Restricted Stock Unit, the period beginning on the Date of Grant and ending on the Vesting Date.</w:t>
      </w:r>
    </w:p>
    <w:p>
      <w:pPr>
        <w:spacing w:after="0" w:line="157" w:lineRule="exact"/>
        <w:rPr>
          <w:rFonts w:ascii="Times New Roman" w:cs="Times New Roman" w:eastAsia="Times New Roman" w:hAnsi="Times New Roman"/>
          <w:sz w:val="22"/>
          <w:szCs w:val="22"/>
          <w:color w:val="auto"/>
        </w:rPr>
      </w:pPr>
    </w:p>
    <w:p>
      <w:pPr>
        <w:ind w:right="280" w:firstLine="1952"/>
        <w:spacing w:after="0" w:line="263" w:lineRule="auto"/>
        <w:tabs>
          <w:tab w:leader="none" w:pos="2388"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means the Restricted Stock Units subject to Service Conditions granted to Grantee pursuant to this Agreement, [as set forth in the Long-Term Incentive Awards Summary Schedule attached hereto][as indicated for Grantee on the website of the third party administrator for the Plan].</w:t>
      </w:r>
    </w:p>
    <w:p>
      <w:pPr>
        <w:spacing w:after="0" w:line="167" w:lineRule="exact"/>
        <w:rPr>
          <w:rFonts w:ascii="Times New Roman" w:cs="Times New Roman" w:eastAsia="Times New Roman" w:hAnsi="Times New Roman"/>
          <w:sz w:val="22"/>
          <w:szCs w:val="22"/>
          <w:color w:val="auto"/>
        </w:rPr>
      </w:pPr>
    </w:p>
    <w:p>
      <w:pPr>
        <w:ind w:firstLine="1952"/>
        <w:spacing w:after="0" w:line="256" w:lineRule="auto"/>
        <w:tabs>
          <w:tab w:leader="none" w:pos="2364"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Termination</w:t>
      </w:r>
      <w:r>
        <w:rPr>
          <w:rFonts w:ascii="Times New Roman" w:cs="Times New Roman" w:eastAsia="Times New Roman" w:hAnsi="Times New Roman"/>
          <w:sz w:val="22"/>
          <w:szCs w:val="22"/>
          <w:color w:val="auto"/>
        </w:rPr>
        <w:t>” means Grantee’s Termination of Employment [after having reached age 62 and completed 10 or more Years of Service, for any reason other than (i) due to Grantee’s death or Disability or (ii) by the applicable Participating Company for Cause.] [at such time when the sum of Grantee’s age and completed Years of Service equals or exceeds 70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at least reached age 62 and completed 5 or more Years of Service)].]</w:t>
      </w:r>
    </w:p>
    <w:p>
      <w:pPr>
        <w:spacing w:after="0" w:line="176" w:lineRule="exact"/>
        <w:rPr>
          <w:rFonts w:ascii="Times New Roman" w:cs="Times New Roman" w:eastAsia="Times New Roman" w:hAnsi="Times New Roman"/>
          <w:sz w:val="22"/>
          <w:szCs w:val="22"/>
          <w:color w:val="auto"/>
        </w:rPr>
      </w:pPr>
    </w:p>
    <w:p>
      <w:pPr>
        <w:ind w:right="620" w:firstLine="1952"/>
        <w:spacing w:after="0" w:line="271" w:lineRule="auto"/>
        <w:tabs>
          <w:tab w:leader="none" w:pos="2466"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Vesting Date</w:t>
      </w:r>
      <w:r>
        <w:rPr>
          <w:rFonts w:ascii="Times New Roman" w:cs="Times New Roman" w:eastAsia="Times New Roman" w:hAnsi="Times New Roman"/>
          <w:sz w:val="22"/>
          <w:szCs w:val="22"/>
          <w:color w:val="auto"/>
        </w:rPr>
        <w:t>” means a date on which Grantee is scheduled to satisfy the age and service conditions of Paragraph 4(c)(1), 4(c)(2) or 4(c)(3).]</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promulgated under the 1934 Act, as in effect from time to time.</w:t>
      </w:r>
    </w:p>
    <w:p>
      <w:pPr>
        <w:spacing w:after="0" w:line="21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Condition</w:t>
      </w:r>
      <w:r>
        <w:rPr>
          <w:rFonts w:ascii="Times New Roman" w:cs="Times New Roman" w:eastAsia="Times New Roman" w:hAnsi="Times New Roman"/>
          <w:sz w:val="22"/>
          <w:szCs w:val="22"/>
          <w:color w:val="auto"/>
        </w:rPr>
        <w:t>” has the meaning set forth on the attached Long-Term Incentive Awards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Summary Schedule.</w:t>
      </w:r>
    </w:p>
    <w:p>
      <w:pPr>
        <w:spacing w:after="0" w:line="20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Vesting Date</w:t>
      </w:r>
      <w:r>
        <w:rPr>
          <w:rFonts w:ascii="Times New Roman" w:cs="Times New Roman" w:eastAsia="Times New Roman" w:hAnsi="Times New Roman"/>
          <w:sz w:val="22"/>
          <w:szCs w:val="22"/>
          <w:color w:val="auto"/>
        </w:rPr>
        <w:t>” has the meaning set forth on the attached Long-Term Incentive Awards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Summary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329" w:name="page330"/>
    <w:bookmarkEnd w:id="329"/>
    <w:p>
      <w:pPr>
        <w:ind w:left="2360" w:hanging="468"/>
        <w:spacing w:after="0"/>
        <w:tabs>
          <w:tab w:leader="none" w:pos="236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 shares of the Company’s Class A Common Stock, par value $.01 per share.</w:t>
      </w:r>
    </w:p>
    <w:p>
      <w:pPr>
        <w:spacing w:after="0" w:line="219" w:lineRule="exact"/>
        <w:rPr>
          <w:rFonts w:ascii="Times New Roman" w:cs="Times New Roman" w:eastAsia="Times New Roman" w:hAnsi="Times New Roman"/>
          <w:sz w:val="22"/>
          <w:szCs w:val="22"/>
          <w:color w:val="auto"/>
        </w:rPr>
      </w:pPr>
    </w:p>
    <w:p>
      <w:pPr>
        <w:ind w:left="2340" w:hanging="448"/>
        <w:spacing w:after="0"/>
        <w:tabs>
          <w:tab w:leader="none" w:pos="234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Deferral Election</w:t>
      </w:r>
      <w:r>
        <w:rPr>
          <w:rFonts w:ascii="Times New Roman" w:cs="Times New Roman" w:eastAsia="Times New Roman" w:hAnsi="Times New Roman"/>
          <w:sz w:val="22"/>
          <w:szCs w:val="22"/>
          <w:color w:val="auto"/>
        </w:rPr>
        <w:t>” has the meaning set forth in the DC Plan.</w:t>
      </w:r>
    </w:p>
    <w:p>
      <w:pPr>
        <w:spacing w:after="0" w:line="220" w:lineRule="exact"/>
        <w:rPr>
          <w:sz w:val="20"/>
          <w:szCs w:val="20"/>
          <w:color w:val="auto"/>
        </w:rPr>
      </w:pPr>
    </w:p>
    <w:p>
      <w:pPr>
        <w:ind w:left="-60" w:right="20" w:firstLine="1952"/>
        <w:spacing w:after="0" w:line="250" w:lineRule="auto"/>
        <w:tabs>
          <w:tab w:leader="none" w:pos="2436" w:val="left"/>
        </w:tabs>
        <w:numPr>
          <w:ilvl w:val="1"/>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means Grantee’s termination of employment with the Participating Companies. For purposes of the Plan and this Award, Grantee’s Termination of Employment occurs on the date Grantee ceases to have a regular obligation to perform services for the Participating Companies, without regard to whether (i) Grantee continues on the payroll of any Participating Company for regular, severance or other pay or (ii) Grantee continues to participate in one or more health and welfare plans maintained by any Participating Company on the same basis as active employees. Whether Grantee ceases to have a regular obligation to perform services for the Participating Companies shall be determined by the Committee in its sole discretion. Notwithstanding the foregoing, if Grantee is a party to an employment agreement or severance agreement with any Participating Company which establishes the effective date of Grantee’s termination of employment for purposes of this Award, that date shall apply.</w:t>
      </w:r>
    </w:p>
    <w:p>
      <w:pPr>
        <w:spacing w:after="0" w:line="179" w:lineRule="exact"/>
        <w:rPr>
          <w:rFonts w:ascii="Times New Roman" w:cs="Times New Roman" w:eastAsia="Times New Roman" w:hAnsi="Times New Roman"/>
          <w:sz w:val="22"/>
          <w:szCs w:val="22"/>
          <w:color w:val="auto"/>
        </w:rPr>
      </w:pPr>
    </w:p>
    <w:p>
      <w:pPr>
        <w:ind w:left="-60" w:firstLine="1952"/>
        <w:spacing w:after="0" w:line="257" w:lineRule="auto"/>
        <w:tabs>
          <w:tab w:leader="none" w:pos="2460" w:val="left"/>
        </w:tabs>
        <w:numPr>
          <w:ilvl w:val="1"/>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means the date(s) on which the Service Condition applicable to any Restricted Stock Units is satisfied (or deemed satisfied) pursuant to the terms of this Agreement (including the Long-Term Incentive Awards Summary Schedule).</w:t>
      </w:r>
    </w:p>
    <w:p>
      <w:pPr>
        <w:spacing w:after="0" w:line="186" w:lineRule="exact"/>
        <w:rPr>
          <w:rFonts w:ascii="Times New Roman" w:cs="Times New Roman" w:eastAsia="Times New Roman" w:hAnsi="Times New Roman"/>
          <w:sz w:val="22"/>
          <w:szCs w:val="22"/>
          <w:color w:val="auto"/>
        </w:rPr>
      </w:pPr>
    </w:p>
    <w:p>
      <w:pPr>
        <w:ind w:left="-60" w:right="520" w:firstLine="1952"/>
        <w:spacing w:after="0" w:line="271" w:lineRule="auto"/>
        <w:tabs>
          <w:tab w:leader="none" w:pos="2490" w:val="left"/>
        </w:tabs>
        <w:numPr>
          <w:ilvl w:val="1"/>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means completed continuous years of service as reflected in the personnel records of the Company and the Company Subsidiaries.]</w:t>
      </w:r>
    </w:p>
    <w:p>
      <w:pPr>
        <w:spacing w:after="0" w:line="157" w:lineRule="exact"/>
        <w:rPr>
          <w:rFonts w:ascii="Times New Roman" w:cs="Times New Roman" w:eastAsia="Times New Roman" w:hAnsi="Times New Roman"/>
          <w:sz w:val="22"/>
          <w:szCs w:val="22"/>
          <w:color w:val="auto"/>
        </w:rPr>
      </w:pPr>
    </w:p>
    <w:p>
      <w:pPr>
        <w:ind w:left="2520" w:hanging="628"/>
        <w:spacing w:after="0"/>
        <w:tabs>
          <w:tab w:leader="none" w:pos="2520" w:val="left"/>
        </w:tabs>
        <w:numPr>
          <w:ilvl w:val="1"/>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1934 Act</w:t>
      </w:r>
      <w:r>
        <w:rPr>
          <w:rFonts w:ascii="Times New Roman" w:cs="Times New Roman" w:eastAsia="Times New Roman" w:hAnsi="Times New Roman"/>
          <w:sz w:val="22"/>
          <w:szCs w:val="22"/>
          <w:color w:val="auto"/>
        </w:rPr>
        <w:t>” means the Securities Exchange Act of 1934, as amended.</w:t>
      </w:r>
    </w:p>
    <w:p>
      <w:pPr>
        <w:spacing w:after="0" w:line="219" w:lineRule="exact"/>
        <w:rPr>
          <w:rFonts w:ascii="Times New Roman" w:cs="Times New Roman" w:eastAsia="Times New Roman" w:hAnsi="Times New Roman"/>
          <w:sz w:val="22"/>
          <w:szCs w:val="22"/>
          <w:color w:val="auto"/>
        </w:rPr>
      </w:pPr>
    </w:p>
    <w:p>
      <w:pPr>
        <w:ind w:left="1620" w:hanging="376"/>
        <w:spacing w:after="0"/>
        <w:tabs>
          <w:tab w:leader="none" w:pos="162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0" w:right="60" w:firstLine="1952"/>
        <w:spacing w:after="0" w:line="263" w:lineRule="auto"/>
        <w:tabs>
          <w:tab w:leader="none" w:pos="2336"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grants to Grantee the Restricted Stock Units. Each Restricted Stock Unit represents the right to receive one Share as set forth in the Long-Term Incentive Awards Summary Schedule, subject to the terms and conditions set forth herein and in the Plan, including the satisfaction of the applicable Service Condition.</w:t>
      </w:r>
    </w:p>
    <w:p>
      <w:pPr>
        <w:spacing w:after="0" w:line="167" w:lineRule="exact"/>
        <w:rPr>
          <w:rFonts w:ascii="Times New Roman" w:cs="Times New Roman" w:eastAsia="Times New Roman" w:hAnsi="Times New Roman"/>
          <w:sz w:val="22"/>
          <w:szCs w:val="22"/>
          <w:color w:val="auto"/>
        </w:rPr>
      </w:pPr>
    </w:p>
    <w:p>
      <w:pPr>
        <w:ind w:left="-60" w:right="220" w:firstLine="1952"/>
        <w:spacing w:after="0" w:line="253" w:lineRule="auto"/>
        <w:tabs>
          <w:tab w:leader="none" w:pos="2352"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409A of the Code, to the extent applicable, the Company reserves the right to replace the Restricted Stock Units, to the extent not yet vested, with other compensation of comparable value, terms and conditions if, before the Vesting Date [or Retirement Vesting Date], the Company determines that in connection with Grantee’s transfer to a location different from Grantee’s principal place of business on the Date of Grant, local regulatory requirements render Grantee’s continued holding of unvested Restricted Stock Units impracticable.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40"/>
          </w:cols>
          <w:pgMar w:left="380" w:top="1422" w:right="379" w:bottom="1440" w:gutter="0" w:footer="0" w:header="0"/>
        </w:sectPr>
      </w:pPr>
    </w:p>
    <w:bookmarkStart w:id="330" w:name="page331"/>
    <w:bookmarkEnd w:id="330"/>
    <w:p>
      <w:pPr>
        <w:ind w:left="1680" w:hanging="376"/>
        <w:spacing w:after="0"/>
        <w:tabs>
          <w:tab w:leader="none" w:pos="168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140" w:firstLine="1952"/>
        <w:spacing w:after="0" w:line="256" w:lineRule="auto"/>
        <w:tabs>
          <w:tab w:leader="none" w:pos="2396"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are granted with dividend equivalent rights. If the Company declares a cash dividend on the Shares, an amount equivalent to such dividend will be credited to an unfunded bookkeeping account on the dividend payment date with respect to each Restricted Stock Unit that is outstanding and unvested as of the record date of such dividend (the “</w:t>
      </w:r>
      <w:r>
        <w:rPr>
          <w:rFonts w:ascii="Times New Roman" w:cs="Times New Roman" w:eastAsia="Times New Roman" w:hAnsi="Times New Roman"/>
          <w:sz w:val="22"/>
          <w:szCs w:val="22"/>
          <w:u w:val="single" w:color="auto"/>
          <w:color w:val="auto"/>
        </w:rPr>
        <w:t>Dividend Equivalent Amount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right="40" w:firstLine="1952"/>
        <w:spacing w:after="0" w:line="253" w:lineRule="auto"/>
        <w:tabs>
          <w:tab w:leader="none" w:pos="2408"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Dividend Equivalent Amount will be credited as cash, without interest, and will not be converted to Shares. The Dividend Equivalent Amount will be payable in cash, but subject to and only upon the applicable Vesting Date(s) of the underlying Restricted Stock Units as determined in accordance with Paragraph 4 below, and will be cancelled and forfeited if the underlying Restricted Stock Units are cancelled or forfeited (including as a result of failing to satisfy the applicable Service Condition), determined in accordance with Paragraph 5 below.</w:t>
      </w:r>
    </w:p>
    <w:p>
      <w:pPr>
        <w:spacing w:after="0" w:line="178"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40" w:firstLine="1952"/>
        <w:spacing w:after="0" w:line="251" w:lineRule="auto"/>
        <w:tabs>
          <w:tab w:leader="none" w:pos="240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in this Agreement and in the Plan, the Restricted Stock Units shall vest in accordance with the terms and conditions set forth on the attached Long-Term Incentive Awards Summary Schedule;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on the Vesting Date, Grantee is, and has from the Date of Grant continuously been, an employee of a Participating Company during the Restricted Period. As of the applicable Vesting Date, Grantee shall be entitled to the delivery of Shares with respect to the applicable Restricted Stock Units;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w:t>
      </w:r>
    </w:p>
    <w:p>
      <w:pPr>
        <w:spacing w:after="0" w:line="181" w:lineRule="exact"/>
        <w:rPr>
          <w:rFonts w:ascii="Times New Roman" w:cs="Times New Roman" w:eastAsia="Times New Roman" w:hAnsi="Times New Roman"/>
          <w:sz w:val="22"/>
          <w:szCs w:val="22"/>
          <w:color w:val="auto"/>
        </w:rPr>
      </w:pPr>
    </w:p>
    <w:p>
      <w:pPr>
        <w:ind w:right="180" w:firstLine="1952"/>
        <w:spacing w:after="0" w:line="263" w:lineRule="auto"/>
        <w:tabs>
          <w:tab w:leader="none" w:pos="2412"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the Service Condition applicable to the Restricted Stock Units shall be deemed fully satisfied upon Grantee’s Termination of Employment due to Grantee’s death or Disability;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w:t>
      </w:r>
    </w:p>
    <w:p>
      <w:pPr>
        <w:spacing w:after="0" w:line="167" w:lineRule="exact"/>
        <w:rPr>
          <w:rFonts w:ascii="Times New Roman" w:cs="Times New Roman" w:eastAsia="Times New Roman" w:hAnsi="Times New Roman"/>
          <w:sz w:val="22"/>
          <w:szCs w:val="22"/>
          <w:color w:val="auto"/>
        </w:rPr>
      </w:pPr>
    </w:p>
    <w:p>
      <w:pPr>
        <w:ind w:right="80" w:firstLine="1952"/>
        <w:spacing w:after="0" w:line="252" w:lineRule="auto"/>
        <w:tabs>
          <w:tab w:leader="none" w:pos="240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Paragraph 4(a) to the contrary, and subject to the obligations described in Paragraph 4(d), [in the event of Grantee’s Retirement Termination, the Service Condition applicable to the Restricted Stock Units shall be deemed fully satisfied;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 [, if, Grantee has a Retirement Termination, and, at the time of such Retirement Termination:</w:t>
      </w:r>
    </w:p>
    <w:p>
      <w:pPr>
        <w:spacing w:after="0" w:line="192" w:lineRule="exact"/>
        <w:rPr>
          <w:rFonts w:ascii="Times New Roman" w:cs="Times New Roman" w:eastAsia="Times New Roman" w:hAnsi="Times New Roman"/>
          <w:sz w:val="22"/>
          <w:szCs w:val="22"/>
          <w:color w:val="auto"/>
        </w:rPr>
      </w:pPr>
    </w:p>
    <w:p>
      <w:pPr>
        <w:ind w:firstLine="2600"/>
        <w:spacing w:after="0" w:line="236" w:lineRule="auto"/>
        <w:tabs>
          <w:tab w:leader="none" w:pos="3330" w:val="left"/>
        </w:tabs>
        <w:numPr>
          <w:ilvl w:val="2"/>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completed at least ten (10) but less than fifteen (15) Years of Service, any Service Vesting Date applicable to the Restricted Stock Units that would have occurred on or prior to the date that is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anniversary of such Retirement Termination shall continue to occur in accordance with the terms of the Long-Term Incentive Awards Summary Schedule, the Restricted Stock Units will remain outstanding and as of each such Vesting Date, Grantee shall be entitled to the delivery of Shares with respect to such Restricted Stock Units;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331" w:name="page332"/>
    <w:bookmarkEnd w:id="331"/>
    <w:p>
      <w:pPr>
        <w:ind w:left="-20" w:firstLine="2600"/>
        <w:spacing w:after="0" w:line="238" w:lineRule="auto"/>
        <w:tabs>
          <w:tab w:leader="none" w:pos="3310"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completed at least fifteen (15) but less than twenty (20) Years of Service, any Service Vesting Date applicable to the Restricted Stock Units that would have occurred on or prior to the date that is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anniversary of such Retirement Termination shall continue to occur in accordance with the terms of the Long-Term Incentive Awards Summary Schedule, the Restricted Stock Units will remain outstanding and as of each such Vesting Date, Grantee shall be entitled to the delivery of Shares with respect to such Restricted Stock Units;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 or</w:t>
      </w:r>
    </w:p>
    <w:p>
      <w:pPr>
        <w:spacing w:after="0" w:line="194" w:lineRule="exact"/>
        <w:rPr>
          <w:rFonts w:ascii="Times New Roman" w:cs="Times New Roman" w:eastAsia="Times New Roman" w:hAnsi="Times New Roman"/>
          <w:sz w:val="22"/>
          <w:szCs w:val="22"/>
          <w:color w:val="auto"/>
        </w:rPr>
      </w:pPr>
    </w:p>
    <w:p>
      <w:pPr>
        <w:ind w:left="-20" w:right="100" w:firstLine="2600"/>
        <w:spacing w:after="0" w:line="238" w:lineRule="auto"/>
        <w:tabs>
          <w:tab w:leader="none" w:pos="3310"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completed twenty (20) or more Years of Service, any Service Vesting Date applicable to the Restricted Stock Units that would have occurred on or prior to the date that is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anniversary of such Retirement Termination shall continue to occur in accordance with the terms of the Long-Term Incentive Awards Summary Schedule, the Restricted Stock Units will remain outstanding and as of each such Vesting Date, Grantee shall be entitled to the delivery of Shares with respect to such Restricted Stock Units;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w:t>
      </w:r>
    </w:p>
    <w:p>
      <w:pPr>
        <w:spacing w:after="0" w:line="194" w:lineRule="exact"/>
        <w:rPr>
          <w:rFonts w:ascii="Times New Roman" w:cs="Times New Roman" w:eastAsia="Times New Roman" w:hAnsi="Times New Roman"/>
          <w:sz w:val="22"/>
          <w:szCs w:val="22"/>
          <w:color w:val="auto"/>
        </w:rPr>
      </w:pPr>
    </w:p>
    <w:p>
      <w:pPr>
        <w:ind w:left="-20" w:right="60" w:firstLine="1952"/>
        <w:spacing w:after="0" w:line="263" w:lineRule="auto"/>
        <w:tabs>
          <w:tab w:leader="none" w:pos="2392"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4(b) or Paragraph 4(c), the Restricted Stock Units will be subject to forfeiture by the Committee, in its sole discretion, if Grantee breaches either of the following non-solicitation or non-competition obligations during the period following a Termination of Employment and before the applicable Vesting Date:</w:t>
      </w:r>
    </w:p>
    <w:p>
      <w:pPr>
        <w:spacing w:after="0" w:line="167" w:lineRule="exact"/>
        <w:rPr>
          <w:rFonts w:ascii="Times New Roman" w:cs="Times New Roman" w:eastAsia="Times New Roman" w:hAnsi="Times New Roman"/>
          <w:sz w:val="22"/>
          <w:szCs w:val="22"/>
          <w:color w:val="auto"/>
        </w:rPr>
      </w:pPr>
    </w:p>
    <w:p>
      <w:pPr>
        <w:ind w:left="-20" w:right="100" w:firstLine="2600"/>
        <w:spacing w:after="0" w:line="257" w:lineRule="auto"/>
        <w:tabs>
          <w:tab w:leader="none" w:pos="3310" w:val="left"/>
        </w:tabs>
        <w:numPr>
          <w:ilvl w:val="1"/>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72" w:lineRule="exact"/>
        <w:rPr>
          <w:rFonts w:ascii="Times New Roman" w:cs="Times New Roman" w:eastAsia="Times New Roman" w:hAnsi="Times New Roman"/>
          <w:sz w:val="22"/>
          <w:szCs w:val="22"/>
          <w:color w:val="auto"/>
        </w:rPr>
      </w:pPr>
    </w:p>
    <w:p>
      <w:pPr>
        <w:ind w:left="-20" w:right="20" w:firstLine="2600"/>
        <w:spacing w:after="0" w:line="263" w:lineRule="auto"/>
        <w:tabs>
          <w:tab w:leader="none" w:pos="3310" w:val="left"/>
        </w:tabs>
        <w:numPr>
          <w:ilvl w:val="1"/>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69" w:lineRule="exact"/>
        <w:rPr>
          <w:rFonts w:ascii="Times New Roman" w:cs="Times New Roman" w:eastAsia="Times New Roman" w:hAnsi="Times New Roman"/>
          <w:sz w:val="21"/>
          <w:szCs w:val="21"/>
          <w:color w:val="auto"/>
        </w:rPr>
      </w:pPr>
    </w:p>
    <w:p>
      <w:pPr>
        <w:jc w:val="both"/>
        <w:ind w:left="-20" w:right="140" w:firstLine="1952"/>
        <w:spacing w:after="0" w:line="256" w:lineRule="auto"/>
        <w:tabs>
          <w:tab w:leader="none" w:pos="2380"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Restricted Stock Units would have vested pursuant to the Long-Term Incentive Awards Summary Schedule or Paragraph 4(b) or 4(c), but did not vest solely because Grantee was not in compliance with all applicable provisions of the HSR Act, then, notwithstanding anything to the contrary in this Agreement, the Vesting Date for such Restricted Stock Units shall occur on the first date following the date on which they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40" w:top="1422" w:right="339" w:bottom="1440" w:gutter="0" w:footer="0" w:header="0"/>
        </w:sectPr>
      </w:pPr>
    </w:p>
    <w:bookmarkStart w:id="332" w:name="page333"/>
    <w:bookmarkEnd w:id="332"/>
    <w:p>
      <w:pPr>
        <w:ind w:right="180"/>
        <w:spacing w:after="0" w:line="271" w:lineRule="auto"/>
        <w:rPr>
          <w:sz w:val="20"/>
          <w:szCs w:val="20"/>
          <w:color w:val="auto"/>
        </w:rPr>
      </w:pPr>
      <w:r>
        <w:rPr>
          <w:rFonts w:ascii="Times New Roman" w:cs="Times New Roman" w:eastAsia="Times New Roman" w:hAnsi="Times New Roman"/>
          <w:sz w:val="22"/>
          <w:szCs w:val="22"/>
          <w:color w:val="auto"/>
        </w:rPr>
        <w:t>earned and become vested pursuant to the Long-Term Incentive Awards Summary Schedule or Paragraph 4(b) or 4(c) on which Grantee has complied with all applicable provisions of the HSR Act. ]</w:t>
      </w:r>
    </w:p>
    <w:p>
      <w:pPr>
        <w:spacing w:after="0" w:line="158" w:lineRule="exact"/>
        <w:rPr>
          <w:sz w:val="20"/>
          <w:szCs w:val="20"/>
          <w:color w:val="auto"/>
        </w:rPr>
      </w:pPr>
    </w:p>
    <w:p>
      <w:pPr>
        <w:ind w:firstLine="1952"/>
        <w:spacing w:after="0" w:line="256" w:lineRule="auto"/>
        <w:tabs>
          <w:tab w:leader="none" w:pos="2400" w:val="left"/>
        </w:tabs>
        <w:numPr>
          <w:ilvl w:val="1"/>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and in the Plan, Grantee shall vest in the Restricted Stock Units on the Vesting Dates, and as of each Vesting Date shall be entitled to the delivery of Shares with respect to such Restricted Stock Units;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on the Vesting Date, Grantee is, and has from the Date of Grant continuously been, an employee of a Participating Company during the Restricted Period.</w:t>
      </w:r>
    </w:p>
    <w:p>
      <w:pPr>
        <w:spacing w:after="0" w:line="17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4(a), if:</w:t>
      </w:r>
    </w:p>
    <w:p>
      <w:pPr>
        <w:spacing w:after="0" w:line="219" w:lineRule="exact"/>
        <w:rPr>
          <w:rFonts w:ascii="Times New Roman" w:cs="Times New Roman" w:eastAsia="Times New Roman" w:hAnsi="Times New Roman"/>
          <w:sz w:val="22"/>
          <w:szCs w:val="22"/>
          <w:color w:val="auto"/>
        </w:rPr>
      </w:pPr>
    </w:p>
    <w:p>
      <w:pPr>
        <w:ind w:right="40" w:firstLine="2357"/>
        <w:spacing w:after="0" w:line="256" w:lineRule="auto"/>
        <w:tabs>
          <w:tab w:leader="none" w:pos="2817" w:val="left"/>
        </w:tabs>
        <w:numPr>
          <w:ilvl w:val="2"/>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experiences a Termination of Employment due to Grantee’s death or Disability, any Vesting Date for the Restricted Stock Units shall be accelerated so that such Vesting Date will be deemed to occur on the date of such Termination of Employment with respect to the number of Restricted Stock Units that would have otherwise vested on such Vesting Date; or</w:t>
      </w:r>
    </w:p>
    <w:p>
      <w:pPr>
        <w:spacing w:after="0" w:line="176" w:lineRule="exact"/>
        <w:rPr>
          <w:rFonts w:ascii="Times New Roman" w:cs="Times New Roman" w:eastAsia="Times New Roman" w:hAnsi="Times New Roman"/>
          <w:sz w:val="22"/>
          <w:szCs w:val="22"/>
          <w:color w:val="auto"/>
        </w:rPr>
      </w:pPr>
    </w:p>
    <w:p>
      <w:pPr>
        <w:ind w:right="140" w:firstLine="2438"/>
        <w:spacing w:after="0" w:line="249" w:lineRule="auto"/>
        <w:tabs>
          <w:tab w:leader="none" w:pos="2898" w:val="left"/>
        </w:tabs>
        <w:numPr>
          <w:ilvl w:val="3"/>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experiences a Termination of Employment by reason of redundancy (within the meaning of the law applicable to Grantee’s employment), or due to Grantee’s retirement with the agreement of the Company, or otherwise at the discretion of the Sky Group Chief Executive Officer, the Restricted Stock Units granted pursuant to this Award that are scheduled to vest on the next scheduled Vesting Date following Grantee’s Termination of Employment shall not be forfeited and shall continue to vest in accordance with the Long-Term Incentive Awards Summary, and as of such Vesting Date, Grantee shall be entitled to the delivery of Shares with respect to such number of Restricted Stock Units. Restricted Stock Units granted pursuant to this Award that are scheduled to vest later than the next scheduled Vesting Date following Grantee’s termination of employment, if any, shall be forfeited as provided in Paragraph 5(a).]</w:t>
      </w:r>
    </w:p>
    <w:p>
      <w:pPr>
        <w:spacing w:after="0" w:line="195"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Restricted Stock Units.</w:t>
      </w:r>
    </w:p>
    <w:p>
      <w:pPr>
        <w:spacing w:after="0" w:line="219" w:lineRule="exact"/>
        <w:rPr>
          <w:rFonts w:ascii="Times New Roman" w:cs="Times New Roman" w:eastAsia="Times New Roman" w:hAnsi="Times New Roman"/>
          <w:sz w:val="22"/>
          <w:szCs w:val="22"/>
          <w:color w:val="auto"/>
        </w:rPr>
      </w:pPr>
    </w:p>
    <w:p>
      <w:pPr>
        <w:ind w:right="380" w:firstLine="1952"/>
        <w:spacing w:after="0" w:line="252" w:lineRule="auto"/>
        <w:tabs>
          <w:tab w:leader="none" w:pos="2400" w:val="left"/>
        </w:tabs>
        <w:numPr>
          <w:ilvl w:val="1"/>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and in the Plan, in the event of Grantee’s Termination of Employment during the Restricted Period, except as otherwise specifically set forth in Paragraph 4, Grantee shall forfeit the Restricted Stock Units effective as of such Termination of Employment. Upon a forfeiture of the Restricted Stock Units as provided in this Paragraph 5, the Restricted Stock Units shall be deemed canceled.</w:t>
      </w:r>
    </w:p>
    <w:p>
      <w:pPr>
        <w:spacing w:after="0" w:line="192" w:lineRule="exact"/>
        <w:rPr>
          <w:rFonts w:ascii="Times New Roman" w:cs="Times New Roman" w:eastAsia="Times New Roman" w:hAnsi="Times New Roman"/>
          <w:sz w:val="22"/>
          <w:szCs w:val="22"/>
          <w:color w:val="auto"/>
        </w:rPr>
      </w:pPr>
    </w:p>
    <w:p>
      <w:pPr>
        <w:ind w:right="240" w:firstLine="1952"/>
        <w:spacing w:after="0" w:line="271" w:lineRule="auto"/>
        <w:tabs>
          <w:tab w:leader="none" w:pos="2408" w:val="left"/>
        </w:tabs>
        <w:numPr>
          <w:ilvl w:val="1"/>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Paragraph 5(a) shall not apply to Shares issued in respect of the Restricted Stock Units as to which a Vesting Date has occurred.</w:t>
      </w:r>
    </w:p>
    <w:p>
      <w:pPr>
        <w:spacing w:after="0" w:line="157" w:lineRule="exact"/>
        <w:rPr>
          <w:rFonts w:ascii="Times New Roman" w:cs="Times New Roman" w:eastAsia="Times New Roman" w:hAnsi="Times New Roman"/>
          <w:sz w:val="22"/>
          <w:szCs w:val="22"/>
          <w:color w:val="auto"/>
        </w:rPr>
      </w:pPr>
    </w:p>
    <w:p>
      <w:pPr>
        <w:ind w:right="160" w:firstLine="1304"/>
        <w:spacing w:after="0" w:line="271" w:lineRule="auto"/>
        <w:tabs>
          <w:tab w:leader="none" w:pos="1674"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Elections</w:t>
      </w:r>
      <w:r>
        <w:rPr>
          <w:rFonts w:ascii="Times New Roman" w:cs="Times New Roman" w:eastAsia="Times New Roman" w:hAnsi="Times New Roman"/>
          <w:sz w:val="22"/>
          <w:szCs w:val="22"/>
          <w:color w:val="auto"/>
        </w:rPr>
        <w:t>. Grantee may elect to defer the receipt of Shares issuable with respect to Restricted Stock Units, consistent, however, with the following:</w:t>
      </w:r>
    </w:p>
    <w:p>
      <w:pPr>
        <w:spacing w:after="0" w:line="157" w:lineRule="exact"/>
        <w:rPr>
          <w:rFonts w:ascii="Times New Roman" w:cs="Times New Roman" w:eastAsia="Times New Roman" w:hAnsi="Times New Roman"/>
          <w:sz w:val="22"/>
          <w:szCs w:val="22"/>
          <w:color w:val="auto"/>
        </w:rPr>
      </w:pPr>
    </w:p>
    <w:p>
      <w:pPr>
        <w:ind w:right="120" w:firstLine="1952"/>
        <w:spacing w:after="0" w:line="271" w:lineRule="auto"/>
        <w:tabs>
          <w:tab w:leader="none" w:pos="2400" w:val="left"/>
        </w:tabs>
        <w:numPr>
          <w:ilvl w:val="1"/>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Deferral Elections</w:t>
      </w:r>
      <w:r>
        <w:rPr>
          <w:rFonts w:ascii="Times New Roman" w:cs="Times New Roman" w:eastAsia="Times New Roman" w:hAnsi="Times New Roman"/>
          <w:sz w:val="22"/>
          <w:szCs w:val="22"/>
          <w:color w:val="auto"/>
        </w:rPr>
        <w:t>. No Regular Deferral Election shall be effective until 12 months after the date on which a Regular Deferral Election is filed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22" w:right="379" w:bottom="1440" w:gutter="0" w:footer="0" w:header="0"/>
        </w:sectPr>
      </w:pPr>
    </w:p>
    <w:bookmarkStart w:id="333" w:name="page334"/>
    <w:bookmarkEnd w:id="333"/>
    <w:p>
      <w:pPr>
        <w:jc w:val="both"/>
        <w:ind w:right="160"/>
        <w:spacing w:after="0" w:line="257" w:lineRule="auto"/>
        <w:rPr>
          <w:sz w:val="20"/>
          <w:szCs w:val="20"/>
          <w:color w:val="auto"/>
        </w:rPr>
      </w:pPr>
      <w:r>
        <w:rPr>
          <w:rFonts w:ascii="Times New Roman" w:cs="Times New Roman" w:eastAsia="Times New Roman" w:hAnsi="Times New Roman"/>
          <w:sz w:val="22"/>
          <w:szCs w:val="22"/>
          <w:color w:val="auto"/>
        </w:rPr>
        <w:t>Committee. Grantee shall have the right to make a Regular Deferral Election to defer the receipt of all or a portion of the Shares issuable with respect to Restricted Stock Units hereby granted by filing a Regular Deferral Election to defer the receipt of such Shares on the form provided by the Committee for this purpose.</w:t>
      </w:r>
    </w:p>
    <w:p>
      <w:pPr>
        <w:spacing w:after="0" w:line="186" w:lineRule="exact"/>
        <w:rPr>
          <w:sz w:val="20"/>
          <w:szCs w:val="20"/>
          <w:color w:val="auto"/>
        </w:rPr>
      </w:pPr>
    </w:p>
    <w:p>
      <w:pPr>
        <w:jc w:val="both"/>
        <w:ind w:right="40" w:firstLine="2600"/>
        <w:spacing w:after="0" w:line="295" w:lineRule="auto"/>
        <w:tabs>
          <w:tab w:leader="none" w:pos="3330" w:val="left"/>
        </w:tabs>
        <w:numPr>
          <w:ilvl w:val="1"/>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Deadline for Regular Deferral Election</w:t>
      </w:r>
      <w:r>
        <w:rPr>
          <w:rFonts w:ascii="Times New Roman" w:cs="Times New Roman" w:eastAsia="Times New Roman" w:hAnsi="Times New Roman"/>
          <w:sz w:val="21"/>
          <w:szCs w:val="21"/>
          <w:color w:val="auto"/>
        </w:rPr>
        <w:t>. A Regular Deferral Election to defer the receipt of Shares issuable with respect to Restricted Stock Units hereby granted shall not be effective unless it is filed with the Committee:</w:t>
      </w:r>
    </w:p>
    <w:p>
      <w:pPr>
        <w:spacing w:after="0" w:line="135" w:lineRule="exact"/>
        <w:rPr>
          <w:rFonts w:ascii="Times New Roman" w:cs="Times New Roman" w:eastAsia="Times New Roman" w:hAnsi="Times New Roman"/>
          <w:sz w:val="21"/>
          <w:szCs w:val="21"/>
          <w:color w:val="auto"/>
        </w:rPr>
      </w:pPr>
    </w:p>
    <w:p>
      <w:pPr>
        <w:ind w:left="3920" w:hanging="672"/>
        <w:spacing w:after="0"/>
        <w:tabs>
          <w:tab w:leader="none" w:pos="3920" w:val="left"/>
        </w:tabs>
        <w:numPr>
          <w:ilvl w:val="3"/>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Restricted Stock Units with a Service Vesting Date on the 13-month anniversary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Date of Grant, the close of business on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Grant.</w:t>
      </w:r>
    </w:p>
    <w:p>
      <w:pPr>
        <w:spacing w:after="0" w:line="126" w:lineRule="exact"/>
        <w:rPr>
          <w:rFonts w:ascii="Times New Roman" w:cs="Times New Roman" w:eastAsia="Times New Roman" w:hAnsi="Times New Roman"/>
          <w:sz w:val="21"/>
          <w:szCs w:val="21"/>
          <w:color w:val="auto"/>
        </w:rPr>
      </w:pPr>
    </w:p>
    <w:p>
      <w:pPr>
        <w:ind w:left="3980" w:hanging="732"/>
        <w:spacing w:after="0"/>
        <w:tabs>
          <w:tab w:leader="none" w:pos="3980" w:val="left"/>
        </w:tabs>
        <w:numPr>
          <w:ilvl w:val="3"/>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Restricted Stock Units with a Service Vesting Date on the second anniversary</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Date of Grant, the close of business on the first anniversary of the Date of Grant;</w:t>
      </w:r>
    </w:p>
    <w:p>
      <w:pPr>
        <w:spacing w:after="0" w:line="207" w:lineRule="exact"/>
        <w:rPr>
          <w:rFonts w:ascii="Times New Roman" w:cs="Times New Roman" w:eastAsia="Times New Roman" w:hAnsi="Times New Roman"/>
          <w:sz w:val="22"/>
          <w:szCs w:val="22"/>
          <w:color w:val="auto"/>
        </w:rPr>
      </w:pPr>
    </w:p>
    <w:p>
      <w:pPr>
        <w:ind w:left="3980" w:hanging="732"/>
        <w:spacing w:after="0"/>
        <w:tabs>
          <w:tab w:leader="none" w:pos="3980" w:val="left"/>
        </w:tabs>
        <w:numPr>
          <w:ilvl w:val="3"/>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Restricted Stock Units with a Service Vesting Date on the third anniversary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Date of Grant, the close of business on the second anniversary of the Date of Grant;</w:t>
      </w:r>
    </w:p>
    <w:p>
      <w:pPr>
        <w:spacing w:after="0" w:line="195" w:lineRule="exact"/>
        <w:rPr>
          <w:rFonts w:ascii="Times New Roman" w:cs="Times New Roman" w:eastAsia="Times New Roman" w:hAnsi="Times New Roman"/>
          <w:sz w:val="21"/>
          <w:szCs w:val="21"/>
          <w:color w:val="auto"/>
        </w:rPr>
      </w:pPr>
    </w:p>
    <w:p>
      <w:pPr>
        <w:ind w:left="3980" w:hanging="732"/>
        <w:spacing w:after="0"/>
        <w:tabs>
          <w:tab w:leader="none" w:pos="3980" w:val="left"/>
        </w:tabs>
        <w:numPr>
          <w:ilvl w:val="3"/>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Restricted Stock Units with a Service Vesting Date on the fourth anniversary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Date of Grant, the close of business on the third anniversary of the Date of Grant;</w:t>
      </w:r>
    </w:p>
    <w:p>
      <w:pPr>
        <w:spacing w:after="0" w:line="195" w:lineRule="exact"/>
        <w:rPr>
          <w:rFonts w:ascii="Times New Roman" w:cs="Times New Roman" w:eastAsia="Times New Roman" w:hAnsi="Times New Roman"/>
          <w:sz w:val="21"/>
          <w:szCs w:val="21"/>
          <w:color w:val="auto"/>
        </w:rPr>
      </w:pPr>
    </w:p>
    <w:p>
      <w:pPr>
        <w:ind w:right="60" w:firstLine="2816"/>
        <w:spacing w:after="0" w:line="284" w:lineRule="auto"/>
        <w:tabs>
          <w:tab w:leader="none" w:pos="3318" w:val="left"/>
        </w:tabs>
        <w:numPr>
          <w:ilvl w:val="2"/>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Restricted Stock Units with a Service Vesting Date on the fifth anniversary of the Date of Grant, the close of business on the fourth anniversary of the Date of Grant.</w:t>
      </w:r>
    </w:p>
    <w:p>
      <w:pPr>
        <w:spacing w:after="0" w:line="143" w:lineRule="exact"/>
        <w:rPr>
          <w:rFonts w:ascii="Times New Roman" w:cs="Times New Roman" w:eastAsia="Times New Roman" w:hAnsi="Times New Roman"/>
          <w:sz w:val="22"/>
          <w:szCs w:val="22"/>
          <w:color w:val="auto"/>
        </w:rPr>
      </w:pPr>
    </w:p>
    <w:p>
      <w:pPr>
        <w:ind w:right="280" w:firstLine="2600"/>
        <w:spacing w:after="0" w:line="257" w:lineRule="auto"/>
        <w:tabs>
          <w:tab w:leader="none" w:pos="3060" w:val="left"/>
        </w:tabs>
        <w:numPr>
          <w:ilvl w:val="1"/>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If Grantee makes a Regular Deferral Election to defer the distribution date for Shares issuable with respect to some or all of the Restricted Stock Units hereby granted, Grantee may elect to defer the distribution date for a minimum of five years and a maximum of seven additional years from the Service Vesting Date.</w:t>
      </w:r>
    </w:p>
    <w:p>
      <w:pPr>
        <w:spacing w:after="0" w:line="172" w:lineRule="exact"/>
        <w:rPr>
          <w:rFonts w:ascii="Times New Roman" w:cs="Times New Roman" w:eastAsia="Times New Roman" w:hAnsi="Times New Roman"/>
          <w:sz w:val="22"/>
          <w:szCs w:val="22"/>
          <w:color w:val="auto"/>
        </w:rPr>
      </w:pPr>
    </w:p>
    <w:p>
      <w:pPr>
        <w:ind w:right="240" w:firstLine="2600"/>
        <w:spacing w:after="0" w:line="309" w:lineRule="auto"/>
        <w:tabs>
          <w:tab w:leader="none" w:pos="3330" w:val="left"/>
        </w:tabs>
        <w:numPr>
          <w:ilvl w:val="1"/>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Failure of Vesting Date to Occur</w:t>
      </w:r>
      <w:r>
        <w:rPr>
          <w:rFonts w:ascii="Times New Roman" w:cs="Times New Roman" w:eastAsia="Times New Roman" w:hAnsi="Times New Roman"/>
          <w:sz w:val="21"/>
          <w:szCs w:val="21"/>
          <w:color w:val="auto"/>
        </w:rPr>
        <w:t>. A Regular Deferral Election shall be null and void if a Vesting Date does not occur with respect to Restricted Stock Units identified in such Regular Deferral Election.</w:t>
      </w:r>
    </w:p>
    <w:p>
      <w:pPr>
        <w:spacing w:after="0" w:line="120" w:lineRule="exact"/>
        <w:rPr>
          <w:rFonts w:ascii="Times New Roman" w:cs="Times New Roman" w:eastAsia="Times New Roman" w:hAnsi="Times New Roman"/>
          <w:sz w:val="21"/>
          <w:szCs w:val="21"/>
          <w:color w:val="auto"/>
        </w:rPr>
      </w:pPr>
    </w:p>
    <w:p>
      <w:pPr>
        <w:ind w:right="260" w:firstLine="1952"/>
        <w:spacing w:after="0" w:line="271" w:lineRule="auto"/>
        <w:tabs>
          <w:tab w:leader="none" w:pos="2412"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No Subsequent Deferral Election shall be effective until 12 months after the date on which a Subsequent Deferral Election is filed with the Committee.</w:t>
      </w:r>
    </w:p>
    <w:p>
      <w:pPr>
        <w:spacing w:after="0" w:line="157" w:lineRule="exact"/>
        <w:rPr>
          <w:rFonts w:ascii="Times New Roman" w:cs="Times New Roman" w:eastAsia="Times New Roman" w:hAnsi="Times New Roman"/>
          <w:sz w:val="22"/>
          <w:szCs w:val="22"/>
          <w:color w:val="auto"/>
        </w:rPr>
      </w:pPr>
    </w:p>
    <w:p>
      <w:pPr>
        <w:ind w:right="80" w:firstLine="2600"/>
        <w:spacing w:after="0" w:line="281" w:lineRule="auto"/>
        <w:tabs>
          <w:tab w:leader="none" w:pos="3330" w:val="left"/>
        </w:tabs>
        <w:numPr>
          <w:ilvl w:val="1"/>
          <w:numId w:val="4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Grantee makes a Regular Deferral Election, or pursuant to this Paragraph 6(b)(1) makes a Subsequent Deferral Election to defer the distribution date for Shares issuable with respect to some or all of the Restricted Stock Units hereby granted for which a Regular Deferral Election had previously been made, Grantee may elect to defer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22" w:right="359" w:bottom="1440" w:gutter="0" w:footer="0" w:header="0"/>
        </w:sectPr>
      </w:pPr>
    </w:p>
    <w:bookmarkStart w:id="334" w:name="page335"/>
    <w:bookmarkEnd w:id="334"/>
    <w:p>
      <w:pPr>
        <w:jc w:val="both"/>
        <w:ind w:right="180"/>
        <w:spacing w:after="0" w:line="257" w:lineRule="auto"/>
        <w:rPr>
          <w:sz w:val="20"/>
          <w:szCs w:val="20"/>
          <w:color w:val="auto"/>
        </w:rPr>
      </w:pPr>
      <w:r>
        <w:rPr>
          <w:rFonts w:ascii="Times New Roman" w:cs="Times New Roman" w:eastAsia="Times New Roman" w:hAnsi="Times New Roman"/>
          <w:sz w:val="22"/>
          <w:szCs w:val="22"/>
          <w:color w:val="auto"/>
        </w:rPr>
        <w:t>distribution date for a minimum of five years and a maximum of seven additional years from the previously-elected distribution date by filing a Subsequent Deferral Election with the Committee on or before the close of business at least one year before the date on which the distribution would otherwise be made.</w:t>
      </w:r>
    </w:p>
    <w:p>
      <w:pPr>
        <w:spacing w:after="0" w:line="186" w:lineRule="exact"/>
        <w:rPr>
          <w:sz w:val="20"/>
          <w:szCs w:val="20"/>
          <w:color w:val="auto"/>
        </w:rPr>
      </w:pPr>
    </w:p>
    <w:p>
      <w:pPr>
        <w:ind w:right="120" w:firstLine="2600"/>
        <w:spacing w:after="0" w:line="265" w:lineRule="auto"/>
        <w:tabs>
          <w:tab w:leader="none" w:pos="3330" w:val="left"/>
        </w:tabs>
        <w:numPr>
          <w:ilvl w:val="1"/>
          <w:numId w:val="4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Grantee dies before Shares subject to a Regular Deferral Election under Paragraph 6(a) are to be delivered, the estate or beneficiary to whom the right to delivery of such Shares shall have passed may make a Subsequent Deferral Election to defer receipt of all or any portion of such Shares for five additional years from the date delivery of Shares would otherwise be made, provided that such Subsequent Deferral Election must be filed with the Committee at least one year before the date on which the distribution would otherwise be made, as reflected on Grantee’s last Election.</w:t>
      </w:r>
    </w:p>
    <w:p>
      <w:pPr>
        <w:spacing w:after="0" w:line="178" w:lineRule="exact"/>
        <w:rPr>
          <w:rFonts w:ascii="Times New Roman" w:cs="Times New Roman" w:eastAsia="Times New Roman" w:hAnsi="Times New Roman"/>
          <w:sz w:val="21"/>
          <w:szCs w:val="21"/>
          <w:color w:val="auto"/>
        </w:rPr>
      </w:pPr>
    </w:p>
    <w:p>
      <w:pPr>
        <w:ind w:firstLine="2600"/>
        <w:spacing w:after="0" w:line="250" w:lineRule="auto"/>
        <w:tabs>
          <w:tab w:leader="none" w:pos="3330"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Grantee has a Termination of Employment before Shares subject to a Regular Deferral Election or a Subsequent Deferral Election are required to be delivered under this Award, Grantee may make a Subsequent Deferral Election to defer all or any portion of such Shares for a minimum of five years and a maximum of seven additional years from the previously-elected distribution date. Such a Subsequent Deferral Election must be filed with the Committee at least one year before the date on which the distribution would otherwise be made.</w:t>
      </w:r>
    </w:p>
    <w:p>
      <w:pPr>
        <w:spacing w:after="0" w:line="180" w:lineRule="exact"/>
        <w:rPr>
          <w:rFonts w:ascii="Times New Roman" w:cs="Times New Roman" w:eastAsia="Times New Roman" w:hAnsi="Times New Roman"/>
          <w:sz w:val="22"/>
          <w:szCs w:val="22"/>
          <w:color w:val="auto"/>
        </w:rPr>
      </w:pPr>
    </w:p>
    <w:p>
      <w:pPr>
        <w:ind w:right="260" w:firstLine="1952"/>
        <w:spacing w:after="0" w:line="263" w:lineRule="auto"/>
        <w:tabs>
          <w:tab w:leader="none" w:pos="2400"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Diversification Election</w:t>
      </w:r>
      <w:r>
        <w:rPr>
          <w:rFonts w:ascii="Times New Roman" w:cs="Times New Roman" w:eastAsia="Times New Roman" w:hAnsi="Times New Roman"/>
          <w:sz w:val="22"/>
          <w:szCs w:val="22"/>
          <w:color w:val="auto"/>
        </w:rPr>
        <w:t>. As provided in the DC Plan and as described in the prospectus for the DC Plan, a Grantee with an Account may be eligible to make a Diversification Election on an election form supplied by the Committee for this purpose.</w:t>
      </w:r>
    </w:p>
    <w:p>
      <w:pPr>
        <w:spacing w:after="0" w:line="167" w:lineRule="exact"/>
        <w:rPr>
          <w:rFonts w:ascii="Times New Roman" w:cs="Times New Roman" w:eastAsia="Times New Roman" w:hAnsi="Times New Roman"/>
          <w:sz w:val="22"/>
          <w:szCs w:val="22"/>
          <w:color w:val="auto"/>
        </w:rPr>
      </w:pPr>
    </w:p>
    <w:p>
      <w:pPr>
        <w:jc w:val="both"/>
        <w:ind w:right="120" w:firstLine="1952"/>
        <w:spacing w:after="0" w:line="251" w:lineRule="auto"/>
        <w:tabs>
          <w:tab w:leader="none" w:pos="2412"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 Accounts</w:t>
      </w:r>
      <w:r>
        <w:rPr>
          <w:rFonts w:ascii="Times New Roman" w:cs="Times New Roman" w:eastAsia="Times New Roman" w:hAnsi="Times New Roman"/>
          <w:sz w:val="22"/>
          <w:szCs w:val="22"/>
          <w:color w:val="auto"/>
        </w:rPr>
        <w:t>. An Account shall be established for each Grantee who makes a Regular Deferral Election. Deferred Stock Units shall be credited to the Account as of the date a Regular Deferral Election becomes effective. Each Deferred Stock Unit will represent a hypothetical Share credited to the Account in lieu of delivery of the Shares to which a Regular Deferral Election or Subsequent Deferral Election applies. If an eligible Grantee makes a Diversification Election, then to the extent an Account is deemed invested in the Income Fund or Other Investment Fund, the Committee shall credit earnings with respect to such Account in accordance with the terms of the DC Plan.</w:t>
      </w:r>
    </w:p>
    <w:p>
      <w:pPr>
        <w:spacing w:after="0" w:line="181" w:lineRule="exact"/>
        <w:rPr>
          <w:rFonts w:ascii="Times New Roman" w:cs="Times New Roman" w:eastAsia="Times New Roman" w:hAnsi="Times New Roman"/>
          <w:sz w:val="22"/>
          <w:szCs w:val="22"/>
          <w:color w:val="auto"/>
        </w:rPr>
      </w:pPr>
    </w:p>
    <w:p>
      <w:pPr>
        <w:ind w:right="40" w:firstLine="1952"/>
        <w:spacing w:after="0" w:line="250" w:lineRule="auto"/>
        <w:tabs>
          <w:tab w:leader="none" w:pos="2400"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Deferred Amounts</w:t>
      </w:r>
      <w:r>
        <w:rPr>
          <w:rFonts w:ascii="Times New Roman" w:cs="Times New Roman" w:eastAsia="Times New Roman" w:hAnsi="Times New Roman"/>
          <w:sz w:val="22"/>
          <w:szCs w:val="22"/>
          <w:color w:val="auto"/>
        </w:rPr>
        <w:t>. Grantee’s right to delivery of Shares subject to a Regular Deferral Election or Subsequent Deferral Election, or to amounts deemed invested in the Income Fund or Other Investment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DC Plan or an Award shall be deemed to create an escrow, trust, custodial account or fiduciary relationship of any kind. Nothing contained in the DC Plan or an Award shall be construed to eliminate any priority or preferred position of Grantee in a bankruptcy matter with respect to claims for wages.</w:t>
      </w:r>
    </w:p>
    <w:p>
      <w:pPr>
        <w:spacing w:after="0" w:line="180" w:lineRule="exact"/>
        <w:rPr>
          <w:rFonts w:ascii="Times New Roman" w:cs="Times New Roman" w:eastAsia="Times New Roman" w:hAnsi="Times New Roman"/>
          <w:sz w:val="22"/>
          <w:szCs w:val="22"/>
          <w:color w:val="auto"/>
        </w:rPr>
      </w:pPr>
    </w:p>
    <w:p>
      <w:pPr>
        <w:ind w:right="620" w:firstLine="1952"/>
        <w:spacing w:after="0" w:line="284" w:lineRule="auto"/>
        <w:tabs>
          <w:tab w:leader="none" w:pos="2376"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 Etc.</w:t>
      </w:r>
      <w:r>
        <w:rPr>
          <w:rFonts w:ascii="Times New Roman" w:cs="Times New Roman" w:eastAsia="Times New Roman" w:hAnsi="Times New Roman"/>
          <w:sz w:val="22"/>
          <w:szCs w:val="22"/>
          <w:color w:val="auto"/>
        </w:rPr>
        <w:t xml:space="preserve"> The right of Grantee to receive Shares subject to an Election under this Paragraph 6, or to amounts deemed invested in the Income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335" w:name="page336"/>
    <w:bookmarkEnd w:id="335"/>
    <w:p>
      <w:pPr>
        <w:ind w:right="40"/>
        <w:spacing w:after="0" w:line="257" w:lineRule="auto"/>
        <w:rPr>
          <w:sz w:val="20"/>
          <w:szCs w:val="20"/>
          <w:color w:val="auto"/>
        </w:rPr>
      </w:pPr>
      <w:r>
        <w:rPr>
          <w:rFonts w:ascii="Times New Roman" w:cs="Times New Roman" w:eastAsia="Times New Roman" w:hAnsi="Times New Roman"/>
          <w:sz w:val="22"/>
          <w:szCs w:val="22"/>
          <w:color w:val="auto"/>
        </w:rPr>
        <w:t>or Other Investment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86" w:lineRule="exact"/>
        <w:rPr>
          <w:sz w:val="20"/>
          <w:szCs w:val="20"/>
          <w:color w:val="auto"/>
        </w:rPr>
      </w:pPr>
    </w:p>
    <w:p>
      <w:pPr>
        <w:ind w:right="140" w:firstLine="1304"/>
        <w:spacing w:after="0" w:line="250" w:lineRule="auto"/>
        <w:tabs>
          <w:tab w:leader="none" w:pos="1674"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Award</w:t>
      </w:r>
      <w:r>
        <w:rPr>
          <w:rFonts w:ascii="Times New Roman" w:cs="Times New Roman" w:eastAsia="Times New Roman" w:hAnsi="Times New Roman"/>
          <w:sz w:val="22"/>
          <w:szCs w:val="22"/>
          <w:color w:val="auto"/>
        </w:rPr>
        <w:t>. The Award and any Restricted Stock Units hereunder may not be transferred or assigned by Grantee other than by will or the laws of descent and distribution or be exercised during his life other than by Grantee or for his benefit by his attorney-in-fact or guardian. Any attempt at assignment, transfer, pledge or disposition of any Restricted Stock Units contrary to the provisions hereof or the levy of any execution, attachment or similar process upon the Restricted Stock Units shall be null and void and without effect.</w:t>
      </w:r>
    </w:p>
    <w:p>
      <w:pPr>
        <w:spacing w:after="0" w:line="194" w:lineRule="exact"/>
        <w:rPr>
          <w:rFonts w:ascii="Times New Roman" w:cs="Times New Roman" w:eastAsia="Times New Roman" w:hAnsi="Times New Roman"/>
          <w:sz w:val="22"/>
          <w:szCs w:val="22"/>
          <w:color w:val="auto"/>
        </w:rPr>
      </w:pPr>
    </w:p>
    <w:p>
      <w:pPr>
        <w:ind w:right="20" w:firstLine="1304"/>
        <w:spacing w:after="0" w:line="252" w:lineRule="auto"/>
        <w:tabs>
          <w:tab w:leader="none" w:pos="1674"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the Company under this Agreement shall be made in care of the Committee at the Company’s main office in Philadelphia, Pennsylvania. The address for Grantee to which notice, demands and other communications to be given or delivered under or by reason of the provisions hereof shall be Grantee’s address as reflected in the Employer’s personnel records.</w:t>
      </w:r>
    </w:p>
    <w:p>
      <w:pPr>
        <w:spacing w:after="0" w:line="179" w:lineRule="exact"/>
        <w:rPr>
          <w:rFonts w:ascii="Times New Roman" w:cs="Times New Roman" w:eastAsia="Times New Roman" w:hAnsi="Times New Roman"/>
          <w:sz w:val="22"/>
          <w:szCs w:val="22"/>
          <w:color w:val="auto"/>
        </w:rPr>
      </w:pPr>
    </w:p>
    <w:p>
      <w:pPr>
        <w:ind w:right="20" w:firstLine="1304"/>
        <w:spacing w:after="0" w:line="263" w:lineRule="auto"/>
        <w:tabs>
          <w:tab w:leader="none" w:pos="1674"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The Committee may from time to time impose any conditions on the Shares issuable with respect to Restricted Stock Units as it deems necessary or advisable to ensure that the Plan and this Award satisfies the conditions of Rule 16b-3, and that Shares are issued and resold in compliance with the Securities Act of 1933, as amended.</w:t>
      </w:r>
    </w:p>
    <w:p>
      <w:pPr>
        <w:spacing w:after="0" w:line="167" w:lineRule="exact"/>
        <w:rPr>
          <w:rFonts w:ascii="Times New Roman" w:cs="Times New Roman" w:eastAsia="Times New Roman" w:hAnsi="Times New Roman"/>
          <w:sz w:val="22"/>
          <w:szCs w:val="22"/>
          <w:color w:val="auto"/>
        </w:rPr>
      </w:pPr>
    </w:p>
    <w:p>
      <w:pPr>
        <w:ind w:right="20" w:firstLine="1304"/>
        <w:spacing w:after="0" w:line="249" w:lineRule="auto"/>
        <w:tabs>
          <w:tab w:leader="none" w:pos="1782"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w:t>
      </w:r>
      <w:r>
        <w:rPr>
          <w:rFonts w:ascii="Times New Roman" w:cs="Times New Roman" w:eastAsia="Times New Roman" w:hAnsi="Times New Roman"/>
          <w:sz w:val="22"/>
          <w:szCs w:val="22"/>
          <w:color w:val="auto"/>
        </w:rPr>
        <w:t xml:space="preserve">. Except as otherwise provided in Paragraph 6, within ten (10) business days of a Vesting Date, the Company shall, without payment from Grantee, satisfy its obligations to (1) pay the Dividend Equivalent Amount (if any) and (2) deliver Shares underlying the applicable Restricted Stock Units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w:t>
      </w:r>
    </w:p>
    <w:p>
      <w:pPr>
        <w:spacing w:after="0" w:line="183" w:lineRule="exact"/>
        <w:rPr>
          <w:rFonts w:ascii="Times New Roman" w:cs="Times New Roman" w:eastAsia="Times New Roman" w:hAnsi="Times New Roman"/>
          <w:sz w:val="22"/>
          <w:szCs w:val="22"/>
          <w:color w:val="auto"/>
        </w:rPr>
      </w:pPr>
    </w:p>
    <w:p>
      <w:pPr>
        <w:ind w:right="140" w:firstLine="1304"/>
        <w:spacing w:after="0" w:line="257" w:lineRule="auto"/>
        <w:tabs>
          <w:tab w:leader="none" w:pos="1774"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Prior to Settlement</w:t>
      </w:r>
      <w:r>
        <w:rPr>
          <w:rFonts w:ascii="Times New Roman" w:cs="Times New Roman" w:eastAsia="Times New Roman" w:hAnsi="Times New Roman"/>
          <w:sz w:val="22"/>
          <w:szCs w:val="22"/>
          <w:color w:val="auto"/>
        </w:rPr>
        <w:t>. Grantee shall not have any right as a shareholder with respect to any Shares subject to his or her Restricted Stock Unit until the Restricted Stock Unit shall have been settled in accordance with the terms of the Plan and this Agreement, and the Company shall have delivered the Shares.</w:t>
      </w:r>
    </w:p>
    <w:p>
      <w:pPr>
        <w:spacing w:after="0" w:line="172" w:lineRule="exact"/>
        <w:rPr>
          <w:rFonts w:ascii="Times New Roman" w:cs="Times New Roman" w:eastAsia="Times New Roman" w:hAnsi="Times New Roman"/>
          <w:sz w:val="22"/>
          <w:szCs w:val="22"/>
          <w:color w:val="auto"/>
        </w:rPr>
      </w:pPr>
    </w:p>
    <w:p>
      <w:pPr>
        <w:ind w:firstLine="1304"/>
        <w:spacing w:after="0" w:line="256" w:lineRule="auto"/>
        <w:tabs>
          <w:tab w:leader="none" w:pos="1782"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Grantee understands and agrees that this Award and all payments with respect thereto are intended to comply with and/or be exempt from Section 409A of the Code (together with its implement regulations and guidance,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Agreement shall be interpreted in a manner that is consistent with such intent and the Award shall be operated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336" w:name="page337"/>
    <w:bookmarkEnd w:id="336"/>
    <w:p>
      <w:pPr>
        <w:spacing w:after="0" w:line="259" w:lineRule="auto"/>
        <w:rPr>
          <w:sz w:val="20"/>
          <w:szCs w:val="20"/>
          <w:color w:val="auto"/>
        </w:rPr>
      </w:pPr>
      <w:r>
        <w:rPr>
          <w:rFonts w:ascii="Times New Roman" w:cs="Times New Roman" w:eastAsia="Times New Roman" w:hAnsi="Times New Roman"/>
          <w:sz w:val="21"/>
          <w:szCs w:val="21"/>
          <w:color w:val="auto"/>
        </w:rPr>
        <w:t>accordingly. If any provision of the Plan or any term or condition of this Award would otherwise frustrate or conflict with this intent, the provision, term or condition shall be interpreted an deemed amended so as to avoid this conflict. Notwithstanding anything in the Plan of this Agreement to the contrary, if the Board considers Grantee to be a “specified employee” under Section 409A at the time of Grantee’s “separation from service” (as defined in Section 409A), and any amount hereunder is “deferred compensation” subject to Section 409A, any distribution of such amount that otherwise would be made to Grantee with respect to the Award as a result of such “separation from service” shall not be made until the date that is six months after such “separation from service,” except to the extent that earlier distribution would not result in Grantee incurring interest or additional tax under Section 409A. If the Award includes a “series of installment payments” (within the meaning of Treasury Regulations § 1.409A-2(b)(2)(iii)), Grantee’s right to such series of installment payments shall be treated as a right to a series of separate payments and not as a right to a single payment, and if the Award includes “dividend equivalents” (within the meaning of Treasury Regulations</w:t>
      </w:r>
    </w:p>
    <w:p>
      <w:pPr>
        <w:spacing w:after="0" w:line="10" w:lineRule="exact"/>
        <w:rPr>
          <w:sz w:val="20"/>
          <w:szCs w:val="20"/>
          <w:color w:val="auto"/>
        </w:rPr>
      </w:pPr>
    </w:p>
    <w:p>
      <w:pPr>
        <w:ind w:right="80" w:firstLine="8"/>
        <w:spacing w:after="0" w:line="245" w:lineRule="auto"/>
        <w:tabs>
          <w:tab w:leader="none" w:pos="162"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1.409A-3(e)), Grantee’s right to such dividend equivalents shall be treated separately from the right to other amounts under the Award. Notwithstanding the foregoing, the tax treatment of the benefits provided under the Plan or this Agreement is not warranted or guaranteed, and in no event shall the Company be liable for all or any portion of any taxes, penalties, interest or other expenses that may be incurred by Grantee on account of non-compliance with Section 409A.</w:t>
      </w:r>
    </w:p>
    <w:p>
      <w:pPr>
        <w:spacing w:after="0" w:line="198" w:lineRule="exact"/>
        <w:rPr>
          <w:rFonts w:ascii="Times New Roman" w:cs="Times New Roman" w:eastAsia="Times New Roman" w:hAnsi="Times New Roman"/>
          <w:sz w:val="22"/>
          <w:szCs w:val="22"/>
          <w:color w:val="auto"/>
        </w:rPr>
      </w:pPr>
    </w:p>
    <w:p>
      <w:pPr>
        <w:ind w:right="140" w:firstLine="1304"/>
        <w:spacing w:after="0" w:line="271" w:lineRule="auto"/>
        <w:tabs>
          <w:tab w:leader="none" w:pos="1782"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Not to Affect Employment</w:t>
      </w:r>
      <w:r>
        <w:rPr>
          <w:rFonts w:ascii="Times New Roman" w:cs="Times New Roman" w:eastAsia="Times New Roman" w:hAnsi="Times New Roman"/>
          <w:sz w:val="22"/>
          <w:szCs w:val="22"/>
          <w:color w:val="auto"/>
        </w:rPr>
        <w:t>. The Award granted hereunder shall not confer upon Grantee any right to continue in the employment of the Company or any Subsidiary Company or Affiliate of the Company.</w:t>
      </w:r>
    </w:p>
    <w:p>
      <w:pPr>
        <w:spacing w:after="0" w:line="157" w:lineRule="exact"/>
        <w:rPr>
          <w:rFonts w:ascii="Times New Roman" w:cs="Times New Roman" w:eastAsia="Times New Roman" w:hAnsi="Times New Roman"/>
          <w:sz w:val="22"/>
          <w:szCs w:val="22"/>
          <w:color w:val="auto"/>
        </w:rPr>
      </w:pPr>
    </w:p>
    <w:p>
      <w:pPr>
        <w:ind w:right="260" w:firstLine="1304"/>
        <w:spacing w:after="0" w:line="271" w:lineRule="auto"/>
        <w:tabs>
          <w:tab w:leader="none" w:pos="1782"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performance, construction and effect of this Award shall be governed by the laws of the Commonwealth of Pennsylvania, without giving effect to principles of conflicts of law.</w:t>
      </w:r>
    </w:p>
    <w:p>
      <w:pPr>
        <w:spacing w:after="0" w:line="157" w:lineRule="exact"/>
        <w:rPr>
          <w:rFonts w:ascii="Times New Roman" w:cs="Times New Roman" w:eastAsia="Times New Roman" w:hAnsi="Times New Roman"/>
          <w:sz w:val="22"/>
          <w:szCs w:val="22"/>
          <w:color w:val="auto"/>
        </w:rPr>
      </w:pPr>
    </w:p>
    <w:p>
      <w:pPr>
        <w:ind w:right="20" w:firstLine="1304"/>
        <w:spacing w:after="0" w:line="284" w:lineRule="auto"/>
        <w:tabs>
          <w:tab w:leader="none" w:pos="1782"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Protection</w:t>
      </w:r>
      <w:r>
        <w:rPr>
          <w:rFonts w:ascii="Times New Roman" w:cs="Times New Roman" w:eastAsia="Times New Roman" w:hAnsi="Times New Roman"/>
          <w:sz w:val="22"/>
          <w:szCs w:val="22"/>
          <w:color w:val="auto"/>
        </w:rPr>
        <w:t>. Grantee acknowledges that their personal data will be processed in accordance with the data privacy policy, notice and/or agreement that is applicable to them in connection with their employment.</w:t>
      </w:r>
    </w:p>
    <w:p>
      <w:pPr>
        <w:spacing w:after="0" w:line="143" w:lineRule="exact"/>
        <w:rPr>
          <w:rFonts w:ascii="Times New Roman" w:cs="Times New Roman" w:eastAsia="Times New Roman" w:hAnsi="Times New Roman"/>
          <w:sz w:val="22"/>
          <w:szCs w:val="22"/>
          <w:color w:val="auto"/>
        </w:rPr>
      </w:pPr>
    </w:p>
    <w:p>
      <w:pPr>
        <w:ind w:right="540" w:firstLine="1304"/>
        <w:spacing w:after="0" w:line="295" w:lineRule="auto"/>
        <w:tabs>
          <w:tab w:leader="none" w:pos="1782" w:val="left"/>
        </w:tabs>
        <w:numPr>
          <w:ilvl w:val="1"/>
          <w:numId w:val="4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Terms</w:t>
      </w:r>
      <w:r>
        <w:rPr>
          <w:rFonts w:ascii="Times New Roman" w:cs="Times New Roman" w:eastAsia="Times New Roman" w:hAnsi="Times New Roman"/>
          <w:sz w:val="21"/>
          <w:szCs w:val="21"/>
          <w:color w:val="auto"/>
        </w:rPr>
        <w:t>. This Award is subject to all applicable provisions set out in APPENDIX A to this Agreement, titled ‘Global Appendix’, including any provisions that are specific to Grantee’s jurisdiction, if any.][Reserved]</w:t>
      </w:r>
    </w:p>
    <w:p>
      <w:pPr>
        <w:spacing w:after="0" w:line="135" w:lineRule="exact"/>
        <w:rPr>
          <w:rFonts w:ascii="Times New Roman" w:cs="Times New Roman" w:eastAsia="Times New Roman" w:hAnsi="Times New Roman"/>
          <w:sz w:val="21"/>
          <w:szCs w:val="21"/>
          <w:color w:val="auto"/>
        </w:rPr>
      </w:pPr>
    </w:p>
    <w:p>
      <w:pPr>
        <w:ind w:right="100" w:firstLine="1304"/>
        <w:spacing w:after="0" w:line="271" w:lineRule="auto"/>
        <w:tabs>
          <w:tab w:leader="none" w:pos="1782"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Cancellation/Clawback</w:t>
      </w:r>
      <w:r>
        <w:rPr>
          <w:rFonts w:ascii="Times New Roman" w:cs="Times New Roman" w:eastAsia="Times New Roman" w:hAnsi="Times New Roman"/>
          <w:sz w:val="22"/>
          <w:szCs w:val="22"/>
          <w:color w:val="auto"/>
        </w:rPr>
        <w:t>. Grantee hereby acknowledges and agrees that Grantee and the Award are subject to the terms and conditions of Section 14 (Recoupment) of the Plan.</w:t>
      </w:r>
    </w:p>
    <w:p>
      <w:pPr>
        <w:spacing w:after="0" w:line="171" w:lineRule="exact"/>
        <w:rPr>
          <w:rFonts w:ascii="Times New Roman" w:cs="Times New Roman" w:eastAsia="Times New Roman" w:hAnsi="Times New Roman"/>
          <w:sz w:val="22"/>
          <w:szCs w:val="22"/>
          <w:color w:val="auto"/>
        </w:rPr>
      </w:pPr>
    </w:p>
    <w:p>
      <w:pPr>
        <w:ind w:right="40" w:firstLine="1304"/>
        <w:spacing w:after="0" w:line="250" w:lineRule="auto"/>
        <w:tabs>
          <w:tab w:leader="none" w:pos="1782"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Plan Control</w:t>
      </w:r>
      <w:r>
        <w:rPr>
          <w:rFonts w:ascii="Times New Roman" w:cs="Times New Roman" w:eastAsia="Times New Roman" w:hAnsi="Times New Roman"/>
          <w:sz w:val="22"/>
          <w:szCs w:val="22"/>
          <w:color w:val="auto"/>
        </w:rPr>
        <w:t>. This Agreement is subject to all the terms, conditions and provisions of the Plan, including the amendment provisions thereof, and to such rules, regulations and interpretations relating to the Plan as may be adopted by the Committee and as may be in effect from time to time. The terms of the Plan are incorporated herein by reference. If and to the extent that this Agreement conflicts with the Plan, the Plan shall control, and this Agreement shall be deemed to be modified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337" w:name="page338"/>
    <w:bookmarkEnd w:id="337"/>
    <w:p>
      <w:pPr>
        <w:ind w:left="-20" w:right="140" w:firstLine="1304"/>
        <w:spacing w:after="0" w:line="272" w:lineRule="auto"/>
        <w:tabs>
          <w:tab w:leader="none" w:pos="1762" w:val="left"/>
        </w:tabs>
        <w:numPr>
          <w:ilvl w:val="0"/>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pacing w:after="0" w:line="160" w:lineRule="exact"/>
        <w:rPr>
          <w:rFonts w:ascii="Times New Roman" w:cs="Times New Roman" w:eastAsia="Times New Roman" w:hAnsi="Times New Roman"/>
          <w:sz w:val="21"/>
          <w:szCs w:val="21"/>
          <w:color w:val="auto"/>
        </w:rPr>
      </w:pPr>
    </w:p>
    <w:p>
      <w:pPr>
        <w:ind w:left="-20" w:right="180" w:firstLine="1304"/>
        <w:spacing w:after="0" w:line="268" w:lineRule="auto"/>
        <w:tabs>
          <w:tab w:leader="none" w:pos="1762" w:val="left"/>
        </w:tabs>
        <w:numPr>
          <w:ilvl w:val="0"/>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is or becomes or is deemed to be invalid, illegal or unenforceable in any jurisdiction, or would disqualify the Plan or this Agreement under any law deemed applicable by the Committee, such provision shall be construed or deemed amended to conform to applicable laws, or if it cannot be so construed or deemed amended without, in the determination of the Committee, materially altering the intent of this Agreement, such provision shall be stricken as to such jurisdiction, and the remainder of this Agreement shall remain in full force and effect.</w:t>
      </w:r>
    </w:p>
    <w:p>
      <w:pPr>
        <w:spacing w:after="0" w:line="163" w:lineRule="exact"/>
        <w:rPr>
          <w:rFonts w:ascii="Times New Roman" w:cs="Times New Roman" w:eastAsia="Times New Roman" w:hAnsi="Times New Roman"/>
          <w:sz w:val="21"/>
          <w:szCs w:val="21"/>
          <w:color w:val="auto"/>
        </w:rPr>
      </w:pPr>
    </w:p>
    <w:p>
      <w:pPr>
        <w:ind w:left="-20" w:right="20" w:firstLine="1304"/>
        <w:spacing w:after="0" w:line="250" w:lineRule="auto"/>
        <w:tabs>
          <w:tab w:leader="none" w:pos="1762"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No Third-Party Beneficiaries</w:t>
      </w:r>
      <w:r>
        <w:rPr>
          <w:rFonts w:ascii="Times New Roman" w:cs="Times New Roman" w:eastAsia="Times New Roman" w:hAnsi="Times New Roman"/>
          <w:sz w:val="22"/>
          <w:szCs w:val="22"/>
          <w:color w:val="auto"/>
        </w:rPr>
        <w:t>. This Agreement shall inure to the benefit of and be binding upon the Company and Grantee and their respective heirs, successors, legal representatives and permitted assigns. Nothing in this Agreement, express or implied, is intended to confer on any Person other than the Company and Grantee, and their respective heirs, successors, legal representatives and permitted assigns, any rights, remedies, obligations or liabilities under or by reason of this Agreement.</w:t>
      </w:r>
    </w:p>
    <w:p>
      <w:pPr>
        <w:spacing w:after="0" w:line="194" w:lineRule="exact"/>
        <w:rPr>
          <w:rFonts w:ascii="Times New Roman" w:cs="Times New Roman" w:eastAsia="Times New Roman" w:hAnsi="Times New Roman"/>
          <w:sz w:val="22"/>
          <w:szCs w:val="22"/>
          <w:color w:val="auto"/>
        </w:rPr>
      </w:pPr>
    </w:p>
    <w:p>
      <w:pPr>
        <w:ind w:left="-20" w:firstLine="1304"/>
        <w:spacing w:after="0" w:line="251" w:lineRule="auto"/>
        <w:tabs>
          <w:tab w:leader="none" w:pos="1762"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 and Grantee Undertaking</w:t>
      </w:r>
      <w:r>
        <w:rPr>
          <w:rFonts w:ascii="Times New Roman" w:cs="Times New Roman" w:eastAsia="Times New Roman" w:hAnsi="Times New Roman"/>
          <w:sz w:val="22"/>
          <w:szCs w:val="22"/>
          <w:color w:val="auto"/>
        </w:rPr>
        <w:t>. The Company reserves the right to impose other requirements on Grantee’s participation in the Plan, on the Award and on any Shares to be issued upon settlement of the Award, to the extent the Company determines it is necessary or advisable for legal or administrative reasons. Grantee agrees to take whatever additional action and execute whatever additional documents the Company may deem necessary or advisable to accomplish the foregoing or to carry out or give effect to any of the obligations or restrictions imposed on either Grantee or the Award pursuant to this Agreement.</w:t>
      </w:r>
    </w:p>
    <w:p>
      <w:pPr>
        <w:spacing w:after="0" w:line="181" w:lineRule="exact"/>
        <w:rPr>
          <w:rFonts w:ascii="Times New Roman" w:cs="Times New Roman" w:eastAsia="Times New Roman" w:hAnsi="Times New Roman"/>
          <w:sz w:val="22"/>
          <w:szCs w:val="22"/>
          <w:color w:val="auto"/>
        </w:rPr>
      </w:pPr>
    </w:p>
    <w:p>
      <w:pPr>
        <w:ind w:left="-20" w:right="600" w:firstLine="1304"/>
        <w:spacing w:after="0" w:line="257" w:lineRule="auto"/>
        <w:tabs>
          <w:tab w:leader="none" w:pos="1762"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References herein to rights and obligations of Grantee shall apply, where appropriate, to Grantee’s legal representative or estate without regard to whether specific reference to such legal representative or estate is contained in a particular provision of this Agreement.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WITNESS WHEREOF, the Company has granted this Award on the Date of Grant.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 ]</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40" w:top="1422" w:right="359" w:bottom="1440" w:gutter="0" w:footer="0" w:header="0"/>
        </w:sectPr>
      </w:pPr>
    </w:p>
    <w:bookmarkStart w:id="338" w:name="page339"/>
    <w:bookmarkEnd w:id="338"/>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LONG-TERM INCENTIVE AWARDS SUMMARY SCHEDULE</w:t>
      </w:r>
    </w:p>
    <w:p>
      <w:pPr>
        <w:spacing w:after="0" w:line="22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1"/>
          <w:szCs w:val="21"/>
          <w:color w:val="auto"/>
        </w:rPr>
        <w:t xml:space="preserve">This Long-Term Incentive Awards Summary Schedule (this “Schedule”) provides certain information related to the Restricted Stock Units you were granted by Comcast Corporation on the Date of Grant (as described below). </w:t>
      </w:r>
      <w:r>
        <w:rPr>
          <w:rFonts w:ascii="Times New Roman" w:cs="Times New Roman" w:eastAsia="Times New Roman" w:hAnsi="Times New Roman"/>
          <w:sz w:val="21"/>
          <w:szCs w:val="21"/>
          <w:b w:val="1"/>
          <w:bCs w:val="1"/>
          <w:color w:val="auto"/>
        </w:rPr>
        <w:t>This Schedule is intended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be, and shall at all times be interpreted as, a part of your Comcast Corporation Restricted Stock Unit Award document.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Award</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Grantee:</w:t>
            </w:r>
          </w:p>
        </w:tc>
        <w:tc>
          <w:tcPr>
            <w:tcW w:w="72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r>
        <w:trPr>
          <w:trHeight w:val="264"/>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Date of Grant:</w:t>
            </w:r>
          </w:p>
        </w:tc>
        <w:tc>
          <w:tcPr>
            <w:tcW w:w="7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r>
        <w:trPr>
          <w:trHeight w:val="263"/>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Common Stock:</w:t>
            </w:r>
          </w:p>
        </w:tc>
        <w:tc>
          <w:tcPr>
            <w:tcW w:w="7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Comcast Corporation Class A Common Stock</w:t>
            </w:r>
          </w:p>
        </w:tc>
        <w:tc>
          <w:tcPr>
            <w:tcW w:w="0" w:type="dxa"/>
            <w:vAlign w:val="bottom"/>
          </w:tcPr>
          <w:p>
            <w:pPr>
              <w:spacing w:after="0"/>
              <w:rPr>
                <w:sz w:val="1"/>
                <w:szCs w:val="1"/>
                <w:color w:val="auto"/>
              </w:rPr>
            </w:pPr>
          </w:p>
        </w:tc>
      </w:tr>
      <w:tr>
        <w:trPr>
          <w:trHeight w:val="196"/>
        </w:trPr>
        <w:tc>
          <w:tcPr>
            <w:tcW w:w="34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Service Vesting Dates of Restricted</w:t>
            </w:r>
          </w:p>
        </w:tc>
        <w:tc>
          <w:tcPr>
            <w:tcW w:w="7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r>
        <w:trPr>
          <w:trHeight w:val="201"/>
        </w:trPr>
        <w:tc>
          <w:tcPr>
            <w:tcW w:w="3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Stock Units:</w:t>
            </w:r>
          </w:p>
        </w:tc>
        <w:tc>
          <w:tcPr>
            <w:tcW w:w="7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34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7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0"/>
        </w:trPr>
        <w:tc>
          <w:tcPr>
            <w:tcW w:w="3400" w:type="dxa"/>
            <w:vAlign w:val="bottom"/>
            <w:tcBorders>
              <w:left w:val="single" w:sz="8" w:color="auto"/>
              <w:right w:val="single" w:sz="8" w:color="auto"/>
            </w:tcBorders>
          </w:tcPr>
          <w:p>
            <w:pPr>
              <w:spacing w:after="0"/>
              <w:rPr>
                <w:sz w:val="24"/>
                <w:szCs w:val="24"/>
                <w:color w:val="auto"/>
              </w:rPr>
            </w:pPr>
          </w:p>
        </w:tc>
        <w:tc>
          <w:tcPr>
            <w:tcW w:w="7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Except as otherwise provided in Paragraph 4 of the Restricted Stock Unit Award</w:t>
            </w:r>
          </w:p>
        </w:tc>
        <w:tc>
          <w:tcPr>
            <w:tcW w:w="0" w:type="dxa"/>
            <w:vAlign w:val="bottom"/>
          </w:tcPr>
          <w:p>
            <w:pPr>
              <w:spacing w:after="0"/>
              <w:rPr>
                <w:sz w:val="1"/>
                <w:szCs w:val="1"/>
                <w:color w:val="auto"/>
              </w:rPr>
            </w:pPr>
          </w:p>
        </w:tc>
      </w:tr>
      <w:tr>
        <w:trPr>
          <w:trHeight w:val="261"/>
        </w:trPr>
        <w:tc>
          <w:tcPr>
            <w:tcW w:w="3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Service Condition:</w:t>
            </w:r>
          </w:p>
        </w:tc>
        <w:tc>
          <w:tcPr>
            <w:tcW w:w="7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Agreement, Grantee will satisfy the “</w:t>
            </w:r>
            <w:r>
              <w:rPr>
                <w:rFonts w:ascii="Times New Roman" w:cs="Times New Roman" w:eastAsia="Times New Roman" w:hAnsi="Times New Roman"/>
                <w:sz w:val="22"/>
                <w:szCs w:val="22"/>
                <w:b w:val="1"/>
                <w:bCs w:val="1"/>
                <w:color w:val="auto"/>
              </w:rPr>
              <w:t>Service Condition</w:t>
            </w:r>
            <w:r>
              <w:rPr>
                <w:rFonts w:ascii="Times New Roman" w:cs="Times New Roman" w:eastAsia="Times New Roman" w:hAnsi="Times New Roman"/>
                <w:sz w:val="22"/>
                <w:szCs w:val="22"/>
                <w:color w:val="auto"/>
              </w:rPr>
              <w:t>” applicable to the</w:t>
            </w:r>
          </w:p>
        </w:tc>
        <w:tc>
          <w:tcPr>
            <w:tcW w:w="0" w:type="dxa"/>
            <w:vAlign w:val="bottom"/>
          </w:tcPr>
          <w:p>
            <w:pPr>
              <w:spacing w:after="0"/>
              <w:rPr>
                <w:sz w:val="1"/>
                <w:szCs w:val="1"/>
                <w:color w:val="auto"/>
              </w:rPr>
            </w:pPr>
          </w:p>
        </w:tc>
      </w:tr>
      <w:tr>
        <w:trPr>
          <w:trHeight w:val="147"/>
        </w:trPr>
        <w:tc>
          <w:tcPr>
            <w:tcW w:w="3400" w:type="dxa"/>
            <w:vAlign w:val="bottom"/>
            <w:tcBorders>
              <w:left w:val="single" w:sz="8" w:color="auto"/>
              <w:right w:val="single" w:sz="8" w:color="auto"/>
            </w:tcBorders>
            <w:vMerge w:val="continue"/>
          </w:tcPr>
          <w:p>
            <w:pPr>
              <w:spacing w:after="0"/>
              <w:rPr>
                <w:sz w:val="12"/>
                <w:szCs w:val="12"/>
                <w:color w:val="auto"/>
              </w:rPr>
            </w:pPr>
          </w:p>
        </w:tc>
        <w:tc>
          <w:tcPr>
            <w:tcW w:w="7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Restricted Stock Units on the Service Vesting Dates as set forth above, subject to</w:t>
            </w:r>
          </w:p>
        </w:tc>
        <w:tc>
          <w:tcPr>
            <w:tcW w:w="0" w:type="dxa"/>
            <w:vAlign w:val="bottom"/>
          </w:tcPr>
          <w:p>
            <w:pPr>
              <w:spacing w:after="0"/>
              <w:rPr>
                <w:sz w:val="1"/>
                <w:szCs w:val="1"/>
                <w:color w:val="auto"/>
              </w:rPr>
            </w:pPr>
          </w:p>
        </w:tc>
      </w:tr>
      <w:tr>
        <w:trPr>
          <w:trHeight w:val="109"/>
        </w:trPr>
        <w:tc>
          <w:tcPr>
            <w:tcW w:w="3400" w:type="dxa"/>
            <w:vAlign w:val="bottom"/>
            <w:tcBorders>
              <w:left w:val="single" w:sz="8" w:color="auto"/>
              <w:right w:val="single" w:sz="8" w:color="auto"/>
            </w:tcBorders>
          </w:tcPr>
          <w:p>
            <w:pPr>
              <w:spacing w:after="0"/>
              <w:rPr>
                <w:sz w:val="9"/>
                <w:szCs w:val="9"/>
                <w:color w:val="auto"/>
              </w:rPr>
            </w:pPr>
          </w:p>
        </w:tc>
        <w:tc>
          <w:tcPr>
            <w:tcW w:w="7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3400" w:type="dxa"/>
            <w:vAlign w:val="bottom"/>
            <w:tcBorders>
              <w:left w:val="single" w:sz="8" w:color="auto"/>
              <w:right w:val="single" w:sz="8" w:color="auto"/>
            </w:tcBorders>
          </w:tcPr>
          <w:p>
            <w:pPr>
              <w:spacing w:after="0"/>
              <w:rPr>
                <w:sz w:val="24"/>
                <w:szCs w:val="24"/>
                <w:color w:val="auto"/>
              </w:rPr>
            </w:pPr>
          </w:p>
        </w:tc>
        <w:tc>
          <w:tcPr>
            <w:tcW w:w="7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Grantee’s continued employment through the applicable Service Vesting Date.</w:t>
            </w:r>
          </w:p>
        </w:tc>
        <w:tc>
          <w:tcPr>
            <w:tcW w:w="0" w:type="dxa"/>
            <w:vAlign w:val="bottom"/>
          </w:tcPr>
          <w:p>
            <w:pPr>
              <w:spacing w:after="0"/>
              <w:rPr>
                <w:sz w:val="1"/>
                <w:szCs w:val="1"/>
                <w:color w:val="auto"/>
              </w:rPr>
            </w:pPr>
          </w:p>
        </w:tc>
      </w:tr>
      <w:tr>
        <w:trPr>
          <w:trHeight w:val="55"/>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7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20"/>
          </w:cols>
          <w:pgMar w:left="320" w:top="1418" w:right="45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22"/>
          <w:szCs w:val="22"/>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SECOND AMENDMENT TO FOURTH AMENDED AND RESTATED SHAREHOLDERS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 OF ATAIROS GROUP, INC.</w:t>
      </w:r>
    </w:p>
    <w:p>
      <w:pPr>
        <w:spacing w:after="0" w:line="19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This Second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Fourth Amended and Restated Shareholders Agreement of Atairos Group Inc. dated as of April 15, 2022 with effect from December 15,2021, as amended by the First Amendment to the Fourth Amended and Restated Shareholders Agreement of Atairos Group Inc. dated as of June 2, 2023 (the “</w:t>
      </w:r>
      <w:r>
        <w:rPr>
          <w:rFonts w:ascii="Times New Roman" w:cs="Times New Roman" w:eastAsia="Times New Roman" w:hAnsi="Times New Roman"/>
          <w:sz w:val="22"/>
          <w:szCs w:val="22"/>
          <w:u w:val="single" w:color="auto"/>
          <w:color w:val="auto"/>
        </w:rPr>
        <w:t>Shareholders Agreement”</w:t>
      </w:r>
      <w:r>
        <w:rPr>
          <w:rFonts w:ascii="Times New Roman" w:cs="Times New Roman" w:eastAsia="Times New Roman" w:hAnsi="Times New Roman"/>
          <w:sz w:val="22"/>
          <w:szCs w:val="22"/>
          <w:color w:val="auto"/>
        </w:rPr>
        <w:t>), is dated February 26,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and entered into among Atairos Group, Inc., a Cayman Islands exempted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Comcast AG Holdings, LLC, a Delaware limited liability company (the “</w:t>
      </w:r>
      <w:r>
        <w:rPr>
          <w:rFonts w:ascii="Times New Roman" w:cs="Times New Roman" w:eastAsia="Times New Roman" w:hAnsi="Times New Roman"/>
          <w:sz w:val="22"/>
          <w:szCs w:val="22"/>
          <w:u w:val="single" w:color="auto"/>
          <w:color w:val="auto"/>
        </w:rPr>
        <w:t>Comcast Shareholder”</w:t>
      </w:r>
      <w:r>
        <w:rPr>
          <w:rFonts w:ascii="Times New Roman" w:cs="Times New Roman" w:eastAsia="Times New Roman" w:hAnsi="Times New Roman"/>
          <w:sz w:val="22"/>
          <w:szCs w:val="22"/>
          <w:color w:val="auto"/>
        </w:rPr>
        <w:t xml:space="preserve">). Atairos Partners, L.P., a Cayman Islands exempted limited partnership (the </w:t>
      </w:r>
      <w:r>
        <w:rPr>
          <w:rFonts w:ascii="Times New Roman" w:cs="Times New Roman" w:eastAsia="Times New Roman" w:hAnsi="Times New Roman"/>
          <w:sz w:val="22"/>
          <w:szCs w:val="22"/>
          <w:u w:val="single" w:color="auto"/>
          <w:color w:val="auto"/>
        </w:rPr>
        <w:t>“ManagementCo Shareholder”</w:t>
      </w:r>
      <w:r>
        <w:rPr>
          <w:rFonts w:ascii="Times New Roman" w:cs="Times New Roman" w:eastAsia="Times New Roman" w:hAnsi="Times New Roman"/>
          <w:sz w:val="22"/>
          <w:szCs w:val="22"/>
          <w:color w:val="auto"/>
        </w:rPr>
        <w:t>) and Atairos Management, L.P., a Delaware limited partnership (the “</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Capitalized terms used but not defined herein are used with the definitions set forth in the Shareholders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hereto agree as follows:</w:t>
      </w:r>
    </w:p>
    <w:p>
      <w:pPr>
        <w:spacing w:after="0" w:line="220" w:lineRule="exact"/>
        <w:rPr>
          <w:sz w:val="20"/>
          <w:szCs w:val="20"/>
          <w:color w:val="auto"/>
        </w:rPr>
      </w:pPr>
    </w:p>
    <w:p>
      <w:pPr>
        <w:ind w:right="80" w:firstLine="656"/>
        <w:spacing w:after="0" w:line="257" w:lineRule="auto"/>
        <w:tabs>
          <w:tab w:leader="none" w:pos="1296"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Shareholders Agreement - Definition of “Marketable Securities”</w:t>
      </w:r>
      <w:r>
        <w:rPr>
          <w:rFonts w:ascii="Times New Roman" w:cs="Times New Roman" w:eastAsia="Times New Roman" w:hAnsi="Times New Roman"/>
          <w:sz w:val="22"/>
          <w:szCs w:val="22"/>
          <w:color w:val="auto"/>
        </w:rPr>
        <w:t xml:space="preserve">. The Shareholders Agreement is hereby amended pursuant to Section 12.03(a) thereof so that the definition of “Marketable Securities” set forth in Section 1.01(a) thereof reads in its entirety as follows (with </w:t>
      </w:r>
      <w:r>
        <w:rPr>
          <w:rFonts w:ascii="Times New Roman" w:cs="Times New Roman" w:eastAsia="Times New Roman" w:hAnsi="Times New Roman"/>
          <w:sz w:val="22"/>
          <w:szCs w:val="22"/>
          <w:b w:val="1"/>
          <w:bCs w:val="1"/>
          <w:u w:val="single" w:color="auto"/>
          <w:color w:val="auto"/>
        </w:rPr>
        <w:t>underlined</w:t>
      </w:r>
      <w:r>
        <w:rPr>
          <w:rFonts w:ascii="Times New Roman" w:cs="Times New Roman" w:eastAsia="Times New Roman" w:hAnsi="Times New Roman"/>
          <w:sz w:val="22"/>
          <w:szCs w:val="22"/>
          <w:color w:val="auto"/>
        </w:rPr>
        <w:t xml:space="preserve"> text added):</w:t>
      </w:r>
    </w:p>
    <w:p>
      <w:pPr>
        <w:spacing w:after="0" w:line="18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 “Marketable Securities” </w:t>
      </w:r>
      <w:r>
        <w:rPr>
          <w:rFonts w:ascii="Times New Roman" w:cs="Times New Roman" w:eastAsia="Times New Roman" w:hAnsi="Times New Roman"/>
          <w:sz w:val="22"/>
          <w:szCs w:val="22"/>
          <w:color w:val="auto"/>
        </w:rPr>
        <w:t>mean Publicly Traded Securities that are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when held both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immediately prior to a proposed distribution and a Shareholder immediately following a proposed distribution,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legal or contractual restrictions on transferability, including any volume limitations under Rule 144 of the Securities Act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and that can be freely sold without requiring registration under the Securities Act.</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right="440" w:firstLine="656"/>
        <w:spacing w:after="0" w:line="309" w:lineRule="auto"/>
        <w:tabs>
          <w:tab w:leader="none" w:pos="1296" w:val="left"/>
        </w:tabs>
        <w:numPr>
          <w:ilvl w:val="0"/>
          <w:numId w:val="4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of Shareholders Agreement - Section 8.05(b)</w:t>
      </w:r>
      <w:r>
        <w:rPr>
          <w:rFonts w:ascii="Times New Roman" w:cs="Times New Roman" w:eastAsia="Times New Roman" w:hAnsi="Times New Roman"/>
          <w:sz w:val="21"/>
          <w:szCs w:val="21"/>
          <w:color w:val="auto"/>
        </w:rPr>
        <w:t xml:space="preserve">. The Shareholders Agreement is hereby amended pursuant to Section 12.03(a) thereof to amend Section 8.05(b) thereof in its entirety as follows (with </w:t>
      </w:r>
      <w:r>
        <w:rPr>
          <w:rFonts w:ascii="Times New Roman" w:cs="Times New Roman" w:eastAsia="Times New Roman" w:hAnsi="Times New Roman"/>
          <w:sz w:val="21"/>
          <w:szCs w:val="21"/>
          <w:b w:val="1"/>
          <w:bCs w:val="1"/>
          <w:u w:val="single" w:color="auto"/>
          <w:color w:val="auto"/>
        </w:rPr>
        <w:t>underlined</w:t>
      </w:r>
      <w:r>
        <w:rPr>
          <w:rFonts w:ascii="Times New Roman" w:cs="Times New Roman" w:eastAsia="Times New Roman" w:hAnsi="Times New Roman"/>
          <w:sz w:val="21"/>
          <w:szCs w:val="21"/>
          <w:color w:val="auto"/>
        </w:rPr>
        <w:t xml:space="preserve"> text added):</w:t>
      </w:r>
    </w:p>
    <w:p>
      <w:pPr>
        <w:spacing w:after="0" w:line="117" w:lineRule="exact"/>
        <w:rPr>
          <w:sz w:val="20"/>
          <w:szCs w:val="20"/>
          <w:color w:val="auto"/>
        </w:rPr>
      </w:pPr>
    </w:p>
    <w:p>
      <w:pPr>
        <w:ind w:right="160"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“Distributions in Kind. </w:t>
      </w:r>
      <w:r>
        <w:rPr>
          <w:rFonts w:ascii="Times New Roman" w:cs="Times New Roman" w:eastAsia="Times New Roman" w:hAnsi="Times New Roman"/>
          <w:sz w:val="22"/>
          <w:szCs w:val="22"/>
          <w:color w:val="auto"/>
        </w:rPr>
        <w:t>Prior to the commencement of the winding up of the Company, the Company shall not make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distributions in kind of securities unless such securities are Marketable Securities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provided that, prior to the commencement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of the winding up of the Company, the Company shall not distribute Marketable Securities of any class of securities in any rolling 30-dav period in an amount that exceeds 50% of the average reported daily trading volume of such class of securities during the four weeks preceding the first day of such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commencement of the winding up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subject to Section 11.01(b), the Company may distribute in kind any securities (whether or not Marketable Securities) or other property constituting all or any portion of an Investment in such amounts as the Company shall in its reasonable discretion determine. In any distribution of property in kind, the Company shall not discriminate among the Shareholders but shall in any such distribution (i) distribute to the Shareholders property of the same type and (ii)if cash and property in kind are to be distributed simultaneously in respect of any Investment, distribute cash and property in kind in the same proportion to each Shareholder. For purposes of distributions pursuant to Section 8.02 and allocations pursuant to Section 8.07, (A) Marketable Securities shall be valued</w:t>
      </w:r>
    </w:p>
    <w:p>
      <w:pPr>
        <w:sectPr>
          <w:pgSz w:w="11900" w:h="16838" w:orient="portrait"/>
          <w:cols w:equalWidth="0" w:num="1">
            <w:col w:w="11240"/>
          </w:cols>
          <w:pgMar w:left="320" w:top="122" w:right="339" w:bottom="1440" w:gutter="0" w:footer="0" w:header="0"/>
        </w:sectPr>
      </w:pPr>
    </w:p>
    <w:bookmarkStart w:id="340" w:name="page341"/>
    <w:bookmarkEnd w:id="340"/>
    <w:p>
      <w:pPr>
        <w:ind w:right="20"/>
        <w:spacing w:after="0" w:line="250" w:lineRule="auto"/>
        <w:rPr>
          <w:sz w:val="20"/>
          <w:szCs w:val="20"/>
          <w:color w:val="auto"/>
        </w:rPr>
      </w:pPr>
      <w:r>
        <w:rPr>
          <w:rFonts w:ascii="Times New Roman" w:cs="Times New Roman" w:eastAsia="Times New Roman" w:hAnsi="Times New Roman"/>
          <w:sz w:val="22"/>
          <w:szCs w:val="22"/>
          <w:color w:val="auto"/>
        </w:rPr>
        <w:t>at the average of their closing sale prices on the principal securities exchange on which such securities were traded on each trading day during the five trading day period ending immediately prior to such distribution, or if such securities are not primarily traded on a securities exchange, the five day average of their closing bid prices as shown by the National Association of Securities Dealers Automated Quotation System or comparable established over-the-counter trading system consisting of the five trading day period immediately prior to such distribution and (B) all other property to be distributed in kind shall be valued at the Fair Market Value thereof determined by the Manager in its reasonable discretion on a date as near as reasonably practicable to the date of notice of such distribution.”</w:t>
      </w:r>
    </w:p>
    <w:p>
      <w:pPr>
        <w:spacing w:after="0" w:line="180" w:lineRule="exact"/>
        <w:rPr>
          <w:sz w:val="20"/>
          <w:szCs w:val="20"/>
          <w:color w:val="auto"/>
        </w:rPr>
      </w:pPr>
    </w:p>
    <w:p>
      <w:pPr>
        <w:ind w:right="100" w:firstLine="656"/>
        <w:spacing w:after="0" w:line="256" w:lineRule="auto"/>
        <w:tabs>
          <w:tab w:leader="none" w:pos="1296"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Aggregation of Learfield and TriNet Investments</w:t>
      </w:r>
      <w:r>
        <w:rPr>
          <w:rFonts w:ascii="Times New Roman" w:cs="Times New Roman" w:eastAsia="Times New Roman" w:hAnsi="Times New Roman"/>
          <w:sz w:val="22"/>
          <w:szCs w:val="22"/>
          <w:color w:val="auto"/>
        </w:rPr>
        <w:t>. The Comcast Shareholder acknowledges that Learfield Holdco, LLC (</w:t>
      </w:r>
      <w:r>
        <w:rPr>
          <w:rFonts w:ascii="Times New Roman" w:cs="Times New Roman" w:eastAsia="Times New Roman" w:hAnsi="Times New Roman"/>
          <w:sz w:val="22"/>
          <w:szCs w:val="22"/>
          <w:u w:val="single" w:color="auto"/>
          <w:color w:val="auto"/>
        </w:rPr>
        <w:t>“Learfield</w:t>
      </w:r>
      <w:r>
        <w:rPr>
          <w:rFonts w:ascii="Times New Roman" w:cs="Times New Roman" w:eastAsia="Times New Roman" w:hAnsi="Times New Roman"/>
          <w:sz w:val="22"/>
          <w:szCs w:val="22"/>
          <w:color w:val="auto"/>
        </w:rPr>
        <w:t xml:space="preserve">”) has completed a recapitalization and, as a result, the Company’s investment in Learfield (the </w:t>
      </w:r>
      <w:r>
        <w:rPr>
          <w:rFonts w:ascii="Times New Roman" w:cs="Times New Roman" w:eastAsia="Times New Roman" w:hAnsi="Times New Roman"/>
          <w:sz w:val="22"/>
          <w:szCs w:val="22"/>
          <w:u w:val="single" w:color="auto"/>
          <w:color w:val="auto"/>
        </w:rPr>
        <w:t>“Learfield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now consists of an investment in certain recapitalized Learfield securities (the “</w:t>
      </w:r>
      <w:r>
        <w:rPr>
          <w:rFonts w:ascii="Times New Roman" w:cs="Times New Roman" w:eastAsia="Times New Roman" w:hAnsi="Times New Roman"/>
          <w:sz w:val="22"/>
          <w:szCs w:val="22"/>
          <w:u w:val="single" w:color="auto"/>
          <w:color w:val="auto"/>
        </w:rPr>
        <w:t>Recapitalized Securities</w:t>
      </w:r>
      <w:r>
        <w:rPr>
          <w:rFonts w:ascii="Times New Roman" w:cs="Times New Roman" w:eastAsia="Times New Roman" w:hAnsi="Times New Roman"/>
          <w:sz w:val="22"/>
          <w:szCs w:val="22"/>
          <w:color w:val="auto"/>
        </w:rPr>
        <w:t>”). For all purposes of the Shareholders Agreement, from and after the date hereof;</w:t>
      </w:r>
    </w:p>
    <w:p>
      <w:pPr>
        <w:spacing w:after="0" w:line="176" w:lineRule="exact"/>
        <w:rPr>
          <w:sz w:val="20"/>
          <w:szCs w:val="20"/>
          <w:color w:val="auto"/>
        </w:rPr>
      </w:pPr>
    </w:p>
    <w:p>
      <w:pPr>
        <w:ind w:left="1300" w:right="200" w:hanging="644"/>
        <w:spacing w:after="0" w:line="256" w:lineRule="auto"/>
        <w:tabs>
          <w:tab w:leader="none" w:pos="1297"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unreturned Capital Contributions in respect of the Learfield Investment shall be allocated to the Company’s Investment in TriNet Group, Inc. (the “</w:t>
      </w:r>
      <w:r>
        <w:rPr>
          <w:rFonts w:ascii="Times New Roman" w:cs="Times New Roman" w:eastAsia="Times New Roman" w:hAnsi="Times New Roman"/>
          <w:sz w:val="22"/>
          <w:szCs w:val="22"/>
          <w:u w:val="single" w:color="auto"/>
          <w:color w:val="auto"/>
        </w:rPr>
        <w:t>TriNet Investment</w:t>
      </w:r>
      <w:r>
        <w:rPr>
          <w:rFonts w:ascii="Times New Roman" w:cs="Times New Roman" w:eastAsia="Times New Roman" w:hAnsi="Times New Roman"/>
          <w:sz w:val="22"/>
          <w:szCs w:val="22"/>
          <w:color w:val="auto"/>
        </w:rPr>
        <w:t>”) (i.e., the Learfield Investment and the TriNet Investment shall be deemed to be a single Investment made by the Company for purposes of Articles 8 and 11 of the Shareholders Agreement);</w:t>
      </w:r>
    </w:p>
    <w:p>
      <w:pPr>
        <w:spacing w:after="0" w:line="176" w:lineRule="exact"/>
        <w:rPr>
          <w:rFonts w:ascii="Times New Roman" w:cs="Times New Roman" w:eastAsia="Times New Roman" w:hAnsi="Times New Roman"/>
          <w:sz w:val="22"/>
          <w:szCs w:val="22"/>
          <w:color w:val="auto"/>
        </w:rPr>
      </w:pPr>
    </w:p>
    <w:p>
      <w:pPr>
        <w:ind w:left="1300" w:hanging="644"/>
        <w:spacing w:after="0" w:line="252" w:lineRule="auto"/>
        <w:tabs>
          <w:tab w:leader="none" w:pos="1295"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contemplated by clause 3(d) below, the Learfield Investment shall not constitute a “realized Investment” for purposes of Section 8.02 unless and until the TriNet Investment (exclusive of the Recapitalized Securities) becomes a “realized Investment” for purposes of Section 8.02, in which case both the Learfield Investment and the TriNet Investment shall constitute “realized Investments” for purposes of Section 8.02;</w:t>
      </w:r>
    </w:p>
    <w:p>
      <w:pPr>
        <w:spacing w:after="0" w:line="192" w:lineRule="exact"/>
        <w:rPr>
          <w:rFonts w:ascii="Times New Roman" w:cs="Times New Roman" w:eastAsia="Times New Roman" w:hAnsi="Times New Roman"/>
          <w:sz w:val="22"/>
          <w:szCs w:val="22"/>
          <w:color w:val="auto"/>
        </w:rPr>
      </w:pPr>
    </w:p>
    <w:p>
      <w:pPr>
        <w:ind w:left="1300" w:right="220" w:hanging="644"/>
        <w:spacing w:after="0" w:line="268" w:lineRule="auto"/>
        <w:tabs>
          <w:tab w:leader="none" w:pos="1297" w:val="left"/>
        </w:tabs>
        <w:numPr>
          <w:ilvl w:val="0"/>
          <w:numId w:val="4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Proceeds received in respect of the Learfield Investment prior to the date hereof and applied in accordance with Section 8.02 shall not be affected by this Amendment. Any Proceeds received in respect of the Learfield Investment after the date hereof shall be deemed to have been received in respect of the TriNet Investment (inclusive of the Recapitalized Securities) and shall be applied in accordance with Section 8.02 accordingly; and</w:t>
      </w:r>
    </w:p>
    <w:p>
      <w:pPr>
        <w:spacing w:after="0" w:line="163" w:lineRule="exact"/>
        <w:rPr>
          <w:rFonts w:ascii="Times New Roman" w:cs="Times New Roman" w:eastAsia="Times New Roman" w:hAnsi="Times New Roman"/>
          <w:sz w:val="21"/>
          <w:szCs w:val="21"/>
          <w:color w:val="auto"/>
        </w:rPr>
      </w:pPr>
    </w:p>
    <w:p>
      <w:pPr>
        <w:ind w:left="1300" w:right="40" w:hanging="644"/>
        <w:spacing w:after="0" w:line="263" w:lineRule="auto"/>
        <w:tabs>
          <w:tab w:leader="none" w:pos="1295" w:val="left"/>
        </w:tabs>
        <w:numPr>
          <w:ilvl w:val="0"/>
          <w:numId w:val="4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applying Section 8.03(b)(ii), any partial sale or other disposition of the TriNet Investment shall be treated as two or more (as appropriate) separate Investments. In the event of any partial realization of the TriNet Investment (exclusive of the Recapitalized Securities), an equivalent share of the Learfield Investment shall also be deemed to have been partially realized (e.g., if 30% of the TriNet Investment (exclusive of the Recapitalized Securities) becomes realized, then 30% of the Learfield Investment shall similarly become realized) for purposes of applying the provisions of Section 8.03(b)(ii). In the event of any realization of the Recapitalized Securities, the Proceeds of such realization shall be applied first to recover any remaining unrecovered Capital Contributions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341" w:name="page342"/>
    <w:bookmarkEnd w:id="341"/>
    <w:p>
      <w:pPr>
        <w:ind w:left="1280" w:right="40"/>
        <w:spacing w:after="0" w:line="251" w:lineRule="auto"/>
        <w:rPr>
          <w:sz w:val="20"/>
          <w:szCs w:val="20"/>
          <w:color w:val="auto"/>
        </w:rPr>
      </w:pPr>
      <w:r>
        <w:rPr>
          <w:rFonts w:ascii="Times New Roman" w:cs="Times New Roman" w:eastAsia="Times New Roman" w:hAnsi="Times New Roman"/>
          <w:sz w:val="22"/>
          <w:szCs w:val="22"/>
          <w:color w:val="auto"/>
        </w:rPr>
        <w:t>respect of (x) the TriNet Investment and the Learfield Investment (on an aggregate combined basis) and all related Priority Return and then (y) Management Fee and Qualifying Company Expenses allocable to the TriNet Investment and the Learfield Investment (on an aggregate combined basis) and all related Priority Return, and to the extent any of such Proceeds remain available for distribution after such recovery, such remaining Proceeds shall be distributed in accordance with Section 8.02 (and, for the avoidance of doubt, the distribution of such remaining Proceeds shall reflect such prior recovery).</w:t>
      </w:r>
    </w:p>
    <w:p>
      <w:pPr>
        <w:spacing w:after="0" w:line="181" w:lineRule="exact"/>
        <w:rPr>
          <w:sz w:val="20"/>
          <w:szCs w:val="20"/>
          <w:color w:val="auto"/>
        </w:rPr>
      </w:pPr>
    </w:p>
    <w:p>
      <w:pPr>
        <w:ind w:left="1280" w:right="240" w:hanging="644"/>
        <w:spacing w:after="0" w:line="256" w:lineRule="auto"/>
        <w:tabs>
          <w:tab w:leader="none" w:pos="1277"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the amounts distributable in respect of the Priority Return and the recovery of Management Fee and Qualifying Company Expenses (including the Priority Return in respect of such recovery) related to the Learfield Investment, all such amounts shall be calculated as if due and payable on September 30, 2023 and shall not increase after such date.</w:t>
      </w:r>
    </w:p>
    <w:p>
      <w:pPr>
        <w:spacing w:after="0" w:line="176" w:lineRule="exact"/>
        <w:rPr>
          <w:sz w:val="20"/>
          <w:szCs w:val="20"/>
          <w:color w:val="auto"/>
        </w:rPr>
      </w:pPr>
    </w:p>
    <w:p>
      <w:pPr>
        <w:ind w:left="-20" w:right="20" w:firstLine="656"/>
        <w:spacing w:after="0" w:line="251" w:lineRule="auto"/>
        <w:tabs>
          <w:tab w:leader="none" w:pos="1006"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On or immediately following the Effective Date of this Amendment, in consideration of the agreement of the Atairos Shareholder and the Manager to the amendments set forth herein, the Comcast Shareholder shall make a one-time payment to the Manager in the amount of $2,500,000. For all purposes of the Shareholders Agreement, such payment shall not constitute any Capital Contribution made by Comcast Shareholder or any payment (including any Management Fee payment) made by the Company to the Manager and shall not affect Comcast Shareholder’s obligations under the Shareholders Agreement, including, without limitation, Comcast Shareholder’s Capital Commitment or Available Capital Commitment.</w:t>
      </w:r>
    </w:p>
    <w:p>
      <w:pPr>
        <w:spacing w:after="0" w:line="181" w:lineRule="exact"/>
        <w:rPr>
          <w:rFonts w:ascii="Times New Roman" w:cs="Times New Roman" w:eastAsia="Times New Roman" w:hAnsi="Times New Roman"/>
          <w:sz w:val="22"/>
          <w:szCs w:val="22"/>
          <w:color w:val="auto"/>
        </w:rPr>
      </w:pPr>
    </w:p>
    <w:p>
      <w:pPr>
        <w:ind w:left="-20" w:right="80" w:firstLine="656"/>
        <w:spacing w:after="0" w:line="271" w:lineRule="auto"/>
        <w:tabs>
          <w:tab w:leader="none" w:pos="1006"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and all claims arising under or in connection therewith, shall be governed by, and construed in accordance with, the laws of the State of New York, without regard to the conflict of laws rules of such state.</w:t>
      </w:r>
    </w:p>
    <w:p>
      <w:pPr>
        <w:spacing w:after="0" w:line="157" w:lineRule="exact"/>
        <w:rPr>
          <w:rFonts w:ascii="Times New Roman" w:cs="Times New Roman" w:eastAsia="Times New Roman" w:hAnsi="Times New Roman"/>
          <w:sz w:val="22"/>
          <w:szCs w:val="22"/>
          <w:color w:val="auto"/>
        </w:rPr>
      </w:pPr>
    </w:p>
    <w:p>
      <w:pPr>
        <w:jc w:val="both"/>
        <w:ind w:left="-20" w:firstLine="656"/>
        <w:spacing w:after="0" w:line="253" w:lineRule="auto"/>
        <w:tabs>
          <w:tab w:leader="none" w:pos="1006"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Except as provided herein, all terms and conditions of the Shareholders Agreement remain in full force and effect. In connection with any controversy or claim arising out of or relating to this Amendment: (x) the liability of each party; (y) the manner of dispute resolution; and (z) the apportionment of costs and expenses (including attorneys fees) shall, in each instance, be determined in the same manner as if such controversy or claim had arisen under the Shareholders Agreement, as amended hereby.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is intentionally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40" w:top="1422" w:right="359" w:bottom="1440" w:gutter="0" w:footer="0" w:header="0"/>
        </w:sectPr>
      </w:pPr>
    </w:p>
    <w:bookmarkStart w:id="342" w:name="page343"/>
    <w:bookmarkEnd w:id="34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undersigned has caused this Amendment to be executed and delivered as of the date first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ATAIROS GROUP, INC.</w:t>
      </w:r>
    </w:p>
    <w:p>
      <w:pPr>
        <w:spacing w:after="0" w:line="29" w:lineRule="exact"/>
        <w:rPr>
          <w:sz w:val="20"/>
          <w:szCs w:val="20"/>
          <w:color w:val="auto"/>
        </w:rPr>
      </w:pPr>
    </w:p>
    <w:p>
      <w:pPr>
        <w:ind w:left="3920"/>
        <w:spacing w:after="0"/>
        <w:tabs>
          <w:tab w:leader="none" w:pos="4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Clare McGrory</w:t>
      </w:r>
    </w:p>
    <w:p>
      <w:pPr>
        <w:spacing w:after="0" w:line="18" w:lineRule="exact"/>
        <w:rPr>
          <w:sz w:val="20"/>
          <w:szCs w:val="20"/>
          <w:color w:val="auto"/>
        </w:rPr>
      </w:pPr>
    </w:p>
    <w:p>
      <w:pPr>
        <w:ind w:left="4420"/>
        <w:spacing w:after="0"/>
        <w:tabs>
          <w:tab w:leader="none" w:pos="51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Clare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-160020</wp:posOffset>
            </wp:positionV>
            <wp:extent cx="19456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9" w:lineRule="exact"/>
        <w:rPr>
          <w:sz w:val="20"/>
          <w:szCs w:val="20"/>
          <w:color w:val="auto"/>
        </w:rPr>
      </w:pPr>
    </w:p>
    <w:p>
      <w:pPr>
        <w:ind w:left="4420"/>
        <w:spacing w:after="0"/>
        <w:tabs>
          <w:tab w:leader="none" w:pos="5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3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ATAIROS MANAGEMENT, L.P.</w:t>
      </w:r>
    </w:p>
    <w:p>
      <w:pPr>
        <w:spacing w:after="0" w:line="4" w:lineRule="exact"/>
        <w:rPr>
          <w:sz w:val="20"/>
          <w:szCs w:val="20"/>
          <w:color w:val="auto"/>
        </w:rPr>
      </w:pPr>
    </w:p>
    <w:p>
      <w:pPr>
        <w:ind w:left="392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Atairos Family GP, LLC, its</w:t>
      </w:r>
    </w:p>
    <w:p>
      <w:pPr>
        <w:ind w:left="442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0" w:lineRule="exact"/>
        <w:rPr>
          <w:sz w:val="20"/>
          <w:szCs w:val="20"/>
          <w:color w:val="auto"/>
        </w:rPr>
      </w:pPr>
    </w:p>
    <w:p>
      <w:pPr>
        <w:spacing w:after="0" w:line="306" w:lineRule="exact"/>
        <w:rPr>
          <w:sz w:val="20"/>
          <w:szCs w:val="20"/>
          <w:color w:val="auto"/>
        </w:rPr>
      </w:pPr>
    </w:p>
    <w:p>
      <w:pPr>
        <w:ind w:left="3920"/>
        <w:spacing w:after="0"/>
        <w:tabs>
          <w:tab w:leader="none" w:pos="4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Clare McGrory</w:t>
      </w:r>
    </w:p>
    <w:p>
      <w:pPr>
        <w:spacing w:after="0" w:line="71" w:lineRule="exact"/>
        <w:rPr>
          <w:sz w:val="20"/>
          <w:szCs w:val="20"/>
          <w:color w:val="auto"/>
        </w:rPr>
      </w:pPr>
    </w:p>
    <w:p>
      <w:pPr>
        <w:ind w:left="4420"/>
        <w:spacing w:after="0"/>
        <w:tabs>
          <w:tab w:leader="none" w:pos="51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Clare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-160020</wp:posOffset>
            </wp:positionV>
            <wp:extent cx="19456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9" w:lineRule="exact"/>
        <w:rPr>
          <w:sz w:val="20"/>
          <w:szCs w:val="20"/>
          <w:color w:val="auto"/>
        </w:rPr>
      </w:pPr>
    </w:p>
    <w:p>
      <w:pPr>
        <w:ind w:left="4420"/>
        <w:spacing w:after="0"/>
        <w:tabs>
          <w:tab w:leader="none" w:pos="5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3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SHAREHOLDERS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COMCAST AG HOLDINGS, LLC</w:t>
      </w:r>
    </w:p>
    <w:p>
      <w:pPr>
        <w:spacing w:after="0" w:line="29" w:lineRule="exact"/>
        <w:rPr>
          <w:sz w:val="20"/>
          <w:szCs w:val="20"/>
          <w:color w:val="auto"/>
        </w:rPr>
      </w:pPr>
    </w:p>
    <w:p>
      <w:pPr>
        <w:ind w:left="3920"/>
        <w:spacing w:after="0"/>
        <w:tabs>
          <w:tab w:leader="none" w:pos="4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Marc A. Rockford</w:t>
      </w:r>
    </w:p>
    <w:p>
      <w:pPr>
        <w:spacing w:after="0" w:line="18" w:lineRule="exact"/>
        <w:rPr>
          <w:sz w:val="20"/>
          <w:szCs w:val="20"/>
          <w:color w:val="auto"/>
        </w:rPr>
      </w:pPr>
    </w:p>
    <w:p>
      <w:pPr>
        <w:ind w:left="4420"/>
        <w:spacing w:after="0"/>
        <w:tabs>
          <w:tab w:leader="none" w:pos="51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Marc A. Rockford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-160020</wp:posOffset>
            </wp:positionV>
            <wp:extent cx="19456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9" w:lineRule="exact"/>
        <w:rPr>
          <w:sz w:val="20"/>
          <w:szCs w:val="20"/>
          <w:color w:val="auto"/>
        </w:rPr>
      </w:pPr>
    </w:p>
    <w:p>
      <w:pPr>
        <w:ind w:left="4420"/>
        <w:spacing w:after="0"/>
        <w:tabs>
          <w:tab w:leader="none" w:pos="5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36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ATAIROS PARTNERS, L.P.</w:t>
      </w:r>
    </w:p>
    <w:p>
      <w:pPr>
        <w:spacing w:after="0" w:line="4" w:lineRule="exact"/>
        <w:rPr>
          <w:sz w:val="20"/>
          <w:szCs w:val="20"/>
          <w:color w:val="auto"/>
        </w:rPr>
      </w:pPr>
    </w:p>
    <w:p>
      <w:pPr>
        <w:ind w:left="392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Atairos Family GP, LLC, its</w:t>
      </w:r>
    </w:p>
    <w:p>
      <w:pPr>
        <w:ind w:left="442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0" w:lineRule="exact"/>
        <w:rPr>
          <w:sz w:val="20"/>
          <w:szCs w:val="20"/>
          <w:color w:val="auto"/>
        </w:rPr>
      </w:pPr>
    </w:p>
    <w:p>
      <w:pPr>
        <w:spacing w:after="0" w:line="306" w:lineRule="exact"/>
        <w:rPr>
          <w:sz w:val="20"/>
          <w:szCs w:val="20"/>
          <w:color w:val="auto"/>
        </w:rPr>
      </w:pPr>
    </w:p>
    <w:p>
      <w:pPr>
        <w:ind w:left="3920"/>
        <w:spacing w:after="0"/>
        <w:tabs>
          <w:tab w:leader="none" w:pos="4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Clare McGrory</w:t>
      </w:r>
    </w:p>
    <w:p>
      <w:pPr>
        <w:spacing w:after="0" w:line="71" w:lineRule="exact"/>
        <w:rPr>
          <w:sz w:val="20"/>
          <w:szCs w:val="20"/>
          <w:color w:val="auto"/>
        </w:rPr>
      </w:pPr>
    </w:p>
    <w:p>
      <w:pPr>
        <w:ind w:left="4420"/>
        <w:spacing w:after="0"/>
        <w:tabs>
          <w:tab w:leader="none" w:pos="51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Clare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-160020</wp:posOffset>
            </wp:positionV>
            <wp:extent cx="19456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9" w:lineRule="exact"/>
        <w:rPr>
          <w:sz w:val="20"/>
          <w:szCs w:val="20"/>
          <w:color w:val="auto"/>
        </w:rPr>
      </w:pPr>
    </w:p>
    <w:p>
      <w:pPr>
        <w:ind w:left="4420"/>
        <w:spacing w:after="0"/>
        <w:tabs>
          <w:tab w:leader="none" w:pos="5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Signature Page to Second Amendment to 4</w:t>
      </w:r>
      <w:r>
        <w:rPr>
          <w:rFonts w:ascii="Times New Roman" w:cs="Times New Roman" w:eastAsia="Times New Roman" w:hAnsi="Times New Roman"/>
          <w:sz w:val="23"/>
          <w:szCs w:val="23"/>
          <w:i w:val="1"/>
          <w:iCs w:val="1"/>
          <w:color w:val="auto"/>
          <w:vertAlign w:val="superscript"/>
        </w:rPr>
        <w:t>th</w:t>
      </w:r>
      <w:r>
        <w:rPr>
          <w:rFonts w:ascii="Times New Roman" w:cs="Times New Roman" w:eastAsia="Times New Roman" w:hAnsi="Times New Roman"/>
          <w:sz w:val="18"/>
          <w:szCs w:val="18"/>
          <w:i w:val="1"/>
          <w:iCs w:val="1"/>
          <w:color w:val="auto"/>
        </w:rPr>
        <w:t xml:space="preserve"> AAR Shareholders Agreement of Atairos Group, Inc.</w:t>
      </w:r>
    </w:p>
    <w:p>
      <w:pPr>
        <w:sectPr>
          <w:pgSz w:w="11900" w:h="16838" w:orient="portrait"/>
          <w:cols w:equalWidth="0" w:num="1">
            <w:col w:w="10900"/>
          </w:cols>
          <w:pgMar w:left="320" w:top="1422" w:right="679" w:bottom="1440" w:gutter="0" w:footer="0" w:header="0"/>
        </w:sectPr>
      </w:pPr>
    </w:p>
    <w:bookmarkStart w:id="343" w:name="page344"/>
    <w:bookmarkEnd w:id="343"/>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Policies and Procedures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 Corporation’s insider trading policies and procedures are set forth on Annexes 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Insider Trading and Stock Tipping Policy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Purpose</w:t>
      </w:r>
    </w:p>
    <w:p>
      <w:pPr>
        <w:spacing w:after="0" w:line="1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Comcast Corporation and its consolidated subsidiaries (collectively, the “Company”), including Comcast Corporate, Comcast Cable, NBCUniversal, and Sky (each a “Business Unit”), are committed to complying with securities laws, including the federal and state securities laws of the United States (collectively, “securities laws”), which prohibit insider trading.</w:t>
      </w:r>
    </w:p>
    <w:p>
      <w:pPr>
        <w:spacing w:after="0" w:line="18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color w:val="auto"/>
        </w:rPr>
        <w:t>The Company has adopted this Insider Trading and Stock Tipping Policy (this “Policy”) to reinforce the Company’s prohibition of insider trading and illegal stock tipping, and help protect the Company, and its employees and directors from potential violations of insider trading under the securities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 Applicable To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applies to all Company employees and to all directors of Comcast Corporation (collectively,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3.0 Principles and Definitions</w:t>
      </w:r>
    </w:p>
    <w:p>
      <w:pPr>
        <w:spacing w:after="0" w:line="8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The Company strictly prohibits insider trading. Insider trading is against the law, can lead to serious penalties, and can harm the Company’s reputation. As a result, we strictly prohibit using material, non-public information to buy or sell securities of our Company or sharing that information with others. We also strictly prohibit the buying or selling of securities of another company if an employee learns material, non-public information about that other company through such employee’s work at the Company.</w:t>
      </w:r>
    </w:p>
    <w:p>
      <w:pPr>
        <w:spacing w:after="0" w:line="16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2"/>
          <w:szCs w:val="22"/>
          <w:color w:val="auto"/>
        </w:rPr>
        <w:t>For purposes of this Policy, “securities” are broadly defined to include stock, put and call options, other derivatives, debt securities (such as bonds and notes), stock issued under Company-sponsored stock purchase plans, and any other similar equity or debt or instruments of Comcast Corporation, Comcast Cable, NBCUniversal, Sky, or of another company. As such, all forms of hedging or monetization transactions and other complex transactions that involve securities should be considered trades in securities for purposes of this Policy.</w:t>
      </w:r>
    </w:p>
    <w:p>
      <w:pPr>
        <w:spacing w:after="0" w:line="179"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22"/>
          <w:szCs w:val="22"/>
          <w:color w:val="auto"/>
        </w:rPr>
        <w:t>Information is “material” if there is a substantial likelihood that a reasonable investor would consider the information important in deciding whether to buy, sell, or hold a security. Some examples of information that could potentially be considered material, depending on the actual context and the company in question, include:</w:t>
      </w:r>
    </w:p>
    <w:p>
      <w:pPr>
        <w:spacing w:after="0" w:line="167" w:lineRule="exact"/>
        <w:rPr>
          <w:sz w:val="20"/>
          <w:szCs w:val="20"/>
          <w:color w:val="auto"/>
        </w:rPr>
      </w:pPr>
    </w:p>
    <w:p>
      <w:pPr>
        <w:ind w:left="660" w:hanging="328"/>
        <w:spacing w:after="0"/>
        <w:tabs>
          <w:tab w:leader="none" w:pos="660"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announcements;</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near-term financial forecasts;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financial developments (including new dividend or share repurchase actions);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acquisitions or divestitures;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product, technology, or strategy developments;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320" w:top="1440" w:right="419" w:bottom="1440" w:gutter="0" w:footer="0" w:header="0"/>
        </w:sectPr>
      </w:pPr>
    </w:p>
    <w:bookmarkStart w:id="345" w:name="page346"/>
    <w:bookmarkEnd w:id="345"/>
    <w:p>
      <w:pPr>
        <w:spacing w:after="0" w:line="158" w:lineRule="exact"/>
        <w:rPr>
          <w:sz w:val="20"/>
          <w:szCs w:val="20"/>
          <w:color w:val="auto"/>
        </w:rPr>
      </w:pPr>
    </w:p>
    <w:p>
      <w:pPr>
        <w:ind w:left="660" w:hanging="328"/>
        <w:spacing w:after="0"/>
        <w:tabs>
          <w:tab w:leader="none" w:pos="660"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commercial contracts;</w:t>
      </w:r>
    </w:p>
    <w:p>
      <w:pPr>
        <w:spacing w:after="0" w:line="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withdrawal of audit opinions;</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w:t>
      </w:r>
    </w:p>
    <w:p>
      <w:pPr>
        <w:spacing w:after="0" w:line="3" w:lineRule="exact"/>
        <w:rPr>
          <w:rFonts w:ascii="Times New Roman" w:cs="Times New Roman" w:eastAsia="Times New Roman" w:hAnsi="Times New Roman"/>
          <w:sz w:val="22"/>
          <w:szCs w:val="22"/>
          <w:color w:val="auto"/>
        </w:rPr>
      </w:pPr>
    </w:p>
    <w:p>
      <w:pPr>
        <w:ind w:left="660" w:right="280" w:hanging="328"/>
        <w:spacing w:after="0" w:line="243" w:lineRule="auto"/>
        <w:tabs>
          <w:tab w:leader="none" w:pos="655"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incidents that significantly compromise operations or expose or lose a significant amount of customer or other sensitive information; and</w:t>
      </w:r>
    </w:p>
    <w:p>
      <w:pPr>
        <w:ind w:left="660" w:hanging="328"/>
        <w:spacing w:after="0"/>
        <w:tabs>
          <w:tab w:leader="none" w:pos="660"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litigation and governmental investigations.</w:t>
      </w:r>
    </w:p>
    <w:p>
      <w:pPr>
        <w:spacing w:after="0" w:line="22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Information is “nonpublic” if it has not yet been widely disseminated publicly, such as through press releases, including quarterly earnings releases, filings with the U.S. Securities and Exchange Commission, shareholder conferences where executives speak that are open to the public, and news reports based on information provided by the Company.</w:t>
      </w:r>
    </w:p>
    <w:p>
      <w:pPr>
        <w:spacing w:after="0" w:line="16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“Another company” could include the Company’s suppliers, contractors, customers, business partners, companies in which the Company has an investment, or other similar third parties with whom the Company does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4.0 Requirements and Procedures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4.1 Insider Trading Prohibition</w:t>
      </w:r>
    </w:p>
    <w:p>
      <w:pPr>
        <w:spacing w:after="0" w:line="22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Employees are prohibited from buying, selling, or otherwise trading, directly or indirectly through another person or entity, the following:</w:t>
      </w:r>
    </w:p>
    <w:p>
      <w:pPr>
        <w:spacing w:after="0" w:line="63" w:lineRule="exact"/>
        <w:rPr>
          <w:sz w:val="20"/>
          <w:szCs w:val="20"/>
          <w:color w:val="auto"/>
        </w:rPr>
      </w:pPr>
    </w:p>
    <w:p>
      <w:pPr>
        <w:ind w:left="660" w:hanging="328"/>
        <w:spacing w:after="0"/>
        <w:tabs>
          <w:tab w:leader="none" w:pos="660"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security of the Company based on material, nonpublic information that they learned in the course of their work; or</w:t>
      </w:r>
    </w:p>
    <w:p>
      <w:pPr>
        <w:spacing w:after="0" w:line="27" w:lineRule="exact"/>
        <w:rPr>
          <w:rFonts w:ascii="Times New Roman" w:cs="Times New Roman" w:eastAsia="Times New Roman" w:hAnsi="Times New Roman"/>
          <w:sz w:val="22"/>
          <w:szCs w:val="22"/>
          <w:color w:val="auto"/>
        </w:rPr>
      </w:pPr>
    </w:p>
    <w:p>
      <w:pPr>
        <w:ind w:left="660" w:right="60" w:hanging="328"/>
        <w:spacing w:after="0" w:line="248" w:lineRule="auto"/>
        <w:tabs>
          <w:tab w:leader="none" w:pos="655"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security of another company, if the employee learns material, nonpublic information about that other company through such employee's work at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4.2 Illegal Stock Tipping Prohibition</w:t>
      </w:r>
    </w:p>
    <w:p>
      <w:pPr>
        <w:spacing w:after="0" w:line="224" w:lineRule="exact"/>
        <w:rPr>
          <w:sz w:val="20"/>
          <w:szCs w:val="20"/>
          <w:color w:val="auto"/>
        </w:rPr>
      </w:pPr>
    </w:p>
    <w:p>
      <w:pPr>
        <w:ind w:left="740" w:right="120"/>
        <w:spacing w:after="0" w:line="263" w:lineRule="auto"/>
        <w:rPr>
          <w:sz w:val="20"/>
          <w:szCs w:val="20"/>
          <w:color w:val="auto"/>
        </w:rPr>
      </w:pPr>
      <w:r>
        <w:rPr>
          <w:rFonts w:ascii="Times New Roman" w:cs="Times New Roman" w:eastAsia="Times New Roman" w:hAnsi="Times New Roman"/>
          <w:sz w:val="22"/>
          <w:szCs w:val="22"/>
          <w:color w:val="auto"/>
        </w:rPr>
        <w:t>Employees also are prohibited from illegal stock “tipping”, which is recommending or suggesting that anyone else buy, sell, or otherwise trade a security of the Company or another company based on material, nonpublic information described above in Section 4.1.</w:t>
      </w:r>
    </w:p>
    <w:p>
      <w:pPr>
        <w:spacing w:after="0" w:line="20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2"/>
          <w:szCs w:val="22"/>
          <w:color w:val="auto"/>
        </w:rPr>
        <w:t>Both the tipper (the person providing the information) and the tippee (the person who receives the information) violate insider trading laws if the tippee then trades in that security based on the material, nonpublic information provided by the tipper, even if the tipper did not trade in the security.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4.3 Other Related Requirements</w:t>
      </w:r>
    </w:p>
    <w:p>
      <w:pPr>
        <w:spacing w:after="0" w:line="23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2"/>
          <w:szCs w:val="22"/>
          <w:color w:val="auto"/>
        </w:rPr>
        <w:t>In addition, under the Comcast Corporation Fair Disclosure Policy, employees may not disclose material, nonpublic information about the Company to analysts, shareholders, or other securities market professionals, when the Company has not publicly disclosed such material, nonpublic information simultaneously, without authorized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20" w:top="1440" w:right="399" w:bottom="1440" w:gutter="0" w:footer="0" w:header="0"/>
        </w:sectPr>
      </w:pPr>
    </w:p>
    <w:bookmarkStart w:id="346" w:name="page347"/>
    <w:bookmarkEnd w:id="346"/>
    <w:p>
      <w:pPr>
        <w:spacing w:after="0" w:line="158" w:lineRule="exact"/>
        <w:rPr>
          <w:sz w:val="20"/>
          <w:szCs w:val="20"/>
          <w:color w:val="auto"/>
        </w:rPr>
      </w:pPr>
    </w:p>
    <w:p>
      <w:pPr>
        <w:jc w:val="both"/>
        <w:ind w:right="560"/>
        <w:spacing w:after="0" w:line="263" w:lineRule="auto"/>
        <w:rPr>
          <w:sz w:val="20"/>
          <w:szCs w:val="20"/>
          <w:color w:val="auto"/>
        </w:rPr>
      </w:pPr>
      <w:r>
        <w:rPr>
          <w:rFonts w:ascii="Times New Roman" w:cs="Times New Roman" w:eastAsia="Times New Roman" w:hAnsi="Times New Roman"/>
          <w:sz w:val="22"/>
          <w:szCs w:val="22"/>
          <w:color w:val="auto"/>
        </w:rPr>
        <w:t>Consistent with the Safeguard Proprietary and Confidential Information section of the Code of Conduct, an employee must protect confidential information, including material information, that they learn in the course of their work – regarding the Company or another company – and guard against its unauthorized use or dissemination.</w:t>
      </w:r>
    </w:p>
    <w:p>
      <w:pPr>
        <w:spacing w:after="0" w:line="16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Each employee is responsible for adhering to this Policy and any other policies and procedures applicable to their Business Unit, including any policies and procedures applicable to the Company’s news organizations.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5.0 Consequences of Violations</w:t>
      </w:r>
    </w:p>
    <w:p>
      <w:pPr>
        <w:spacing w:after="0" w:line="1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Insider trading is against the law. Employees who violate the law (and anyone who illegally trades on information provided by an employee) may be subject to severe penalties, including imprisonment, disgorgement (forfeit) of profits, substantial fines, and monetary damages.</w:t>
      </w:r>
    </w:p>
    <w:p>
      <w:pPr>
        <w:spacing w:after="0" w:line="173"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22"/>
          <w:szCs w:val="22"/>
          <w:color w:val="auto"/>
        </w:rPr>
        <w:t>In addition, failure to comply with this Policy may result in disciplinary action, including but not limited to termination of employment, impact to compensation, or other appropriate action, regardless of an employee’s title or tenure.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6.0 Reporting Violations or Concerns</w:t>
      </w:r>
    </w:p>
    <w:p>
      <w:pPr>
        <w:spacing w:after="0" w:line="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The Company expects employees to report any suspected or actual violations of this Policy by contacting their manager or another local leader; a Human Resources representative; Legal (including Compliance); or the Helpline or Web Portal. For more information on the available reporting channels, visit your Business Unit’s intranet, www.ComcastNBCUniversalListens.com, or www.ComcastSkyListens.com.</w:t>
      </w:r>
    </w:p>
    <w:p>
      <w:pPr>
        <w:spacing w:after="0" w:line="176"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2"/>
          <w:szCs w:val="22"/>
          <w:color w:val="auto"/>
        </w:rPr>
        <w:t>Company policy prohibits retaliation against any employee who in good faith raises a concern or assists in the investigation of suspected illegal or unethical conduct, even if a reported concern is ultimately unsubstantiated.</w:t>
      </w:r>
    </w:p>
    <w:p>
      <w:pPr>
        <w:spacing w:after="0" w:line="17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2"/>
          <w:szCs w:val="22"/>
          <w:color w:val="auto"/>
        </w:rPr>
        <w:t>Nothing in this Policy or any other Company policy limits an employee’s ability to communicate with or provide information to any governmental agency or commission, including the U.S. Securities and Exchange Commission or foreign equivalent, regarding possible legal violations without disclosure to the Company, as protected under applicable whistleblower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7.0 Points of Contact</w:t>
      </w:r>
    </w:p>
    <w:p>
      <w:pPr>
        <w:spacing w:after="0" w:line="10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For inquiries about this Policy or for general questions about insider trading compliance requirements, employees should contact the Comcast Corporate Securities and Governance Group in the Comcast Corporate Law Department, or their Business Unit’s Compliance Group.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8.0 Policy Owner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 Corporate Securities and Governance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40" w:right="379" w:bottom="1440" w:gutter="0" w:footer="0" w:header="0"/>
        </w:sectPr>
      </w:pPr>
    </w:p>
    <w:bookmarkStart w:id="347" w:name="page348"/>
    <w:bookmarkEnd w:id="347"/>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Annex B</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Blackout Period and Pre-Clearance Policy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jc w:val="both"/>
        <w:ind w:right="340"/>
        <w:spacing w:after="0" w:line="253" w:lineRule="auto"/>
        <w:rPr>
          <w:sz w:val="20"/>
          <w:szCs w:val="20"/>
          <w:color w:val="auto"/>
        </w:rPr>
      </w:pPr>
      <w:r>
        <w:rPr>
          <w:rFonts w:ascii="Times New Roman" w:cs="Times New Roman" w:eastAsia="Times New Roman" w:hAnsi="Times New Roman"/>
          <w:sz w:val="22"/>
          <w:szCs w:val="22"/>
          <w:color w:val="auto"/>
        </w:rPr>
        <w:t>This policy describes our policy regarding blackout periods and pre-clearance procedures for trading in Comcast’s equity and debt securities and NBCUniversal’s and Sky’s debt securities (collectively, “Company securities”) by our directors, executive officers and other employees designated by Comcast’s Chief Legal Officer. While all employees and directors subject to this policy must refrain from trading during certain blackout periods, certain senior level employees and directors have additional requirements to pre-clear trades involving Company securities as described below.</w:t>
      </w:r>
    </w:p>
    <w:p>
      <w:pPr>
        <w:spacing w:after="0" w:line="206"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22"/>
          <w:szCs w:val="22"/>
          <w:color w:val="auto"/>
        </w:rPr>
        <w:t>In all instances, as set forth in our Code of Conduct, no employee or director may trade, directly or indirectly, in Company securities while he or she is aware of material, nonpublic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Blackout Periods</w:t>
      </w:r>
    </w:p>
    <w:p>
      <w:pPr>
        <w:spacing w:after="0" w:line="22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Quarterly Blackout Periods. </w:t>
      </w:r>
      <w:r>
        <w:rPr>
          <w:rFonts w:ascii="Times New Roman" w:cs="Times New Roman" w:eastAsia="Times New Roman" w:hAnsi="Times New Roman"/>
          <w:sz w:val="22"/>
          <w:szCs w:val="22"/>
          <w:color w:val="auto"/>
        </w:rPr>
        <w:t>Our announcement of quarterly financial results almost always has the potential to have a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on the market for our securities. Therefore, to avoid even the appearance of trading while aware of material, nonpublic information, our directors, executive officers and other employees designated by Comcast’s Chief Legal Officer or his or her designee may not, either directly or indirectly through family members, controlled trusts or entities or otherwise, engage in any transaction involving Company securities as described below during a quarterly blackout period. Each quarterly blackout period begins on the tenth to last trading day of each fiscal quarter and ends after the first full trading day following the issuance of our quarterly earnings release. Comcast’s Chief Legal Officer or his or her designee(s) will send persons subject to quarterly blackout periods an email reminder before the start of each period.</w:t>
      </w:r>
    </w:p>
    <w:p>
      <w:pPr>
        <w:spacing w:after="0" w:line="1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i w:val="1"/>
          <w:iCs w:val="1"/>
          <w:color w:val="auto"/>
        </w:rPr>
        <w:t>Event-Specific Blackout Periods</w:t>
      </w:r>
      <w:r>
        <w:rPr>
          <w:rFonts w:ascii="Times New Roman" w:cs="Times New Roman" w:eastAsia="Times New Roman" w:hAnsi="Times New Roman"/>
          <w:sz w:val="21"/>
          <w:szCs w:val="21"/>
          <w:color w:val="auto"/>
        </w:rPr>
        <w:t>. From time to time, facts and circumstances may arise that are potentially material to our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In such an instance, Comcast’s Chief Legal Officer or his or her designee may require that certain persons not trade in Company securities or another company’s securities while the potentially material information remains nonpublic. The existence of an event-specific blackout period will not be announced to anyone other than those who are subject to that blackout period. Any person made aware of the existence of an event-specific blackout period may not disclose its existence to any other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Pre-Clearance Procedures</w:t>
      </w:r>
    </w:p>
    <w:p>
      <w:pPr>
        <w:spacing w:after="0" w:line="22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In addition to being subject to our quarterly blackout periods, our directors, executive officers and certain senior level employees designated by Comcast’s Chief Legal Officer or his or her designee may not at any time (even if outside of a blackout period), either directly or indirectly through family members, controlled trusts or entities or otherwise, engage in any transaction involving Company securities as described below without first obtaining pre-clearance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40" w:right="379" w:bottom="1440" w:gutter="0" w:footer="0" w:header="0"/>
        </w:sectPr>
      </w:pPr>
    </w:p>
    <w:bookmarkStart w:id="348" w:name="page349"/>
    <w:bookmarkEnd w:id="348"/>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transaction from Comcast’s Chief Legal Officer or his or her designees. Comcast’s Chief Legal Officer or his designees are under no obligation to approve a transaction submitted for pre-clearance or to disclose the reason for not approving it.</w:t>
      </w:r>
    </w:p>
    <w:p>
      <w:pPr>
        <w:spacing w:after="0" w:line="14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Because express permission is at all times required for such persons to trade, limit orders (in which a broker is instructed to buy or sell a specified number of shares in the future if and when the stock reaches a predetermined price) are prohibited, unless they are effected pursuant to a written trading plan entered into in accordance with our Rule 10b5-1 Trading Plan Policy; see “Rule 10b5-1 Trading Plans” below for more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Types of Transactions Covered by the Policy</w:t>
      </w:r>
    </w:p>
    <w:p>
      <w:pPr>
        <w:spacing w:after="0" w:line="237"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22"/>
          <w:szCs w:val="22"/>
          <w:color w:val="auto"/>
        </w:rPr>
        <w:t>Trading restrictions during our quarterly blackout periods and/or pre-clearance requirements apply to the following types of transactions involving Company securities:</w:t>
      </w:r>
    </w:p>
    <w:p>
      <w:pPr>
        <w:spacing w:after="0" w:line="158" w:lineRule="exact"/>
        <w:rPr>
          <w:sz w:val="20"/>
          <w:szCs w:val="20"/>
          <w:color w:val="auto"/>
        </w:rPr>
      </w:pPr>
    </w:p>
    <w:p>
      <w:pPr>
        <w:ind w:left="1300" w:hanging="320"/>
        <w:spacing w:after="0"/>
        <w:tabs>
          <w:tab w:leader="none" w:pos="130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buying or selling Company securities;</w:t>
      </w:r>
    </w:p>
    <w:p>
      <w:pPr>
        <w:spacing w:after="0" w:line="2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gifting Company securities (other than transactions involving family trusts for estate planning purposes);</w:t>
      </w:r>
    </w:p>
    <w:p>
      <w:pPr>
        <w:spacing w:after="0" w:line="3" w:lineRule="exact"/>
        <w:rPr>
          <w:rFonts w:ascii="Times New Roman" w:cs="Times New Roman" w:eastAsia="Times New Roman" w:hAnsi="Times New Roman"/>
          <w:sz w:val="22"/>
          <w:szCs w:val="22"/>
          <w:color w:val="auto"/>
        </w:rPr>
      </w:pPr>
    </w:p>
    <w:p>
      <w:pPr>
        <w:ind w:left="1300" w:right="20" w:hanging="320"/>
        <w:spacing w:after="0" w:line="249" w:lineRule="auto"/>
        <w:tabs>
          <w:tab w:leader="none" w:pos="1295"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exercising stock options (except for the limited exception for expiring options provided below and for options that automatically exercise upon expiration);</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stock acquired through an employee stock purchase plan or sharesave plan;</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initiating or terminating elections to reinvest cash dividends in Comcast stock; and</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entering into hedging or monetization transactions, such as put or call options, collars and forward sale contracts.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These restrictions apply to all trading activity, whether direct or indirect through family members, controlled trusts or entities or otherwise. However, these restrictions do not apply to trades in broker discretionary, or managed, accounts unless (i) you instruct your broker or investment advisor to make specific investments in securities covered by this policy or (ii) you are subject to Section 16 of the Securities Exchange Act.</w:t>
      </w:r>
    </w:p>
    <w:p>
      <w:pPr>
        <w:spacing w:after="0" w:line="176"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22"/>
          <w:szCs w:val="22"/>
          <w:color w:val="auto"/>
        </w:rPr>
        <w:t>For those also subject to the pre-clearance procedures, in addition to the transactions described above, the following types of transactions must be pre-cleared:</w:t>
      </w:r>
    </w:p>
    <w:p>
      <w:pPr>
        <w:spacing w:after="0" w:line="185" w:lineRule="exact"/>
        <w:rPr>
          <w:sz w:val="20"/>
          <w:szCs w:val="20"/>
          <w:color w:val="auto"/>
        </w:rPr>
      </w:pPr>
    </w:p>
    <w:p>
      <w:pPr>
        <w:ind w:left="1300" w:hanging="320"/>
        <w:spacing w:after="0"/>
        <w:tabs>
          <w:tab w:leader="none" w:pos="1300"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margining securities or loans secured by, or pledges of, securities;</w:t>
      </w:r>
    </w:p>
    <w:p>
      <w:pPr>
        <w:spacing w:after="0" w:line="2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contributing securities to a family trust or other estate planning transactions;</w:t>
      </w:r>
    </w:p>
    <w:p>
      <w:pPr>
        <w:spacing w:after="0" w:line="15" w:lineRule="exact"/>
        <w:rPr>
          <w:rFonts w:ascii="Times New Roman" w:cs="Times New Roman" w:eastAsia="Times New Roman" w:hAnsi="Times New Roman"/>
          <w:sz w:val="22"/>
          <w:szCs w:val="22"/>
          <w:color w:val="auto"/>
        </w:rPr>
      </w:pPr>
    </w:p>
    <w:p>
      <w:pPr>
        <w:ind w:left="1300" w:right="40" w:hanging="320"/>
        <w:spacing w:after="0" w:line="243" w:lineRule="auto"/>
        <w:tabs>
          <w:tab w:leader="none" w:pos="1295"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a diversification election of restricted stock into a deferred compensation account or investing activities in a stock fund in the deferred compensation plan; and</w:t>
      </w:r>
    </w:p>
    <w:p>
      <w:pPr>
        <w:ind w:left="1300" w:hanging="320"/>
        <w:spacing w:after="0"/>
        <w:tabs>
          <w:tab w:leader="none" w:pos="1300"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any other transfer not expressly permitted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does not apply to the following types of transactions:</w:t>
      </w:r>
    </w:p>
    <w:p>
      <w:pPr>
        <w:spacing w:after="0" w:line="233" w:lineRule="exact"/>
        <w:rPr>
          <w:sz w:val="20"/>
          <w:szCs w:val="20"/>
          <w:color w:val="auto"/>
        </w:rPr>
      </w:pPr>
    </w:p>
    <w:p>
      <w:pPr>
        <w:ind w:left="1300" w:hanging="320"/>
        <w:spacing w:after="0"/>
        <w:tabs>
          <w:tab w:leader="none" w:pos="1300"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initiating or changing payroll deductions in an employee stock purchase or sharesave plan;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40" w:right="379" w:bottom="1440" w:gutter="0" w:footer="0" w:header="0"/>
        </w:sectPr>
      </w:pPr>
    </w:p>
    <w:bookmarkStart w:id="349" w:name="page350"/>
    <w:bookmarkEnd w:id="349"/>
    <w:p>
      <w:pPr>
        <w:spacing w:after="0" w:line="158" w:lineRule="exact"/>
        <w:rPr>
          <w:sz w:val="20"/>
          <w:szCs w:val="20"/>
          <w:color w:val="auto"/>
        </w:rPr>
      </w:pPr>
    </w:p>
    <w:p>
      <w:pPr>
        <w:ind w:left="1300" w:hanging="320"/>
        <w:spacing w:after="0"/>
        <w:tabs>
          <w:tab w:leader="none" w:pos="1300"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to reinvest cash dividends in Comcast stock pursuant to an existing dividend reinvestment plan; or</w:t>
      </w:r>
    </w:p>
    <w:p>
      <w:pPr>
        <w:spacing w:after="0" w:line="29" w:lineRule="exact"/>
        <w:rPr>
          <w:rFonts w:ascii="Times New Roman" w:cs="Times New Roman" w:eastAsia="Times New Roman" w:hAnsi="Times New Roman"/>
          <w:sz w:val="22"/>
          <w:szCs w:val="22"/>
          <w:color w:val="auto"/>
        </w:rPr>
      </w:pPr>
    </w:p>
    <w:p>
      <w:pPr>
        <w:jc w:val="both"/>
        <w:ind w:left="1300" w:right="500" w:hanging="320"/>
        <w:spacing w:after="0" w:line="251" w:lineRule="auto"/>
        <w:tabs>
          <w:tab w:leader="none" w:pos="1295"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exercising a stock option that is scheduled to expire during a blackout period, provided that, Comcast’s Chief Legal Officer or his designee first grants you permission to do so and you do not sell any Company securities acquired upon exercising such stock option.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 10b5-1 Trading Plans</w:t>
      </w:r>
    </w:p>
    <w:p>
      <w:pPr>
        <w:spacing w:after="0" w:line="2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 xml:space="preserve">Persons subject to the quarterly blackout periods and/or pre-clearance procedures may consider entering into a written Rule 10b5-1 trading plan with respect to Comcast stock. All persons subject to the quarterly blackout periods and/or pre-clearance procedures who wish to enter into a Rule 10b5-1 trading plan must first pre-clear the plan with Comcast’s Chief Legal Officer or his or her designee as required by our Rule 10b5-1 Trading Plan Policy. Trades in Comcast stock pursuant to a Rule 10b5-1 trading plan that is entered into in accordance with our Rule 10b5-1 Trading Plan Policy may be effected during a quarterly blackout period and without further pre-clearance. Our Rule 10b5-1 Trading Plan Policy is attached as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Post-Employment Transactions</w:t>
      </w:r>
    </w:p>
    <w:p>
      <w:pPr>
        <w:spacing w:after="0" w:line="237"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22"/>
          <w:szCs w:val="22"/>
          <w:color w:val="auto"/>
        </w:rPr>
        <w:t>Even after a person’s employment terminates, he or she may not trade in Company securities while aware of any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Rule 10b5-1 Trading Plan Policy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U.S. federal securities laws and the Code of Conduct of Comcast Corporation and its subsidiaries prohibit the purchase or sale of company securities on the basis of material nonpublic information about the securities of the company. As described below, Rule 10b5-1 under the U.S. Securities Exchange Act of 1934, as amended (the “Exchange Act”), may provide a “safe harbor” under which transactions in company securities will not be deemed in violation of this “insider trading” prohibition. Comcast has adopted this policy to set forth the terms and conditions under which it will permit employees and directors who are subject to its Blackout Period and Pre-Clearance Policy (“Covered Persons”)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to enter into trading plans under Rule 10b5-1.</w:t>
      </w:r>
      <w:r>
        <w:rPr>
          <w:rFonts w:ascii="Times New Roman" w:cs="Times New Roman" w:eastAsia="Times New Roman" w:hAnsi="Times New Roman"/>
          <w:sz w:val="28"/>
          <w:szCs w:val="28"/>
          <w:color w:val="auto"/>
          <w:vertAlign w:val="superscript"/>
        </w:rPr>
        <w:t>2</w:t>
      </w:r>
    </w:p>
    <w:p>
      <w:pPr>
        <w:spacing w:after="0" w:line="12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Under Rule 10b5-1, the U.S. Securities and Exchange Commission (“SEC”) provides a tool for managing the risk of insider trading by establishing an affirmative defense so that purchases and sales of securities which satisfy the objective and subjective conditions of the rule will not be deemed made “on the basis of” material nonpublic information. The tool can be a binding contract, an instruction to another person to purchase or sell securities or a written plan to purchase or sell securities, in each case that complies with all the applicable requirements of Rule 10b5-1. Any such binding contract, instruction or written plan, referred to in this policy as a “Trading Plan,” must also comply with the more restrictive provisions of this policy.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Types of Trading Plans Permitted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Trading Plan must:</w:t>
      </w:r>
    </w:p>
    <w:p>
      <w:pPr>
        <w:spacing w:after="0" w:line="260" w:lineRule="exact"/>
        <w:rPr>
          <w:sz w:val="20"/>
          <w:szCs w:val="20"/>
          <w:color w:val="auto"/>
        </w:rPr>
      </w:pPr>
    </w:p>
    <w:p>
      <w:pPr>
        <w:ind w:left="1300" w:hanging="644"/>
        <w:spacing w:after="0"/>
        <w:tabs>
          <w:tab w:leader="none" w:pos="1300"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amount, price and date of purchases or sales of securities,</w:t>
      </w:r>
    </w:p>
    <w:p>
      <w:pPr>
        <w:spacing w:after="0" w:line="27" w:lineRule="exact"/>
        <w:rPr>
          <w:rFonts w:ascii="Times New Roman" w:cs="Times New Roman" w:eastAsia="Times New Roman" w:hAnsi="Times New Roman"/>
          <w:sz w:val="22"/>
          <w:szCs w:val="22"/>
          <w:color w:val="auto"/>
        </w:rPr>
      </w:pPr>
    </w:p>
    <w:p>
      <w:pPr>
        <w:ind w:left="1300" w:right="200" w:hanging="644"/>
        <w:spacing w:after="0" w:line="243" w:lineRule="auto"/>
        <w:tabs>
          <w:tab w:leader="none" w:pos="1300"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formula or other method for determining the amount, price and date of purchases or sales of securities, or</w:t>
      </w:r>
    </w:p>
    <w:p>
      <w:pPr>
        <w:ind w:left="1300" w:hanging="644"/>
        <w:spacing w:after="0"/>
        <w:tabs>
          <w:tab w:leader="none" w:pos="1300"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any subsequent influence over how, when or whether to effect purchases or sales of securities.</w:t>
      </w:r>
    </w:p>
    <w:p>
      <w:pPr>
        <w:spacing w:after="0" w:line="22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A Trading Plan may provide for the exercise of stock options, the sale of shares acquired from a stock option exercise, or the sale of restricted stock upon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459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14" w:lineRule="exact"/>
        <w:rPr>
          <w:sz w:val="20"/>
          <w:szCs w:val="20"/>
          <w:color w:val="auto"/>
        </w:rPr>
      </w:pPr>
    </w:p>
    <w:p>
      <w:pPr>
        <w:ind w:right="80" w:firstLine="8"/>
        <w:spacing w:after="0" w:line="229" w:lineRule="auto"/>
        <w:tabs>
          <w:tab w:leader="none" w:pos="103" w:val="left"/>
        </w:tabs>
        <w:numPr>
          <w:ilvl w:val="0"/>
          <w:numId w:val="4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of Comcast’s directors and executive officers are Covered Persons. Comcast’s Chief Legal Officer or his designee determines which other employees are Covered Persons and communicates information regarding blackout periods to Covered Persons at least quarterly.</w:t>
      </w:r>
    </w:p>
    <w:p>
      <w:pPr>
        <w:spacing w:after="0" w:line="225" w:lineRule="exact"/>
        <w:rPr>
          <w:sz w:val="20"/>
          <w:szCs w:val="20"/>
          <w:color w:val="auto"/>
        </w:rPr>
      </w:pPr>
    </w:p>
    <w:p>
      <w:pPr>
        <w:ind w:firstLine="8"/>
        <w:spacing w:after="0" w:line="239" w:lineRule="auto"/>
        <w:tabs>
          <w:tab w:leader="none" w:pos="103" w:val="left"/>
        </w:tabs>
        <w:numPr>
          <w:ilvl w:val="0"/>
          <w:numId w:val="4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 employee who is not subject to Comcast’s Blackout Period and Pre-Clearance Policy may enter into a Rule 10b5-1 trading plan consistent with the requirements set forth in this policy without Comcast’s pre-clearance. Such employee must (i) enter into, modify or terminate such trading plan only when not aware of any material nonpublic information about the securities of the company and (ii) comply with all other requirements of this policy applicable to Non-Section 16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40" w:right="359" w:bottom="1440" w:gutter="0" w:footer="0" w:header="0"/>
        </w:sectPr>
      </w:pPr>
    </w:p>
    <w:bookmarkStart w:id="351" w:name="page352"/>
    <w:bookmarkEnd w:id="351"/>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Limitations on When a Covered Person May Enter into a Trading Plan</w:t>
      </w:r>
    </w:p>
    <w:p>
      <w:pPr>
        <w:spacing w:after="0" w:line="26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1"/>
          <w:szCs w:val="21"/>
          <w:color w:val="auto"/>
        </w:rPr>
        <w:t>A Covered Person may enter into a Trading Plan only during a “Permitted Time,” which is a time when the person can otherwise purchase or sell securities under the Blackout Period and Pre-Clearance Policy and the Insider Trading and Stock Tipping Policy (i.e., not during a quarterly blackout period, event-specific blackout period or otherwise when the person is aware of material nonpublic information). A Covered Person must (i) enter into a Trading Plan in good faith and not as part of a plan or scheme to evade the insider trading laws or Comcast policy</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and (ii) act in good faith with respect to a Trading Plan throughout its duration.</w:t>
      </w:r>
    </w:p>
    <w:p>
      <w:pPr>
        <w:spacing w:after="0" w:line="9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2"/>
          <w:szCs w:val="22"/>
          <w:color w:val="auto"/>
        </w:rPr>
        <w:t>A Covered Person may not enter into more than two Trading Plans in any calendar year. In addition, if a Trading Plan is only for one trade (i.e., a single-trade plan), a Covered Person may not enter into another Trading Plan within a 12-month period following the adoption of such Trading Plan.</w:t>
      </w:r>
    </w:p>
    <w:p>
      <w:pPr>
        <w:spacing w:after="0" w:line="1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Rule 10b5-1 does not permit a person to enter into or alter a corresponding or hedging transaction or position with respect to the securities contained in a Trading Plan, and a Covered Person may not enter into multiple overlapping trading plans, i.e., plans that are designed to set up pre-existing hedged trading programs.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Pre-Clearance of Trading Plans</w:t>
      </w:r>
    </w:p>
    <w:p>
      <w:pPr>
        <w:spacing w:after="0" w:line="2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A Covered Person must obtain written pre-clearance from Comcast’s Chief Legal Officer or his or her designee before entering into a Trading Plan. Upon request, Comcast will (i) provide a Covered Person’s broker with a letter attaching a current copy of this policy and (ii) acknowledge to a Covered Person’s broker that the Covered Person may then enter into a Trading Plan (i.e., it is then a Permitted Time). It is the Covered Person’s, and his or her broker’s, responsibility to assure that a Trading Plan complies with this policy. Comcast is not required to approve a Trading Plan, sign any Trading Plan documents (other than for the purpose of the acknowledgement specified above) or provide any representations or indemnities to a Covered Person or his or her broker. Comcast reserves the right, however, to pre-approve a Trading Plan. Pre-clearance by Comcast’s Chief Legal Officer or his or her designee for a Covered Person to enter into a Trading Plan will not be deemed confirmation that the Trading Plan complies with this policy. However, a Trading Plan with Comcast’s stock plan administrator shall be deemed in compliance with this policy.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Cooling-Off Periods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Section 16 Insiders</w:t>
      </w:r>
    </w:p>
    <w:p>
      <w:pPr>
        <w:spacing w:after="0" w:line="2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first trade under a Trading Plan for Section 16 Insiders may not occur until the later of (i) 90 calendar days following the date on which the Trading Plan is entered into or modified or (ii) two business days following the filing of the Annual Report on Form 10-K (the “10-K”) or Quarterly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22"/>
          <w:szCs w:val="22"/>
          <w:color w:val="auto"/>
        </w:rPr>
        <w:t>Report on Form 10-Q (the “10-Q”) if a Trading Plan is entered into or modified during the quarterly period covered by the 10-K or 10-Q.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Non-Section 16 Insiders</w:t>
      </w:r>
    </w:p>
    <w:p>
      <w:pPr>
        <w:spacing w:after="0" w:line="25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The first trade under a Trading Plan for employees other than Section 16 Insiders (“Non-Section 16 Insiders”) may not occur until on or after 30 calendar days following the date on which the Trading Plan is adopted or modified.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 on When a Covered Person May Modify or Terminate a Trading Plan</w:t>
      </w:r>
    </w:p>
    <w:p>
      <w:pPr>
        <w:spacing w:after="0" w:line="25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1"/>
          <w:szCs w:val="21"/>
          <w:color w:val="auto"/>
        </w:rPr>
        <w:t>A Covered Person may modify or terminate a Trading Plan only (i) during a Permitted Time and (ii) with the prior written approval of both Comcast’s Chief Legal Officer and Chief Financial Officer. The approving persons shall determine, in their sole judgment and at their sole discretion, whether the proposed modification or termination is appropriate under the circumstances.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Suspension</w:t>
      </w:r>
    </w:p>
    <w:p>
      <w:pPr>
        <w:spacing w:after="0" w:line="25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All Trading Plans must permit Comcast to suspend purchases and sales of securities if Comcast notifies the broker that such a suspension is required by law, regulation or court order, if this policy is amended or if other events occur that would prohibit sales under such Trading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Public Disclosure</w:t>
      </w:r>
    </w:p>
    <w:p>
      <w:pPr>
        <w:spacing w:after="0" w:line="25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Comcast is required to publicly disclose in its periodic reports under the Exchange Act the adoption, modification or termination of Trading Plans by Section 16 Insiders, including the identity of the Section 16 Insider and a description of the material terms of a Trading Plan (e.g. date of adoption or termination, duration and the aggregate amount of securities to be sold or purchased under the Trading Plan). If applicable, Comcast must also publicly disclose in its periodic reports any trading plans adopted or terminated by any Section 16 Insiders, whether or not adopted under Rule 10b5-1, along with a description of their material terms.</w:t>
      </w:r>
    </w:p>
    <w:p>
      <w:pPr>
        <w:spacing w:after="0" w:line="208"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2"/>
          <w:szCs w:val="22"/>
          <w:color w:val="auto"/>
        </w:rPr>
        <w:t>Adoption of a Trading Plan does not eliminate the need for filing with the SEC of Forms 4 or 144, if otherwise required. Persons who file Forms 4 must check a box indicating that a transaction was made pursuant to a Trading Plan. Forms 144 are valid only for 90 days and persons who file Forms 144 in connection with a Trading Plan must indicate on the Form 144 (in the applicable location) the date of the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Annex C</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Repurchase Procedures of Comcast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2"/>
          <w:szCs w:val="22"/>
          <w:color w:val="auto"/>
        </w:rPr>
        <w:t>From time to time, the Board of Directors of Comcast Corporation may authorize (i) one or more programs to repurchase its Class A common stock (the “common stock”) and (ii) repurchases of debt securities of Comcast and its subsidiaries (together with the common stock, the “securities”). Management is typically delegated authority to determine the size, manner and timing of such repurchases, subject to the terms of the applicable authorization. At management’s direction, repurchases of securities may be effected in the open market or in private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Common Stock</w:t>
      </w:r>
    </w:p>
    <w:p>
      <w:pPr>
        <w:spacing w:after="0" w:line="3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Comcast may repurchase its common stock in accordance with the Board’s authorization, including through trading arrangements that are intended to satisfy Rule 10b5-1 of the U.S. Securities Exchange Act of 1934 (each a “Rule 10b5-1 trading arrangement”) or otherwise. During a quarterly or event-specific blackout period under Comcast’s Blackout Period and Pre-Clearance Policy, Comcast may repurchase its common stock solely pursuant to then-existing Rule 10b5-1 trading arrangements, unless otherwise approved by the Chief Legal Officer. The President, the Chief Financial Officer and the Chief Legal Officer must determine that there is no material non-public information with respect to the common stock before the Company adopts a Rule 10b5-1 trading arrangement and must otherwise approve repurchases of common stock other than pursuant to a Rule 10b5-1 trading arrangement. As any deem appropriate, in their discretion, such officers may communicate with other knowledgeable Comcast officers in making such determination. Repurchases of common stock should be generally designed to satisfy the non-exclusive safe harbor of Rule 10b-18 of the Exchange Act and be made in compliance with applicable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Debt Securities</w:t>
      </w:r>
    </w:p>
    <w:p>
      <w:pPr>
        <w:spacing w:after="0" w:line="3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1"/>
          <w:szCs w:val="21"/>
          <w:color w:val="auto"/>
        </w:rPr>
        <w:t>Comcast may repurchase its debt securities from time to time in such amounts as determined in accordance with Comcast policies after confirming with the Chief Legal Officer and Chief Financial Officer. This procedure does not apply to redemptions.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sectPr>
      </w:pPr>
    </w:p>
    <w:bookmarkStart w:id="354" w:name="page355"/>
    <w:bookmarkEnd w:id="354"/>
    <w:p>
      <w:pPr>
        <w:ind w:left="10360"/>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State/Country of Organization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&gt;NBBC,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1440 Ontario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1440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1440 Productions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1440 Quebec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1701 JFK Boulevard,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170151 DCA Investment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170151 DCA Investment,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18A Hotel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18th &amp; Arch Hotel,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18th &amp; Arch Street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18th &amp; Arch Street Limited,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18th &amp; Arch,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19A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19th &amp; Arch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19th &amp; Arch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19th &amp; Arch,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1X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 Baked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3BG Holdings Company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3BG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ABB RFL,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Abigail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Active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Advanced 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AF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Agreed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Albatros Datenservice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Albatros Solutions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All Her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All That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Alpine Hideaway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Alternate Reality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Alternative Studio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American Cablesystems Northeast, a Limited Partnership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Ancient Futures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ANF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Arcadia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Arcadia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Ash Dance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Asia NBC (ANBC)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Athena Discovery Labs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Athletes Direct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14" w:right="319" w:bottom="1440" w:gutter="0" w:footer="0" w:header="0"/>
        </w:sectPr>
      </w:pPr>
    </w:p>
    <w:bookmarkStart w:id="355" w:name="page356"/>
    <w:bookmarkEnd w:id="35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Attheraces Holdings Limited</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Attheraces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AWTV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AWTV,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B5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Bad Behaviour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Baking Show,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Barricade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Barter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Battleship Delta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BD2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Beautiful Day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Beeswax.io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Beijing International Resort Co.,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Beshert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Dipper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Idea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Idea.com,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Minyan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CT</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Sky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Smoke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Billy National Tour General Partner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Billy National Tour II General Partner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Birmingham Broadcasting (WVTM 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Blast !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Blastr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Bleecker Production Services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 Face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 Moon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Blueface Italia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Blueface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Blueface 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Bluerace,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BluVector,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Boardwalk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Bobwell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Bone Appetite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Boomerang Media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Boomerang Media Holdings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Bourne Again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Bourne Film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Box Hill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Media Productions Game of Crowns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56" w:name="page357"/>
    <w:bookmarkEnd w:id="35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Peacock Music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Platinum Hit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TV New Zealand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Bring It On The Musical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Broken Seal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BRS Golf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Bullwinkle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Business News (Asia) 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Business News (Europe) Partnership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Butterfly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Cabin Fever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Cable Television of Gary,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Cablevision Associates of Gary Joint Venture</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Cablevision Investment of Detroit,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CACO Holding Company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Callisto Media West,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Canciones de NBC Universo,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Cardinal Rule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Carnival (Charles Dickens)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Carnival (DAX)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Carnival Film &amp;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Carnival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Carnival Productions Two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Carnivores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Castle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Catalina Content,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CBS Holdco,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CC Holdco,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Centenary Canada Holding Company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Central Moon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Central Moon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Century-TCI California Communications,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Century-TCI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Charlie’s Tale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Charlie’s Tale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Chester Films Productions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Chimp Simple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CityWalk Hollywood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Clara Film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 of 07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Feature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Media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Media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Media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57" w:name="page358"/>
    <w:bookmarkEnd w:id="35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Services II,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Services,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Cloud Wing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CNBC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CNBC Advertising (Shanghai) Co.,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CNBC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CNBC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CNBC Productions of Louisiana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CNBC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CNBC World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Colt 87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 Indiana,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 Indianapolis,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 South,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ABB Business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ABB Note Consolidation,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ABB of Georgia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AG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Amateur Sports,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Baseball Investment,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Bidco Holdings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Bidco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Broadband Security,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Class Security of MA,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Class Security,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Communications Canada,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Ireland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Communications Canada,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Communications Management,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EP Services,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Funding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of Indiana,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of Indiana/Michigan/Texas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of Maryland,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Cablevision of Southeast Michigan,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California Collection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Capital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Capital International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CBRS,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CCH Subsidiary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CCW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CHC Subsidiary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CHC,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58" w:name="page359"/>
    <w:bookmarkEnd w:id="35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Children’s Network Holdings,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CMCSA International Spain, S.L.U.</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Commercial Services Group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Connected Health,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Contribution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Corporate Services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CSA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CV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CV,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DC Radio,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ENG,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Financial Agency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Funding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Garden State,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Gary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Government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Hockey Investment,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Hockey,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Holdings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Holdings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Horror Entertainment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Houston Advertising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Hulu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ICCP,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 Demand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India Engineering Center I 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India US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Interactive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Australia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Canada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France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Germany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Holdings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Italy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Singapore PTE.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IP Holdings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IP Phone of Missouri,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IP Phone of Oregon,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IP Phone,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LA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LCP,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Midcontinent,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Cable News,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Digital Radio,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Financial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of Burnsville/Eagan,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MN</w:t>
            </w:r>
          </w:p>
        </w:tc>
      </w:tr>
    </w:tbl>
    <w:p>
      <w:pPr>
        <w:sectPr>
          <w:pgSz w:w="11900" w:h="16838" w:orient="portrait"/>
          <w:cols w:equalWidth="0" w:num="1">
            <w:col w:w="11260"/>
          </w:cols>
          <w:pgMar w:left="320" w:top="1440" w:right="319" w:bottom="1440" w:gutter="0" w:footer="0" w:header="0"/>
        </w:sectPr>
      </w:pPr>
    </w:p>
    <w:bookmarkStart w:id="359" w:name="page360"/>
    <w:bookmarkEnd w:id="35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Real Estate, Inc.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SPC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SPC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MVNO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Navy Acquisition,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Navy Contribution,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Navy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NECN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Neptune Illinois, PLLC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New Media Development,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Alabama,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Alameda,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Arizona,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Arkansas/Louisiana/Minnesota/Mississippi/Tennessee,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Avalon,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Baltimore City,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Boston,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Brockton,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Burlington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IV,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IX,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X,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XI,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XII,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XIII,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XV,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California/Colorado,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California/Colorado/Florida/Oregon,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California/Colorado/Illinois/Indiana/Michigan,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California/Connecticut/Michigan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California/Idaho,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California/Illinois,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California/Maryland/Pennsylvania/Virginia/West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California/Massachusetts/Michigan/Utah,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Carolina,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SC</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Central New Jersey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Central New Jersey,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Chicago,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Clinton,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bl>
    <w:p>
      <w:pPr>
        <w:sectPr>
          <w:pgSz w:w="11900" w:h="16838" w:orient="portrait"/>
          <w:cols w:equalWidth="0" w:num="1">
            <w:col w:w="11260"/>
          </w:cols>
          <w:pgMar w:left="320" w:top="1440" w:right="319" w:bottom="1440" w:gutter="0" w:footer="0" w:header="0"/>
        </w:sectPr>
      </w:pPr>
    </w:p>
    <w:bookmarkStart w:id="360" w:name="page361"/>
    <w:bookmarkEnd w:id="36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Colorado IX,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Colorado/Pennsylvania/West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Connecticut,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OK</w:t>
            </w:r>
          </w:p>
        </w:tc>
      </w:tr>
      <w:tr>
        <w:trPr>
          <w:trHeight w:val="187"/>
        </w:trPr>
        <w:tc>
          <w:tcPr>
            <w:tcW w:w="746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Comcast of Connecticut/Georgia/Massachusetts/New Hampshire/New York/North</w:t>
            </w:r>
          </w:p>
        </w:tc>
        <w:tc>
          <w:tcPr>
            <w:tcW w:w="380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DE</w:t>
            </w:r>
          </w:p>
        </w:tc>
      </w:tr>
      <w:tr>
        <w:trPr>
          <w:trHeight w:val="252"/>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Carolina/Virginia/Vermont, LLC</w:t>
            </w:r>
          </w:p>
        </w:tc>
        <w:tc>
          <w:tcPr>
            <w:tcW w:w="3800" w:type="dxa"/>
            <w:vAlign w:val="bottom"/>
            <w:tcBorders>
              <w:bottom w:val="single" w:sz="8" w:color="auto"/>
              <w:right w:val="single" w:sz="8" w:color="auto"/>
            </w:tcBorders>
          </w:tcPr>
          <w:p>
            <w:pPr>
              <w:spacing w:after="0"/>
              <w:rPr>
                <w:sz w:val="21"/>
                <w:szCs w:val="2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Cupertino,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Davis County,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Detroit</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Detroit,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East San Fernando Valley,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Elkton,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Flint,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Florida/Georgia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Fort Wayne Limited Partnership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Fresno,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Garden State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Georgia/Illinois/Michigan,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Georgia/Massachusetts,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Georgia/South Carolina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Georgia/South Carolina,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Gloucester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Grosse Pointe,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Harford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Houston,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Howard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III,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IV,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IX,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V,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VI,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VII,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VIII,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X,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XI,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XII,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NJ</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XIII,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AZ</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Illinois/Indiana,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Illinois/Indiana/Michigan,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Illinois/Indiana/Ohio,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Illinois/Ohio/Oregon,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Illinois/West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61" w:name="page362"/>
    <w:bookmarkEnd w:id="36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Indiana/Kentucky/Utah,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Indiana/Michigan,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Indiana/Michigan/Pennsylvania,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Indianapolis,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Indianapolis,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Inkster,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Jersey City,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Laurel,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Lawrence,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Levittown,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Lompoc,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Long Beach Island,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Louisiana/Mississippi/Texas,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Lower Merion,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Macomb,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Maine/New Hampshire,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NH</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Maryland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Maryland Limited Partnership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Maryland,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Massachusetts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Massachusetts III,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Massachusetts/Virginia,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Mercer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Meridian,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 III,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 IV,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Michigan/Mississippi/Tennessee,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Milton,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Minnesota,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Minnesota/Wisconsin,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Mississippi Call Center,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Missouri,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Monmouth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Mt. Clemens,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Muncie,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Muncie,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Muskegon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Nashville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Nashville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Needham,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Hampshire,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Jersey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Jersey,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NJ</w:t>
            </w:r>
          </w:p>
        </w:tc>
      </w:tr>
    </w:tbl>
    <w:p>
      <w:pPr>
        <w:sectPr>
          <w:pgSz w:w="11900" w:h="16838" w:orient="portrait"/>
          <w:cols w:equalWidth="0" w:num="1">
            <w:col w:w="11260"/>
          </w:cols>
          <w:pgMar w:left="320" w:top="1440" w:right="319" w:bottom="1440" w:gutter="0" w:footer="0" w:header="0"/>
        </w:sectPr>
      </w:pPr>
    </w:p>
    <w:bookmarkStart w:id="362" w:name="page363"/>
    <w:bookmarkEnd w:id="36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Mexico,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Mexico/Pennsylvania,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York,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Northern California 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Northern Illinois,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Northern Indiana,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Northwest New Jersey,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Novato,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OR</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Ocean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Ohio,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OH</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Oregon 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Oregon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 II,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Pennsylvania/Maryland,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Philadelphia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Philadelphia,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Plainfield,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Potomac,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Richmond,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Sacramento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Sacramento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Sacramento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San Joaquin,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San Leandro,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Santa Cruz,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Santa Maria,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Shelby,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Sierra Valleys,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 Chicago,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 Jersey,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Southeast 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Southern California,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OR</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Southern Illinois,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Southern Mississippi,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Southern New England,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Southern Tennessee,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St. Paul,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Sterling Heights,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Taylor,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Tennessee,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the District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the District,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DC</w:t>
            </w:r>
          </w:p>
        </w:tc>
      </w:tr>
    </w:tbl>
    <w:p>
      <w:pPr>
        <w:sectPr>
          <w:pgSz w:w="11900" w:h="16838" w:orient="portrait"/>
          <w:cols w:equalWidth="0" w:num="1">
            <w:col w:w="11260"/>
          </w:cols>
          <w:pgMar w:left="320" w:top="1440" w:right="319" w:bottom="1440" w:gutter="0" w:footer="0" w:header="0"/>
        </w:sectPr>
      </w:pPr>
    </w:p>
    <w:bookmarkStart w:id="363" w:name="page364"/>
    <w:bookmarkEnd w:id="3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the Meadowlands,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the South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the South,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Tupelo,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Utah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Utah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Utica,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Warren,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Wasatch,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West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Wildwood,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Wisconsin,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OTR1,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Palm Beach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Philadelphia Corporation IV East</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Philadelphia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Alabama,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Arizona,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Arkansas,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California,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Central Indiana,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Colorado,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Connecticut,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D.C.,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Delaware,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Florida,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Georgia,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Idaho,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Illinois,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Iowa,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Kansas,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Kentucky,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Louisiana,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Maine,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Massachusetts,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Minnesota,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Mississippi,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Missouri,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Montana,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Nebraska,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Nevada,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New Hampshire,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New Mexico,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New York,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64" w:name="page365"/>
    <w:bookmarkEnd w:id="36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North Carolina,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North Dakota,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Northern Maryland,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Ohio,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Oklahoma,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Oregon,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Rhode Island,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South Carolina,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SC</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South Dakota,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Tennessee,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Texas,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Utah,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Vermont,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Washington,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West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Wisconsin,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Programming Management,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Programming Ventures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Programming Ventures 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PSM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PSM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QCOM TV Partners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RL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Sky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Sky Intermediate Holdings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Snap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Snap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Spectacor Events,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Spectacor Holding Company,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Spectacor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Spectacor,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 Management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 NY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Bay Area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California,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Chicago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NE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New England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New England,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Philadelphia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Philadelphia,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Spotlight Charter Cable Advertising,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STB Software MOT,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65" w:name="page366"/>
    <w:bookmarkEnd w:id="36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STB Software TW,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Technology Solutions,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Technology,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Ventures,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Warranty and Home Insurance Agency,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XSG,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Comcast/Charter Master Cable Advertising,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Community Realty,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Compound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Conditional Access Licensing,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Corpus Vivos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Cotham Hill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Covert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CP Entertainment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Crazy Hill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Creative Interactive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Creative Park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Creative Screen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Creative Writing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Critical Incident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Crossover Connect,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Development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DPS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eSports Korea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Korea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Fusion Investors,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KJV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Phase Two Investors,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Philadelphia Lacrosse Team,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Philadelphia OW Team,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PL Investors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CSLP Phase One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CSLP Phase One Investor,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CSLP Phase One Operator,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CSNNE Partner,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CTC Concourse,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Curlew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Cymru International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Daily Essentials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DailyCandy Commerce,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DailyCandy,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Dame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Dame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Dark Room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bl>
    <w:p>
      <w:pPr>
        <w:sectPr>
          <w:pgSz w:w="11900" w:h="16838" w:orient="portrait"/>
          <w:cols w:equalWidth="0" w:num="1">
            <w:col w:w="11260"/>
          </w:cols>
          <w:pgMar w:left="320" w:top="1440" w:right="319" w:bottom="1440" w:gutter="0" w:footer="0" w:header="0"/>
        </w:sectPr>
      </w:pPr>
    </w:p>
    <w:bookmarkStart w:id="366" w:name="page367"/>
    <w:bookmarkEnd w:id="36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Dark Universe Productions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Deep Blue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Deer Park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Defying Gravity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Del Mar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Delgany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Delta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Desert Fox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Diagonal View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Diary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Digital Golf Solutions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Direct Alternative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Directed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Dirt Road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Discos Telemundo,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Discover a Star</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DM4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 3000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Home Entertainment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Home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Hong Kong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International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Licensing,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Live Theatrical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Online,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Television Post-Production,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Distribution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MCN,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Post-Production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DTC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 Animation Ireland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Film Productions II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Film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Finance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Glendale Properties,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III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International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International Television Properties,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Kids,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Live Stage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NV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Dylan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67" w:name="page368"/>
    <w:bookmarkEnd w:id="36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Entertainment Servicios, S. de R.L. de C.V.</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Digital Lab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Entertainment Audiovisual Servicos e Representacoes Ltda.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Entertainment Mexico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Entertainment Mexico,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Entertainment Television International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Entertainment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LatAm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Networks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Earth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El Paradiso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Enterprise Corporate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Entertainment for All,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Entertainment Rights US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Entertainment Systems,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Estrella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Estudios Mexicanos Telemundo, S.A.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ETV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Evelyn Bay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Evergreen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Exclamation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Exhibition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Exmont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Explorer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Exposure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EZLinks Golf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EZLinks Golf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F10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Fab 5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Factual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Family Insight,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Fandango at Home,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Fandango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Fandango Loyalty Solutions,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Fandango Marketing,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Fandango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Fandango Merchandising,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Fantail Funding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Far North Entertainment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Faraway Connections,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Farraday Films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Fast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FeiWeiMeiDi Information Technology (Beijing) Co.,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bl>
    <w:p>
      <w:pPr>
        <w:sectPr>
          <w:pgSz w:w="11900" w:h="16838" w:orient="portrait"/>
          <w:cols w:equalWidth="0" w:num="1">
            <w:col w:w="11260"/>
          </w:cols>
          <w:pgMar w:left="320" w:top="1440" w:right="319" w:bottom="1440" w:gutter="0" w:footer="0" w:header="0"/>
        </w:sectPr>
      </w:pPr>
    </w:p>
    <w:bookmarkStart w:id="368" w:name="page369"/>
    <w:bookmarkEnd w:id="36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Feline Productions Limited</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FF5 Productions Canada,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FF8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FF9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FF9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FFSO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FFSO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Filmmaker Production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Filmmaker Studio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Fireball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First Alternative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First Man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First Podcast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Fitness Video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Flagship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Flock of Peacocks Music JV/ASCAP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Fluency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Fly Town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Flyers Skate Zone,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FM Production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FNV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Focus Features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Focus Features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Focus Features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For Games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Forecast Fund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Forecast Labs,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FPS Rink,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FPS Rink,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FPS Urban Renewal,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NJ</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FreeWheel Advertisers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FreeWheel Advertisers,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FreeWheel Media,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Friedgold Talent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Front Page News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FTNV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Future Platform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G4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G4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G4 Studio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Gable Films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Gable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Gadget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Gamut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Gatto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Genacast Ventures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69" w:name="page370"/>
    <w:bookmarkEnd w:id="36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Genacast Ventures,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Adam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Amalgamation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BC Effects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Blockbuster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Chucky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Cope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Crime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CZ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Fault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Gacy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Hatch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Hindsight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Hunting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Impulse C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Innocence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Irrational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Issues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Laid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Liars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MBTB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Monk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Nye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One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Ontario Effects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Podcast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Puddin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Quantum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Quebec Effects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Resident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Umbrella 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Umbrella B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Getting Away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GIGA Television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Gilmore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Glacier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Global Ad Sales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Global Advertising (Guangzhou) Co.,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Global Fiction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Global Post Workers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Gloss Mountain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Key Home Video,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Medal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Rush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70" w:name="page371"/>
    <w:bookmarkEnd w:id="37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Golfcolorado.com,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GolfNow Enterprises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Golfnow,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Good Machine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Good Machine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GOTJ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Gramercy Film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Gramercy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Grunewald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GTCR/Boomerang Holdings/B,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Harlan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Here We Go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Heyday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High Tea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Hilltop Coffee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Hilltop Hot Dogs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Hilltop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Hood 3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House of Gods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Housewives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Housing for Tomorrow Corp.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Houston SportsNet Finance,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Houston SportsNet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HTVP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Husdawg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iControl Networks,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IFH-U Holding B.V.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Illumination Entertainment Marketing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Illumination Studios Paris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Imagine Films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IMG-LA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Impossibly Simple,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Incuborn Solutions,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AZ</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Independent Fibre Retail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Indigo Development and Entertainment Arts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Infobonn Text-, Informations- und Pressebüro Verwaltungsgesellschaft 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Inittowinit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Insect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International Channel Pack Distribution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International Journeys,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International Media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Irreverent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It Had To Be Murder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Japan Productions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JB5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bl>
    <w:p>
      <w:pPr>
        <w:sectPr>
          <w:pgSz w:w="11900" w:h="16838" w:orient="portrait"/>
          <w:cols w:equalWidth="0" w:num="1">
            <w:col w:w="11260"/>
          </w:cols>
          <w:pgMar w:left="320" w:top="1440" w:right="319" w:bottom="1440" w:gutter="0" w:footer="0" w:header="0"/>
        </w:sectPr>
      </w:pPr>
    </w:p>
    <w:bookmarkStart w:id="371" w:name="page372"/>
    <w:bookmarkEnd w:id="37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Jet Tracks,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Joint Films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Jupiter Entertainment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Jupiter Entertainment North,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Jupiter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K25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Karaoke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Kempston Hardwick Developments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Kingsley Film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Knightly Film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KNSD Granite Ridge,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KNTV License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KNTV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Kvinde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 to UK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LAB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Lassie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Laurel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Lauren Film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Lava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Lenfest Jersey,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LEVL Parent,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License Holdings 17A,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License Holdings 18A,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Little Lotta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Logoring,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Lone Star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Long Branch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Love American Journeys,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Love Bugs Film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Love Minky Television Development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Love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Love Productions USA,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Low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LSS Football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LX Networks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 Brothers Film 2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 Brothers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MachineQ,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Magic Carpet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Magic Monday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Mammoth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Marital Assets,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Mark III Funding,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MarketLink Indianapolis Cable Advertising,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 Group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72" w:name="page373"/>
    <w:bookmarkEnd w:id="37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 Intermediate I, Inc.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 Intermediate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Cloud Communications,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Cloud UC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Communications India Private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Communications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Communications,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Comunicaciones S. de R.L.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Philippines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Matchbox Eureka One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Matchbox New Zealand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Matchbox Pictures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Matchbox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Mathgamain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MB2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MCA Toys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MCA Toys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MD Films PR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MDOA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Media Core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MediaNaviCo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Merchandising Company of America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Metrological Group B.V.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Metrological Media Innovations B.V.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Metrological Widgets B.V.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Michael Film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Migration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Minaret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Mins 2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Mins3 Production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Mirage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Monkey Business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Monkey Kids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Monkey Kingdom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Monkey Kingdom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Monkey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Moon Spin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MovieTickets.com Promotions,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MovieTickets.com,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MSNBC Cable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MSNBC Canada Distribution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MSNBC Music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MSNBC Super Desk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MTC Acquisition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Munchkinland Productions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73" w:name="page374"/>
    <w:bookmarkEnd w:id="37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Music of Syfy Channel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Music of USA Cable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Music of USA Network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Musica Telemundo,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Must See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MW Sports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National Center for Safety Initiatives,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(UK) Holdings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Enterprises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Facilities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Interactive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Network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News Archives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News Bureaus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News Channel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News Digital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News Worldwide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Olympics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Olympics Planning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Pageants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Palm Beach Investment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Palm Beach Investment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Program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Records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Shop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Sports Gold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Sports Mobile Apps,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Sports Network,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Sports Next,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Sports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Stations Management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Stations Management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Storage Management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 (WCMH),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Subsidiary (KNBC-TV)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Subsidiary (WCAU-TV),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Subsidiary (WMAQ-TV)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Subsidiary (WRC-TV)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Subsidiary (WTVJ-TV)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Syndication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Telemundo License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Telemundo License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Telemundo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TV Stations Sales &amp; Marketing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(Singapore) Holdings I Pte.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bl>
    <w:p>
      <w:pPr>
        <w:sectPr>
          <w:pgSz w:w="11900" w:h="16838" w:orient="portrait"/>
          <w:cols w:equalWidth="0" w:num="1">
            <w:col w:w="11260"/>
          </w:cols>
          <w:pgMar w:left="320" w:top="1440" w:right="319" w:bottom="1440" w:gutter="0" w:footer="0" w:header="0"/>
        </w:sectPr>
      </w:pPr>
    </w:p>
    <w:bookmarkStart w:id="374" w:name="page375"/>
    <w:bookmarkEnd w:id="37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(Singapore) Holdings II Pte. Ltd.</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Digital Solutions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Deutschland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España, S.L.U.</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France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Latin America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Management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International Television Distribution Germany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International Television Distribution Singapore Pte.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Networks International Brasil Ltda.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Television Japan,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Television Studio Digital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Universo Music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West,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NBC/Hearst-Argyle Syndication,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NBC/IJV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NBC-A&amp;E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NBCBoston Real Estate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NBC-NPN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NBCP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NBC-Rainbow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Acquisition 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Cable Entertainment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Corporate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Digital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Dutch Holding (US)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Emerging Networks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Global Networks Asia Pte.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New LLC I</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New LLC II</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New Site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Television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Ad Sales and Marketing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Asia,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Atlas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Cahuenga,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Content Commerce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Digital Enterprises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Digital Enterprises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Digital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Digital Lab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75" w:name="page376"/>
    <w:bookmarkEnd w:id="37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Enterprise, Inc.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Entertainment Japan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Fandango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Funding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Government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Networks Acquisitions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Networks Australia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Networks Holdings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Networks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Networks 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Operations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Television Distribution South Africa (Proprietary)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Media Distribution Services Private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Argentina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Argentina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Argentina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Brasil Programadora S.A.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Colombia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Colombia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Guatemala, Limitada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Guatemala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Mexico, S. de R.L.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Panama, S. de 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Panama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Spanish Latin America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Production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Production Support 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Real Estate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Shared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NBC-VVTV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NBC-VVTV2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NBC-West Coast Holding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NBC-West Coast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NBC-XFL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NCL 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Neos Ventures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 England Cable News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 Mexico Lighting &amp; Grip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NewCo Cable,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Newco OTS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News Worthy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Newsvine,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New-U Pictures Facilities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New-U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Next Pursuit,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76" w:name="page377"/>
    <w:bookmarkEnd w:id="37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NF Films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Night Fury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 Other Way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Nobody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North American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Northbridge Programming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Northern Entertainment of Louisiana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Northern Entertainment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Not-4-Not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Novel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Now A Warning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Now A Warning Production Services Corp.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Nueva Granada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Nuevo Mundo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NVU - Texas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NVU – Vegas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NVUL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O2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O2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Obscure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Octave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October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OFI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Omega Point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One Belmont Insurance Company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VT</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One NZ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One-Horned Wonder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Opaque Show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Open 4 Business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Original Content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Orsa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Outlet Broadcasting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Outlet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Owl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Oxygen Cable,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Oxygen Media Interactive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Oxygen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Oxygen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P-1 Acquisition 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Pacific Data Images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Pacific Data Images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Pacific Regional Programming Partners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Palm Beach Group Cable Joint Venture</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Pants On Fire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Papaya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Para Siempre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77" w:name="page378"/>
    <w:bookmarkEnd w:id="37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Parks Holdings Acquisition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Parks Holdings Acquisition 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Parthenon Media Group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Partially Baked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Pattison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Pattison Realty,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PCA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Cards,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Productions (UK)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TV EMEA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TV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Pennebaker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Peppercorn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PG Filmed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PG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Philadelphia Flyers Enterprises Company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Philadelphia Flyers,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Philadelphia Flyers,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Philadelphia Live, LLLP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Phoenix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PhotoOps,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Plaxo,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Playground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Podcast 2 Series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Pop Pop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Portland Hockey,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PowerCloud Systems,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Priority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Production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PSC SA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QCOM TV Partners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Rachel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RDK Management,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Realand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Red Alert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Redemption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Regional Film Distributors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Regional Pacific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Regional Pacific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Remoter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Retechorators,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Rider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Right Alternative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Ring Me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bl>
    <w:p>
      <w:pPr>
        <w:sectPr>
          <w:pgSz w:w="11900" w:h="16838" w:orient="portrait"/>
          <w:cols w:equalWidth="0" w:num="1">
            <w:col w:w="11260"/>
          </w:cols>
          <w:pgMar w:left="320" w:top="1440" w:right="319" w:bottom="1440" w:gutter="0" w:footer="0" w:header="0"/>
        </w:sectPr>
      </w:pPr>
    </w:p>
    <w:bookmarkStart w:id="378" w:name="page379"/>
    <w:bookmarkEnd w:id="37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Rising Voices Limited</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Rosey Film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Roving,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Rowan Tree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Rubin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RW2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S.A.T.V. Publishing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Saga Features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Saga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Saigon Broadcasting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Salt Snake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Sarcophagus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Satellite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Savannah Beast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Savoy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 Collection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Sci Fi Lab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Sci-Fi Channel Europe,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Scope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Scream Squad Films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Scream Squad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Scripted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Second Alternative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Second Podcast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Servicios de Produccion Reforma, S.A.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Shaftesbury Avenue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Silver Tower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Sing 2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Sing 3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Six Feathers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Channel SA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Comedy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Corporate Secretary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CP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Fernsehen GmbH &amp; Co. KG</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Interaction Center I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Interaction Center II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Service Center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Verwaltungs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Finance Europe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German Holdings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Group Finance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Healthcare Scheme 2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History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In-Home Service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bl>
    <w:p>
      <w:pPr>
        <w:sectPr>
          <w:pgSz w:w="11900" w:h="16838" w:orient="portrait"/>
          <w:cols w:equalWidth="0" w:num="1">
            <w:col w:w="11260"/>
          </w:cols>
          <w:pgMar w:left="320" w:top="1440" w:right="319" w:bottom="1440" w:gutter="0" w:footer="0" w:header="0"/>
        </w:sectPr>
      </w:pPr>
    </w:p>
    <w:bookmarkStart w:id="379" w:name="page380"/>
    <w:bookmarkEnd w:id="37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International AG</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International Operations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IP International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IQ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Ireland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Italia Network Service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Italia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Italian Holdings S.p.A.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Labs Aalborg 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Denmark</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Manufacturing Services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Media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Ocean Ventures Partner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Operational Finance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Österreich Fernsehen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Österreich Verwaltung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Pension Plan Trustees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Retail Stores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SNA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SNI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SNI Operations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Studios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Studios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Subscribers Services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Supply Chain Services Poland sp. z o.o.</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Switzerland SA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Telecommunications Services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UK Investments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Ventures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SkyShowtime CE Europe Kft</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Hungary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SkyShowtime Iberia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SkyShowtime Nordics AB</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Sweden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SkyShowtime Poland sp. z o.o.</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Smiley Face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Snapped TV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SNL Entertainment Holdings 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SNL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Snow Globe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Solar Energy World,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Someone’s Favorite Show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South Shore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Spanish-Language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Spectacor Adjoining Real Estate New Arena,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Spectrum Arena Limited Partnership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bl>
    <w:p>
      <w:pPr>
        <w:sectPr>
          <w:pgSz w:w="11900" w:h="16838" w:orient="portrait"/>
          <w:cols w:equalWidth="0" w:num="1">
            <w:col w:w="11260"/>
          </w:cols>
          <w:pgMar w:left="320" w:top="1440" w:right="319" w:bottom="1440" w:gutter="0" w:footer="0" w:header="0"/>
        </w:sectPr>
      </w:pPr>
    </w:p>
    <w:bookmarkStart w:id="380" w:name="page381"/>
    <w:bookmarkEnd w:id="38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Speex,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Spooky Files 2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Spooky Files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 Cards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 Ventures 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SportsChannel New England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CT</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SportsChannel Pacific Associates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SportsEngine Canada,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SportsEngine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SportsEngine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SportsEngine,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Sprout Michigan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Sprout Network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SPV New Productions Canada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SPV New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 Giles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 Louis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Stamford Media Center &amp;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Stamford Studios Digital Factory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StarPlay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Static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Station Operations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Station Venture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Station Venture Operations,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Stiletto Cinema Partners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Stiletto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Stuart Street Digital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Studio Distribution Services Canada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Studio Distribution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SUB I - USA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Sugar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Sunny Days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Surehouse,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Syfy Channel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Syfy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Syfy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Syfy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Tale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Talk Video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TCI California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TCI IL-Holdings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TCI IL-Holdings,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TCI Pacific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TCP Security Company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TeamUnify,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OR</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Ted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bl>
    <w:p>
      <w:pPr>
        <w:sectPr>
          <w:pgSz w:w="11900" w:h="16838" w:orient="portrait"/>
          <w:cols w:equalWidth="0" w:num="1">
            <w:col w:w="11260"/>
          </w:cols>
          <w:pgMar w:left="320" w:top="1440" w:right="319" w:bottom="1440" w:gutter="0" w:footer="0" w:header="0"/>
        </w:sectPr>
      </w:pPr>
    </w:p>
    <w:bookmarkStart w:id="381" w:name="page382"/>
    <w:bookmarkEnd w:id="38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10370 Montana Ave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2400 Monroe Street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314 Redwood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500 Media Place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6380 Polaris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Global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Group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Internacional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International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Las Vegas License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Las Vegas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Mid-Atlantic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Music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Network Group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Arizona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Chicago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Denver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Florida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Fresno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New England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New Mexico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North Carolina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Northern California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Puerto Rico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Puerto Rico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San Diego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Texas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Utah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Rio Grande Valley,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Television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Terra Properties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Terrace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TGC,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That Technology,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Bros Movie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Cloud Networks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Comcast Network,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Connor Project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Praise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Production Hive,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Worst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Third Alternative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Third Wish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This Technology (Beijing) Software Co.,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Three Act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Three Belmont Insurance Company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bl>
    <w:p>
      <w:pPr>
        <w:sectPr>
          <w:pgSz w:w="11900" w:h="16838" w:orient="portrait"/>
          <w:cols w:equalWidth="0" w:num="1">
            <w:col w:w="11260"/>
          </w:cols>
          <w:pgMar w:left="320" w:top="1440" w:right="319" w:bottom="1440" w:gutter="0" w:footer="0" w:header="0"/>
        </w:sectPr>
      </w:pPr>
    </w:p>
    <w:bookmarkStart w:id="382" w:name="page383"/>
    <w:bookmarkEnd w:id="38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Tier One Subsidiary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Tony Ayres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Toothless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Top Alternative Studio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Transatlantic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Transistor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Treasure LTR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Tribune-United Cable of Oakland County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Trio Entertainment Network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Trip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Truck 44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True Blue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True North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True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TTP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Turn Up The Volume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Tuxedo Terrace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Two Plus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TyJade Ranch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TZGZ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UCS Project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UCTC of Los Angeles County,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UDX Shared Services 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UIP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Umbrella NZ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UMSI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Underground Producciones S.A.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Argentina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United Cable Television of Los Angeles,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United Cable Television of Oakland County,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United International Pictures of Panama,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United of Oakland,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Consulting Company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 U-Drive Joint Venture</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13th Street.com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1440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Access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Animation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Arenas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Development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Owner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Servicer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WFOE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Cable Productions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Development Partners,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Florida Holding Co. I</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bl>
    <w:p>
      <w:pPr>
        <w:sectPr>
          <w:pgSz w:w="11900" w:h="16838" w:orient="portrait"/>
          <w:cols w:equalWidth="0" w:num="1">
            <w:col w:w="11260"/>
          </w:cols>
          <w:pgMar w:left="320" w:top="1440" w:right="319" w:bottom="1440" w:gutter="0" w:footer="0" w:header="0"/>
        </w:sectPr>
      </w:pPr>
    </w:p>
    <w:bookmarkStart w:id="383" w:name="page384"/>
    <w:bookmarkEnd w:id="38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Florida Holding Co. II</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Property Management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Restaurant Venture,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Studios Productions LLLP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Travel Partners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Consumer Products France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Consumer Products Germany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Consumer Products Iberia, S.L.U.</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Consumer Products Italy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Content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Creative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Film Exchanges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Film Exchanges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First-Run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First-Run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HD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Home Entertainment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International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International Studios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Kids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Kids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Kids’ Network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Network Programming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Orlando Foundation,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Orlando Online Merchandise Store</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(Australasia)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(Beijing) Consulting Company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(Hong Kong)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(Shanghai) Trading Company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(Singapore) Holdings Pte.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Canadian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Company of Puerto Rico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Corporation of China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Entertainment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Germany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Group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Home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Australasia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Austria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Brazil Ltda.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Entertainment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France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Germany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Italy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bl>
    <w:p>
      <w:pPr>
        <w:sectPr>
          <w:pgSz w:w="11900" w:h="16838" w:orient="portrait"/>
          <w:cols w:equalWidth="0" w:num="1">
            <w:col w:w="11260"/>
          </w:cols>
          <w:pgMar w:left="320" w:top="1440" w:right="319" w:bottom="1440" w:gutter="0" w:footer="0" w:header="0"/>
        </w:sectPr>
      </w:pPr>
    </w:p>
    <w:bookmarkStart w:id="384" w:name="page385"/>
    <w:bookmarkEnd w:id="38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Korea Company</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Korea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New Zealand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Spain, S.L.U.</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Switzerland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UK &amp; EIRE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México S. de R.L.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México Services S. de R.L.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Productions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Rus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Subscription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Switzerland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Vidéo (France)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Visual Programming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Rank Hotel Partners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Set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Stage Productions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Stage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Stage Productions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 Group (Australia)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 Group Animation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 Group IP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Canada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Carousel Post Production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Channel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Child Care Center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China Investment LLLP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Company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Corner Store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Development Venture Five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Development Venture Seven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Development Venture Six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Development Venture Two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Digital Cinema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Enterprises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Film Production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Fitness Center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Home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Home Entertainment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IV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85" w:name="page386"/>
    <w:bookmarkEnd w:id="38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VI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VII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Interactive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International B.V.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International Television Do Brasil Ltda.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Korea Planning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Licensing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Music LLLP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Network Programming</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NewCanada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Pacific Partners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Pay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Pay TV Latin America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Pay-Per-View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Recreation China Planning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Recreation Japan Planning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Satellite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Singapore Planning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Store Hollywood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Store Orlando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Television Distribution Spain, S.L.U.</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TV Channel Poland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Subscription Television Americas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Syndicated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Emerald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Emerald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Enterprises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Group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Music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Networks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Theatrical Group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Australia Pty.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Canada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France SNC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Music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NewCo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Pictures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Talk Video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VOD Venture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Worldwide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86" w:name="page387"/>
    <w:bookmarkEnd w:id="38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UPD Films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UPI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UPI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UPI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UPI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UPR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 Brasil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 Cable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 Cable Entertainment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 Love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 Network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 Network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 Networks Partner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USANi Holding Company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USG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USG UK Production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USG(A) Virtual Production Infrastructure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 - USA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 Asset Transfer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 Interim LP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 Music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USIE - USA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USI-New Bren Holdco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USJ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U-Talk Enterprises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 - USA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Valet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Valor Film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VeggieTales Tour,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Verona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Versus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Video 44</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Video 44 Acquisition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Video Technology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VIEW Quebec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Vision Distribution S.p.A.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Visual Australia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Visual BC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Visual Productions FF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Visual Quebec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vMOTE,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Voyage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VUE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VUE NewCo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87" w:name="page388"/>
    <w:bookmarkEnd w:id="38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Watch What You Play Music,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WatchBack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WBTS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WCAU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WellUp,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Western Sky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WestMarc Development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Asia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Australia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Australia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Broadway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California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London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London Production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Oz Investment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Oz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Pacific Rim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Tour Canada Corp.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Tour Managing Partner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Tour Productions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UK Production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UK Tour Production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Worldwide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Wider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WiFi Funding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Wimbledon Common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WKAQ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WNJU-TV Broadcasting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NJ</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Working Title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Working Title Group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Working Title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Working Title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Film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WTTV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WTTV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WWP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WWP2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XF Wireless Investment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Xfinity Managed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Xidio,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Xumo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Xumo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YR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ZAP Television Beteiligungs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ZAP Television GmbH &amp; Co. KG</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Znak &amp; 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88" w:name="page389"/>
    <w:bookmarkEnd w:id="38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Zoms Productions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Zupp,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89" w:name="page390"/>
    <w:bookmarkEnd w:id="389"/>
    <w:p>
      <w:pPr>
        <w:spacing w:after="0" w:line="118"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20"/>
          <w:szCs w:val="20"/>
          <w:b w:val="1"/>
          <w:bCs w:val="1"/>
          <w:color w:val="auto"/>
        </w:rPr>
        <w:t>Exhibit 22</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Subsidiary guarantors and issuers of guaranteed securities and affiliates whose securities collateralize securities of the registrant</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500" w:type="dxa"/>
            <w:vAlign w:val="bottom"/>
            <w:tcBorders>
              <w:top w:val="single" w:sz="8" w:color="auto"/>
              <w:left w:val="single" w:sz="8" w:color="auto"/>
              <w:bottom w:val="single" w:sz="8" w:color="auto"/>
              <w:right w:val="single" w:sz="8" w:color="auto"/>
            </w:tcBorders>
          </w:tcPr>
          <w:p>
            <w:pPr>
              <w:ind w:left="3340"/>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376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20"/>
                <w:szCs w:val="20"/>
                <w:b w:val="1"/>
                <w:bCs w:val="1"/>
                <w:color w:val="auto"/>
              </w:rPr>
              <w:t>Guarantor(s)</w:t>
            </w:r>
          </w:p>
        </w:tc>
      </w:tr>
      <w:tr>
        <w:trPr>
          <w:trHeight w:val="187"/>
        </w:trPr>
        <w:tc>
          <w:tcPr>
            <w:tcW w:w="750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Certain debt securities issued by Comcast Corporation under the Senior Indenture dated</w:t>
            </w:r>
          </w:p>
        </w:tc>
        <w:tc>
          <w:tcPr>
            <w:tcW w:w="376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Comcast Cable Communications, LLC and</w:t>
            </w:r>
          </w:p>
        </w:tc>
      </w:tr>
      <w:tr>
        <w:trPr>
          <w:trHeight w:val="198"/>
        </w:trPr>
        <w:tc>
          <w:tcPr>
            <w:tcW w:w="75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September 18, 2013, as supplemented and amended by the First Supplemental Indenture</w:t>
            </w:r>
          </w:p>
        </w:tc>
        <w:tc>
          <w:tcPr>
            <w:tcW w:w="37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NBCUniversal Media, LLC</w:t>
            </w:r>
          </w:p>
        </w:tc>
      </w:tr>
      <w:tr>
        <w:trPr>
          <w:trHeight w:val="193"/>
        </w:trPr>
        <w:tc>
          <w:tcPr>
            <w:tcW w:w="750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20"/>
                <w:szCs w:val="20"/>
                <w:color w:val="auto"/>
                <w:w w:val="99"/>
              </w:rPr>
              <w:t>dated November 17, 2015 and the Second Supplemental Indenture dated as of July 29, 2022.</w:t>
            </w:r>
          </w:p>
        </w:tc>
        <w:tc>
          <w:tcPr>
            <w:tcW w:w="3760" w:type="dxa"/>
            <w:vAlign w:val="bottom"/>
            <w:tcBorders>
              <w:right w:val="single" w:sz="8" w:color="auto"/>
            </w:tcBorders>
          </w:tcPr>
          <w:p>
            <w:pPr>
              <w:spacing w:after="0"/>
              <w:rPr>
                <w:sz w:val="16"/>
                <w:szCs w:val="16"/>
                <w:color w:val="auto"/>
              </w:rPr>
            </w:pPr>
          </w:p>
        </w:tc>
      </w:tr>
      <w:tr>
        <w:trPr>
          <w:trHeight w:val="203"/>
        </w:trPr>
        <w:tc>
          <w:tcPr>
            <w:tcW w:w="7500" w:type="dxa"/>
            <w:vAlign w:val="bottom"/>
            <w:tcBorders>
              <w:left w:val="single" w:sz="8" w:color="auto"/>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20"/>
                <w:szCs w:val="20"/>
                <w:color w:val="auto"/>
              </w:rPr>
              <w:t>The 0.000% Notes due 2026, 0.250% Notes due 2027, the 1.500% Notes due 2029, the</w:t>
            </w:r>
          </w:p>
        </w:tc>
        <w:tc>
          <w:tcPr>
            <w:tcW w:w="3760" w:type="dxa"/>
            <w:vAlign w:val="bottom"/>
            <w:tcBorders>
              <w:right w:val="single" w:sz="8" w:color="auto"/>
            </w:tcBorders>
          </w:tcPr>
          <w:p>
            <w:pPr>
              <w:spacing w:after="0"/>
              <w:rPr>
                <w:sz w:val="17"/>
                <w:szCs w:val="17"/>
                <w:color w:val="auto"/>
              </w:rPr>
            </w:pPr>
          </w:p>
        </w:tc>
      </w:tr>
      <w:tr>
        <w:trPr>
          <w:trHeight w:val="198"/>
        </w:trPr>
        <w:tc>
          <w:tcPr>
            <w:tcW w:w="75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0.250% Notes due 2029, the 0.750% Notes due 2032, the 3.250% Notes due 2032, the</w:t>
            </w:r>
          </w:p>
        </w:tc>
        <w:tc>
          <w:tcPr>
            <w:tcW w:w="3760" w:type="dxa"/>
            <w:vAlign w:val="bottom"/>
            <w:tcBorders>
              <w:right w:val="single" w:sz="8" w:color="auto"/>
            </w:tcBorders>
          </w:tcPr>
          <w:p>
            <w:pPr>
              <w:spacing w:after="0"/>
              <w:rPr>
                <w:sz w:val="17"/>
                <w:szCs w:val="17"/>
                <w:color w:val="auto"/>
              </w:rPr>
            </w:pPr>
          </w:p>
        </w:tc>
      </w:tr>
      <w:tr>
        <w:trPr>
          <w:trHeight w:val="193"/>
        </w:trPr>
        <w:tc>
          <w:tcPr>
            <w:tcW w:w="750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20"/>
                <w:szCs w:val="20"/>
                <w:color w:val="auto"/>
              </w:rPr>
              <w:t>1.875% Notes due 2036, the 3.550% Notes due 2036, the 1.250% Notes due 2040 and the</w:t>
            </w:r>
          </w:p>
        </w:tc>
        <w:tc>
          <w:tcPr>
            <w:tcW w:w="3760" w:type="dxa"/>
            <w:vAlign w:val="bottom"/>
            <w:tcBorders>
              <w:right w:val="single" w:sz="8" w:color="auto"/>
            </w:tcBorders>
          </w:tcPr>
          <w:p>
            <w:pPr>
              <w:spacing w:after="0"/>
              <w:rPr>
                <w:sz w:val="16"/>
                <w:szCs w:val="16"/>
                <w:color w:val="auto"/>
              </w:rPr>
            </w:pPr>
          </w:p>
        </w:tc>
      </w:tr>
      <w:tr>
        <w:trPr>
          <w:trHeight w:val="262"/>
        </w:trPr>
        <w:tc>
          <w:tcPr>
            <w:tcW w:w="7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5.250% Notes due 2040 are listed on the Nasdaq Global Market.</w:t>
            </w:r>
          </w:p>
        </w:tc>
        <w:tc>
          <w:tcPr>
            <w:tcW w:w="3760" w:type="dxa"/>
            <w:vAlign w:val="bottom"/>
            <w:tcBorders>
              <w:bottom w:val="single" w:sz="8" w:color="auto"/>
              <w:right w:val="single" w:sz="8" w:color="auto"/>
            </w:tcBorders>
          </w:tcPr>
          <w:p>
            <w:pPr>
              <w:spacing w:after="0"/>
              <w:rPr>
                <w:sz w:val="22"/>
                <w:szCs w:val="22"/>
                <w:color w:val="auto"/>
              </w:rPr>
            </w:pPr>
          </w:p>
        </w:tc>
      </w:tr>
      <w:tr>
        <w:trPr>
          <w:trHeight w:val="190"/>
        </w:trPr>
        <w:tc>
          <w:tcPr>
            <w:tcW w:w="7500" w:type="dxa"/>
            <w:vAlign w:val="bottom"/>
            <w:tcBorders>
              <w:left w:val="single" w:sz="8" w:color="auto"/>
              <w:right w:val="single" w:sz="8" w:color="auto"/>
            </w:tcBorders>
          </w:tcPr>
          <w:p>
            <w:pPr>
              <w:ind w:left="80"/>
              <w:spacing w:after="0" w:line="190" w:lineRule="exact"/>
              <w:rPr>
                <w:sz w:val="20"/>
                <w:szCs w:val="20"/>
                <w:color w:val="auto"/>
              </w:rPr>
            </w:pPr>
            <w:r>
              <w:rPr>
                <w:rFonts w:ascii="Times New Roman" w:cs="Times New Roman" w:eastAsia="Times New Roman" w:hAnsi="Times New Roman"/>
                <w:sz w:val="20"/>
                <w:szCs w:val="20"/>
                <w:color w:val="auto"/>
              </w:rPr>
              <w:t>Certain debt securities issued by Comcast Corporation under the Indenture, dated January 7,</w:t>
            </w:r>
          </w:p>
        </w:tc>
        <w:tc>
          <w:tcPr>
            <w:tcW w:w="3760" w:type="dxa"/>
            <w:vAlign w:val="bottom"/>
            <w:tcBorders>
              <w:right w:val="single" w:sz="8" w:color="auto"/>
            </w:tcBorders>
          </w:tcPr>
          <w:p>
            <w:pPr>
              <w:ind w:left="60"/>
              <w:spacing w:after="0" w:line="190" w:lineRule="exact"/>
              <w:rPr>
                <w:sz w:val="20"/>
                <w:szCs w:val="20"/>
                <w:color w:val="auto"/>
              </w:rPr>
            </w:pPr>
            <w:r>
              <w:rPr>
                <w:rFonts w:ascii="Times New Roman" w:cs="Times New Roman" w:eastAsia="Times New Roman" w:hAnsi="Times New Roman"/>
                <w:sz w:val="20"/>
                <w:szCs w:val="20"/>
                <w:color w:val="auto"/>
              </w:rPr>
              <w:t>Comcast Cable Communications, LLC and</w:t>
            </w:r>
          </w:p>
        </w:tc>
      </w:tr>
      <w:tr>
        <w:trPr>
          <w:trHeight w:val="198"/>
        </w:trPr>
        <w:tc>
          <w:tcPr>
            <w:tcW w:w="75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2003, as supplemented and amended by the First Supplemental Indenture dated March 25,</w:t>
            </w:r>
          </w:p>
        </w:tc>
        <w:tc>
          <w:tcPr>
            <w:tcW w:w="37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NBCUniversal Media, LLC</w:t>
            </w:r>
          </w:p>
        </w:tc>
      </w:tr>
      <w:tr>
        <w:trPr>
          <w:trHeight w:val="193"/>
        </w:trPr>
        <w:tc>
          <w:tcPr>
            <w:tcW w:w="750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20"/>
                <w:szCs w:val="20"/>
                <w:color w:val="auto"/>
              </w:rPr>
              <w:t>2003, the Second Supplemental Indenture dated August 31, 2009, the Third Supplemental</w:t>
            </w:r>
          </w:p>
        </w:tc>
        <w:tc>
          <w:tcPr>
            <w:tcW w:w="3760" w:type="dxa"/>
            <w:vAlign w:val="bottom"/>
            <w:tcBorders>
              <w:right w:val="single" w:sz="8" w:color="auto"/>
            </w:tcBorders>
          </w:tcPr>
          <w:p>
            <w:pPr>
              <w:spacing w:after="0"/>
              <w:rPr>
                <w:sz w:val="16"/>
                <w:szCs w:val="16"/>
                <w:color w:val="auto"/>
              </w:rPr>
            </w:pPr>
          </w:p>
        </w:tc>
      </w:tr>
      <w:tr>
        <w:trPr>
          <w:trHeight w:val="203"/>
        </w:trPr>
        <w:tc>
          <w:tcPr>
            <w:tcW w:w="7500" w:type="dxa"/>
            <w:vAlign w:val="bottom"/>
            <w:tcBorders>
              <w:left w:val="single" w:sz="8" w:color="auto"/>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20"/>
                <w:szCs w:val="20"/>
                <w:color w:val="auto"/>
              </w:rPr>
              <w:t>Indenture dated March 27, 2013 and the Fourth Supplemental Indenture dated October 1,</w:t>
            </w:r>
          </w:p>
        </w:tc>
        <w:tc>
          <w:tcPr>
            <w:tcW w:w="3760" w:type="dxa"/>
            <w:vAlign w:val="bottom"/>
            <w:tcBorders>
              <w:right w:val="single" w:sz="8" w:color="auto"/>
            </w:tcBorders>
          </w:tcPr>
          <w:p>
            <w:pPr>
              <w:spacing w:after="0"/>
              <w:rPr>
                <w:sz w:val="17"/>
                <w:szCs w:val="17"/>
                <w:color w:val="auto"/>
              </w:rPr>
            </w:pPr>
          </w:p>
        </w:tc>
      </w:tr>
      <w:tr>
        <w:trPr>
          <w:trHeight w:val="252"/>
        </w:trPr>
        <w:tc>
          <w:tcPr>
            <w:tcW w:w="7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2015. The 5.50% Notes due 2029 are listed on the New York Stock Exchange.</w:t>
            </w:r>
          </w:p>
        </w:tc>
        <w:tc>
          <w:tcPr>
            <w:tcW w:w="3760" w:type="dxa"/>
            <w:vAlign w:val="bottom"/>
            <w:tcBorders>
              <w:bottom w:val="single" w:sz="8" w:color="auto"/>
              <w:right w:val="single" w:sz="8" w:color="auto"/>
            </w:tcBorders>
          </w:tcPr>
          <w:p>
            <w:pPr>
              <w:spacing w:after="0"/>
              <w:rPr>
                <w:sz w:val="21"/>
                <w:szCs w:val="21"/>
                <w:color w:val="auto"/>
              </w:rPr>
            </w:pPr>
          </w:p>
        </w:tc>
      </w:tr>
      <w:tr>
        <w:trPr>
          <w:trHeight w:val="187"/>
        </w:trPr>
        <w:tc>
          <w:tcPr>
            <w:tcW w:w="750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2.0% Exchangeable Subordinated Debentures due 2029 issued by Comcast Holdings</w:t>
            </w:r>
          </w:p>
        </w:tc>
        <w:tc>
          <w:tcPr>
            <w:tcW w:w="376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Comcast Corporation</w:t>
            </w:r>
          </w:p>
        </w:tc>
      </w:tr>
      <w:tr>
        <w:trPr>
          <w:trHeight w:val="198"/>
        </w:trPr>
        <w:tc>
          <w:tcPr>
            <w:tcW w:w="75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Corporation under the Indenture, dated June 15, 1999, as supplemented and amended by the</w:t>
            </w:r>
          </w:p>
        </w:tc>
        <w:tc>
          <w:tcPr>
            <w:tcW w:w="3760" w:type="dxa"/>
            <w:vAlign w:val="bottom"/>
            <w:tcBorders>
              <w:right w:val="single" w:sz="8" w:color="auto"/>
            </w:tcBorders>
          </w:tcPr>
          <w:p>
            <w:pPr>
              <w:spacing w:after="0"/>
              <w:rPr>
                <w:sz w:val="17"/>
                <w:szCs w:val="17"/>
                <w:color w:val="auto"/>
              </w:rPr>
            </w:pPr>
          </w:p>
        </w:tc>
      </w:tr>
      <w:tr>
        <w:trPr>
          <w:trHeight w:val="193"/>
        </w:trPr>
        <w:tc>
          <w:tcPr>
            <w:tcW w:w="750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20"/>
                <w:szCs w:val="20"/>
                <w:color w:val="auto"/>
                <w:w w:val="99"/>
              </w:rPr>
              <w:t>First Supplemental Indenture dated September 12, 2005. The securities are listed on the New</w:t>
            </w:r>
          </w:p>
        </w:tc>
        <w:tc>
          <w:tcPr>
            <w:tcW w:w="3760" w:type="dxa"/>
            <w:vAlign w:val="bottom"/>
            <w:tcBorders>
              <w:right w:val="single" w:sz="8" w:color="auto"/>
            </w:tcBorders>
          </w:tcPr>
          <w:p>
            <w:pPr>
              <w:spacing w:after="0"/>
              <w:rPr>
                <w:sz w:val="16"/>
                <w:szCs w:val="16"/>
                <w:color w:val="auto"/>
              </w:rPr>
            </w:pPr>
          </w:p>
        </w:tc>
      </w:tr>
      <w:tr>
        <w:trPr>
          <w:trHeight w:val="262"/>
        </w:trPr>
        <w:tc>
          <w:tcPr>
            <w:tcW w:w="7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York Stock Exchange.</w:t>
            </w:r>
          </w:p>
        </w:tc>
        <w:tc>
          <w:tcPr>
            <w:tcW w:w="376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60"/>
          </w:cols>
          <w:pgMar w:left="320" w:top="1440" w:right="31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333-266390 on Form S-3 and Registration Statement Nos. 333-104385, 333-121082, 333-123059, 333-130844, 333-130845, 333-130847, 333-150976, 333-161468, 333-174416, 333-174417, 333-179638, 333-183008, 333-193903, 333-210085, 333-212716, 333-224455, 333-224456, 333-232416, 333-239814, 333-253621, 333-262495, 333-273107, 333-273108, 333-277299 and 333-277301 on Form S-8 of our report dated January 31, 2025, relating to the financial statements of Comcast Corporation and the effectiveness of Comcast Corporation's internal control over financial reporting appearing in this Annual Report on Form 10-K for the year ended December 31, 2024.</w:t>
      </w:r>
    </w:p>
    <w:p>
      <w:pPr>
        <w:spacing w:after="0" w:line="3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January 31, 2025</w:t>
      </w:r>
    </w:p>
    <w:p>
      <w:pPr>
        <w:sectPr>
          <w:pgSz w:w="11900" w:h="16838" w:orient="portrait"/>
          <w:cols w:equalWidth="0" w:num="1">
            <w:col w:w="11240"/>
          </w:cols>
          <w:pgMar w:left="320" w:top="360" w:right="339"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360" w:right="33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S. Armstrong, certify that:</w:t>
      </w:r>
    </w:p>
    <w:p>
      <w:pPr>
        <w:spacing w:after="0" w:line="63" w:lineRule="exact"/>
        <w:rPr>
          <w:sz w:val="20"/>
          <w:szCs w:val="20"/>
          <w:color w:val="auto"/>
        </w:rPr>
      </w:pPr>
    </w:p>
    <w:p>
      <w:pPr>
        <w:ind w:left="660" w:hanging="652"/>
        <w:spacing w:after="0"/>
        <w:tabs>
          <w:tab w:leader="none" w:pos="66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1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360" w:right="33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Brian L. Roberts, the Chief Executive Officer and Jason S. Armstrong, the Chief Financial Officer of Comcast Corporation, each certifies that, to the best of his knowledge:</w:t>
      </w:r>
    </w:p>
    <w:p>
      <w:pPr>
        <w:spacing w:after="0" w:line="189" w:lineRule="exact"/>
        <w:rPr>
          <w:sz w:val="20"/>
          <w:szCs w:val="20"/>
          <w:color w:val="auto"/>
        </w:rPr>
      </w:pPr>
    </w:p>
    <w:p>
      <w:pPr>
        <w:ind w:left="660" w:hanging="652"/>
        <w:spacing w:after="0"/>
        <w:tabs>
          <w:tab w:leader="none" w:pos="66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7" w:lineRule="exact"/>
        <w:rPr>
          <w:rFonts w:ascii="Times New Roman" w:cs="Times New Roman" w:eastAsia="Times New Roman" w:hAnsi="Times New Roman"/>
          <w:sz w:val="18"/>
          <w:szCs w:val="18"/>
          <w:color w:val="auto"/>
        </w:rPr>
      </w:pPr>
    </w:p>
    <w:p>
      <w:pPr>
        <w:ind w:left="660" w:right="520" w:hanging="652"/>
        <w:spacing w:after="0" w:line="260" w:lineRule="auto"/>
        <w:tabs>
          <w:tab w:leader="none" w:pos="66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24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8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5">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280662"/>
    <w:multiLevelType w:val="hybridMultilevel"/>
    <w:lvl w:ilvl="0">
      <w:lvlJc w:val="left"/>
      <w:lvlText w:val="•"/>
      <w:numFmt w:val="bullet"/>
      <w:start w:val="1"/>
    </w:lvl>
  </w:abstractNum>
  <w:abstractNum w:abstractNumId="1">
    <w:nsid w:val="46B24DBC"/>
    <w:multiLevelType w:val="hybridMultilevel"/>
    <w:lvl w:ilvl="0">
      <w:lvlJc w:val="left"/>
      <w:lvlText w:val="•"/>
      <w:numFmt w:val="bullet"/>
      <w:start w:val="1"/>
    </w:lvl>
  </w:abstractNum>
  <w:abstractNum w:abstractNumId="2">
    <w:nsid w:val="75B52783"/>
    <w:multiLevelType w:val="hybridMultilevel"/>
    <w:lvl w:ilvl="0">
      <w:lvlJc w:val="left"/>
      <w:lvlText w:val="•"/>
      <w:numFmt w:val="bullet"/>
      <w:start w:val="1"/>
    </w:lvl>
  </w:abstractNum>
  <w:abstractNum w:abstractNumId="3">
    <w:nsid w:val="57CE66B4"/>
    <w:multiLevelType w:val="hybridMultilevel"/>
    <w:lvl w:ilvl="0">
      <w:lvlJc w:val="left"/>
      <w:lvlText w:val="•"/>
      <w:numFmt w:val="bullet"/>
      <w:start w:val="1"/>
    </w:lvl>
    <w:lvl w:ilvl="1">
      <w:lvlJc w:val="left"/>
      <w:lvlText w:val="◦"/>
      <w:numFmt w:val="bullet"/>
      <w:start w:val="1"/>
    </w:lvl>
  </w:abstractNum>
  <w:abstractNum w:abstractNumId="4">
    <w:nsid w:val="67A70B69"/>
    <w:multiLevelType w:val="hybridMultilevel"/>
    <w:lvl w:ilvl="0">
      <w:lvlJc w:val="left"/>
      <w:lvlText w:val="•"/>
      <w:numFmt w:val="bullet"/>
      <w:start w:val="1"/>
    </w:lvl>
    <w:lvl w:ilvl="1">
      <w:lvlJc w:val="left"/>
      <w:lvlText w:val="◦"/>
      <w:numFmt w:val="bullet"/>
      <w:start w:val="1"/>
    </w:lvl>
  </w:abstractNum>
  <w:abstractNum w:abstractNumId="5">
    <w:nsid w:val="5953172F"/>
    <w:multiLevelType w:val="hybridMultilevel"/>
    <w:lvl w:ilvl="0">
      <w:lvlJc w:val="left"/>
      <w:lvlText w:val="•"/>
      <w:numFmt w:val="bullet"/>
      <w:start w:val="1"/>
    </w:lvl>
  </w:abstractNum>
  <w:abstractNum w:abstractNumId="6">
    <w:nsid w:val="27EDFE3A"/>
    <w:multiLevelType w:val="hybridMultilevel"/>
    <w:lvl w:ilvl="0">
      <w:lvlJc w:val="left"/>
      <w:lvlText w:val="(%1)"/>
      <w:numFmt w:val="lowerLetter"/>
      <w:start w:val="1"/>
    </w:lvl>
  </w:abstractNum>
  <w:abstractNum w:abstractNumId="7">
    <w:nsid w:val="52AC7DFF"/>
    <w:multiLevelType w:val="hybridMultilevel"/>
    <w:lvl w:ilvl="0">
      <w:lvlJc w:val="left"/>
      <w:lvlText w:val="(%1)"/>
      <w:numFmt w:val="lowerLetter"/>
      <w:start w:val="1"/>
    </w:lvl>
  </w:abstractNum>
  <w:abstractNum w:abstractNumId="8">
    <w:nsid w:val="C4C3AF"/>
    <w:multiLevelType w:val="hybridMultilevel"/>
    <w:lvl w:ilvl="0">
      <w:lvlJc w:val="left"/>
      <w:lvlText w:val="•"/>
      <w:numFmt w:val="bullet"/>
      <w:start w:val="1"/>
    </w:lvl>
  </w:abstractNum>
  <w:abstractNum w:abstractNumId="9">
    <w:nsid w:val="44380727"/>
    <w:multiLevelType w:val="hybridMultilevel"/>
    <w:lvl w:ilvl="0">
      <w:lvlJc w:val="left"/>
      <w:lvlText w:val="•"/>
      <w:numFmt w:val="bullet"/>
      <w:start w:val="1"/>
    </w:lvl>
  </w:abstractNum>
  <w:abstractNum w:abstractNumId="10">
    <w:nsid w:val="6C053B16"/>
    <w:multiLevelType w:val="hybridMultilevel"/>
    <w:lvl w:ilvl="0">
      <w:lvlJc w:val="left"/>
      <w:lvlText w:val="•"/>
      <w:numFmt w:val="bullet"/>
      <w:start w:val="1"/>
    </w:lvl>
  </w:abstractNum>
  <w:abstractNum w:abstractNumId="11">
    <w:nsid w:val="4F294393"/>
    <w:multiLevelType w:val="hybridMultilevel"/>
    <w:lvl w:ilvl="0">
      <w:lvlJc w:val="left"/>
      <w:lvlText w:val="•"/>
      <w:numFmt w:val="bullet"/>
      <w:start w:val="1"/>
    </w:lvl>
  </w:abstractNum>
  <w:abstractNum w:abstractNumId="12">
    <w:nsid w:val="5243BFAC"/>
    <w:multiLevelType w:val="hybridMultilevel"/>
    <w:lvl w:ilvl="0">
      <w:lvlJc w:val="left"/>
      <w:lvlText w:val="•"/>
      <w:numFmt w:val="bullet"/>
      <w:start w:val="1"/>
    </w:lvl>
  </w:abstractNum>
  <w:abstractNum w:abstractNumId="13">
    <w:nsid w:val="425EB207"/>
    <w:multiLevelType w:val="hybridMultilevel"/>
    <w:lvl w:ilvl="0">
      <w:lvlJc w:val="left"/>
      <w:lvlText w:val="•"/>
      <w:numFmt w:val="bullet"/>
      <w:start w:val="1"/>
    </w:lvl>
  </w:abstractNum>
  <w:abstractNum w:abstractNumId="14">
    <w:nsid w:val="334A6F1F"/>
    <w:multiLevelType w:val="hybridMultilevel"/>
    <w:lvl w:ilvl="0">
      <w:lvlJc w:val="left"/>
      <w:lvlText w:val="•"/>
      <w:numFmt w:val="bullet"/>
      <w:start w:val="1"/>
    </w:lvl>
  </w:abstractNum>
  <w:abstractNum w:abstractNumId="15">
    <w:nsid w:val="2E5B12B8"/>
    <w:multiLevelType w:val="hybridMultilevel"/>
    <w:lvl w:ilvl="0">
      <w:lvlJc w:val="left"/>
      <w:lvlText w:val="•"/>
      <w:numFmt w:val="bullet"/>
      <w:start w:val="1"/>
    </w:lvl>
  </w:abstractNum>
  <w:abstractNum w:abstractNumId="16">
    <w:nsid w:val="5C03D76D"/>
    <w:multiLevelType w:val="hybridMultilevel"/>
    <w:lvl w:ilvl="0">
      <w:lvlJc w:val="left"/>
      <w:lvlText w:val="•"/>
      <w:numFmt w:val="bullet"/>
      <w:start w:val="1"/>
    </w:lvl>
  </w:abstractNum>
  <w:abstractNum w:abstractNumId="17">
    <w:nsid w:val="66A48D11"/>
    <w:multiLevelType w:val="hybridMultilevel"/>
    <w:lvl w:ilvl="0">
      <w:lvlJc w:val="left"/>
      <w:lvlText w:val="(%1)"/>
      <w:numFmt w:val="lowerLetter"/>
      <w:start w:val="1"/>
    </w:lvl>
  </w:abstractNum>
  <w:abstractNum w:abstractNumId="18">
    <w:nsid w:val="56C28E34"/>
    <w:multiLevelType w:val="hybridMultilevel"/>
    <w:lvl w:ilvl="0">
      <w:lvlJc w:val="left"/>
      <w:lvlText w:val="(%1)"/>
      <w:numFmt w:val="decimal"/>
      <w:start w:val="2"/>
    </w:lvl>
  </w:abstractNum>
  <w:abstractNum w:abstractNumId="19">
    <w:nsid w:val="13916F2D"/>
    <w:multiLevelType w:val="hybridMultilevel"/>
    <w:lvl w:ilvl="0">
      <w:lvlJc w:val="left"/>
      <w:lvlText w:val="(%1)"/>
      <w:numFmt w:val="lowerLetter"/>
      <w:start w:val="1"/>
    </w:lvl>
  </w:abstractNum>
  <w:abstractNum w:abstractNumId="20">
    <w:nsid w:val="435D38D"/>
    <w:multiLevelType w:val="hybridMultilevel"/>
    <w:lvl w:ilvl="0">
      <w:lvlJc w:val="left"/>
      <w:lvlText w:val="(%1)"/>
      <w:numFmt w:val="lowerLetter"/>
      <w:start w:val="1"/>
    </w:lvl>
  </w:abstractNum>
  <w:abstractNum w:abstractNumId="21">
    <w:nsid w:val="822C0EF"/>
    <w:multiLevelType w:val="hybridMultilevel"/>
    <w:lvl w:ilvl="0">
      <w:lvlJc w:val="left"/>
      <w:lvlText w:val="(%1)"/>
      <w:numFmt w:val="lowerLetter"/>
      <w:start w:val="1"/>
    </w:lvl>
  </w:abstractNum>
  <w:abstractNum w:abstractNumId="22">
    <w:nsid w:val="57C5BB4F"/>
    <w:multiLevelType w:val="hybridMultilevel"/>
    <w:lvl w:ilvl="0">
      <w:lvlJc w:val="left"/>
      <w:lvlText w:val="•"/>
      <w:numFmt w:val="bullet"/>
      <w:start w:val="1"/>
    </w:lvl>
  </w:abstractNum>
  <w:abstractNum w:abstractNumId="23">
    <w:nsid w:val="1803D089"/>
    <w:multiLevelType w:val="hybridMultilevel"/>
    <w:lvl w:ilvl="0">
      <w:lvlJc w:val="left"/>
      <w:lvlText w:val="•"/>
      <w:numFmt w:val="bullet"/>
      <w:start w:val="1"/>
    </w:lvl>
  </w:abstractNum>
  <w:abstractNum w:abstractNumId="24">
    <w:nsid w:val="4F3A06D4"/>
    <w:multiLevelType w:val="hybridMultilevel"/>
    <w:lvl w:ilvl="0">
      <w:lvlJc w:val="left"/>
      <w:lvlText w:val="•"/>
      <w:numFmt w:val="bullet"/>
      <w:start w:val="1"/>
    </w:lvl>
  </w:abstractNum>
  <w:abstractNum w:abstractNumId="25">
    <w:nsid w:val="59A377B6"/>
    <w:multiLevelType w:val="hybridMultilevel"/>
    <w:lvl w:ilvl="0">
      <w:lvlJc w:val="left"/>
      <w:lvlText w:val="•"/>
      <w:numFmt w:val="bullet"/>
      <w:start w:val="1"/>
    </w:lvl>
  </w:abstractNum>
  <w:abstractNum w:abstractNumId="26">
    <w:nsid w:val="48AEB063"/>
    <w:multiLevelType w:val="hybridMultilevel"/>
    <w:lvl w:ilvl="0">
      <w:lvlJc w:val="left"/>
      <w:lvlText w:val="•"/>
      <w:numFmt w:val="bullet"/>
      <w:start w:val="1"/>
    </w:lvl>
  </w:abstractNum>
  <w:abstractNum w:abstractNumId="27">
    <w:nsid w:val="24E135"/>
    <w:multiLevelType w:val="hybridMultilevel"/>
    <w:lvl w:ilvl="0">
      <w:lvlJc w:val="left"/>
      <w:lvlText w:val="•"/>
      <w:numFmt w:val="bullet"/>
      <w:start w:val="1"/>
    </w:lvl>
  </w:abstractNum>
  <w:abstractNum w:abstractNumId="28">
    <w:nsid w:val="BB13C1"/>
    <w:multiLevelType w:val="hybridMultilevel"/>
    <w:lvl w:ilvl="0">
      <w:lvlJc w:val="left"/>
      <w:lvlText w:val="•"/>
      <w:numFmt w:val="bullet"/>
      <w:start w:val="1"/>
    </w:lvl>
  </w:abstractNum>
  <w:abstractNum w:abstractNumId="29">
    <w:nsid w:val="271210C7"/>
    <w:multiLevelType w:val="hybridMultilevel"/>
    <w:lvl w:ilvl="0">
      <w:lvlJc w:val="left"/>
      <w:lvlText w:val="•"/>
      <w:numFmt w:val="bullet"/>
      <w:start w:val="1"/>
    </w:lvl>
  </w:abstractNum>
  <w:abstractNum w:abstractNumId="30">
    <w:nsid w:val="217B22E4"/>
    <w:multiLevelType w:val="hybridMultilevel"/>
    <w:lvl w:ilvl="0">
      <w:lvlJc w:val="left"/>
      <w:lvlText w:val="(%1)"/>
      <w:numFmt w:val="lowerLetter"/>
      <w:start w:val="1"/>
    </w:lvl>
  </w:abstractNum>
  <w:abstractNum w:abstractNumId="31">
    <w:nsid w:val="53E31A24"/>
    <w:multiLevelType w:val="hybridMultilevel"/>
    <w:lvl w:ilvl="0">
      <w:lvlJc w:val="left"/>
      <w:lvlText w:val="(%1)"/>
      <w:numFmt w:val="lowerLetter"/>
      <w:start w:val="1"/>
    </w:lvl>
  </w:abstractNum>
  <w:abstractNum w:abstractNumId="32">
    <w:nsid w:val="6DC45E83"/>
    <w:multiLevelType w:val="hybridMultilevel"/>
    <w:lvl w:ilvl="0">
      <w:lvlJc w:val="left"/>
      <w:lvlText w:val="(%1)"/>
      <w:numFmt w:val="lowerLetter"/>
      <w:start w:val="1"/>
    </w:lvl>
  </w:abstractNum>
  <w:abstractNum w:abstractNumId="33">
    <w:nsid w:val="17304A67"/>
    <w:multiLevelType w:val="hybridMultilevel"/>
    <w:lvl w:ilvl="0">
      <w:lvlJc w:val="left"/>
      <w:lvlText w:val="(%1)"/>
      <w:numFmt w:val="lowerLetter"/>
      <w:start w:val="1"/>
    </w:lvl>
  </w:abstractNum>
  <w:abstractNum w:abstractNumId="34">
    <w:nsid w:val="2BB180D8"/>
    <w:multiLevelType w:val="hybridMultilevel"/>
    <w:lvl w:ilvl="0">
      <w:lvlJc w:val="left"/>
      <w:lvlText w:val="(%1)"/>
      <w:numFmt w:val="lowerLetter"/>
      <w:start w:val="1"/>
    </w:lvl>
  </w:abstractNum>
  <w:abstractNum w:abstractNumId="35">
    <w:nsid w:val="556B69ED"/>
    <w:multiLevelType w:val="hybridMultilevel"/>
    <w:lvl w:ilvl="0">
      <w:lvlJc w:val="left"/>
      <w:lvlText w:val="(%1)"/>
      <w:numFmt w:val="lowerLetter"/>
      <w:start w:val="1"/>
    </w:lvl>
  </w:abstractNum>
  <w:abstractNum w:abstractNumId="36">
    <w:nsid w:val="70836196"/>
    <w:multiLevelType w:val="hybridMultilevel"/>
    <w:lvl w:ilvl="0">
      <w:lvlJc w:val="left"/>
      <w:lvlText w:val="(%1)"/>
      <w:numFmt w:val="lowerLetter"/>
      <w:start w:val="1"/>
    </w:lvl>
  </w:abstractNum>
  <w:abstractNum w:abstractNumId="37">
    <w:nsid w:val="539F7F12"/>
    <w:multiLevelType w:val="hybridMultilevel"/>
    <w:lvl w:ilvl="0">
      <w:lvlJc w:val="left"/>
      <w:lvlText w:val="(%1)"/>
      <w:numFmt w:val="lowerLetter"/>
      <w:start w:val="1"/>
    </w:lvl>
  </w:abstractNum>
  <w:abstractNum w:abstractNumId="38">
    <w:nsid w:val="2817E7EC"/>
    <w:multiLevelType w:val="hybridMultilevel"/>
    <w:lvl w:ilvl="0">
      <w:lvlJc w:val="left"/>
      <w:lvlText w:val="(%1)"/>
      <w:numFmt w:val="lowerLetter"/>
      <w:start w:val="1"/>
    </w:lvl>
  </w:abstractNum>
  <w:abstractNum w:abstractNumId="39">
    <w:nsid w:val="71482545"/>
    <w:multiLevelType w:val="hybridMultilevel"/>
    <w:lvl w:ilvl="0">
      <w:lvlJc w:val="left"/>
      <w:lvlText w:val="•"/>
      <w:numFmt w:val="bullet"/>
      <w:start w:val="1"/>
    </w:lvl>
  </w:abstractNum>
  <w:abstractNum w:abstractNumId="40">
    <w:nsid w:val="17D78639"/>
    <w:multiLevelType w:val="hybridMultilevel"/>
    <w:lvl w:ilvl="0">
      <w:lvlJc w:val="left"/>
      <w:lvlText w:val="•"/>
      <w:numFmt w:val="bullet"/>
      <w:start w:val="1"/>
    </w:lvl>
    <w:lvl w:ilvl="1">
      <w:lvlJc w:val="left"/>
      <w:lvlText w:val="◦"/>
      <w:numFmt w:val="bullet"/>
      <w:start w:val="1"/>
    </w:lvl>
  </w:abstractNum>
  <w:abstractNum w:abstractNumId="41">
    <w:nsid w:val="141D2302"/>
    <w:multiLevelType w:val="hybridMultilevel"/>
    <w:lvl w:ilvl="0">
      <w:lvlJc w:val="left"/>
      <w:lvlText w:val="•"/>
      <w:numFmt w:val="bullet"/>
      <w:start w:val="1"/>
    </w:lvl>
  </w:abstractNum>
  <w:abstractNum w:abstractNumId="42">
    <w:nsid w:val="407168D8"/>
    <w:multiLevelType w:val="hybridMultilevel"/>
    <w:lvl w:ilvl="0">
      <w:lvlJc w:val="left"/>
      <w:lvlText w:val="•"/>
      <w:numFmt w:val="bullet"/>
      <w:start w:val="1"/>
    </w:lvl>
  </w:abstractNum>
  <w:abstractNum w:abstractNumId="43">
    <w:nsid w:val="6A1B45E5"/>
    <w:multiLevelType w:val="hybridMultilevel"/>
    <w:lvl w:ilvl="0">
      <w:lvlJc w:val="left"/>
      <w:lvlText w:val="•"/>
      <w:numFmt w:val="bullet"/>
      <w:start w:val="1"/>
    </w:lvl>
    <w:lvl w:ilvl="1">
      <w:lvlJc w:val="left"/>
      <w:lvlText w:val="◦"/>
      <w:numFmt w:val="bullet"/>
      <w:start w:val="1"/>
    </w:lvl>
  </w:abstractNum>
  <w:abstractNum w:abstractNumId="44">
    <w:nsid w:val="567BD50A"/>
    <w:multiLevelType w:val="hybridMultilevel"/>
    <w:lvl w:ilvl="0">
      <w:lvlJc w:val="left"/>
      <w:lvlText w:val="•"/>
      <w:numFmt w:val="bullet"/>
      <w:start w:val="1"/>
    </w:lvl>
  </w:abstractNum>
  <w:abstractNum w:abstractNumId="45">
    <w:nsid w:val="73BBD7F8"/>
    <w:multiLevelType w:val="hybridMultilevel"/>
    <w:lvl w:ilvl="0">
      <w:lvlJc w:val="left"/>
      <w:lvlText w:val="•"/>
      <w:numFmt w:val="bullet"/>
      <w:start w:val="1"/>
    </w:lvl>
  </w:abstractNum>
  <w:abstractNum w:abstractNumId="46">
    <w:nsid w:val="1876589D"/>
    <w:multiLevelType w:val="hybridMultilevel"/>
    <w:lvl w:ilvl="0">
      <w:lvlJc w:val="left"/>
      <w:lvlText w:val="(%1)"/>
      <w:numFmt w:val="lowerLetter"/>
      <w:start w:val="1"/>
    </w:lvl>
  </w:abstractNum>
  <w:abstractNum w:abstractNumId="47">
    <w:nsid w:val="327FAC77"/>
    <w:multiLevelType w:val="hybridMultilevel"/>
    <w:lvl w:ilvl="0">
      <w:lvlJc w:val="left"/>
      <w:lvlText w:val="(%1)"/>
      <w:numFmt w:val="lowerLetter"/>
      <w:start w:val="1"/>
    </w:lvl>
  </w:abstractNum>
  <w:abstractNum w:abstractNumId="48">
    <w:nsid w:val="5A606509"/>
    <w:multiLevelType w:val="hybridMultilevel"/>
    <w:lvl w:ilvl="0">
      <w:lvlJc w:val="left"/>
      <w:lvlText w:val="(%1)"/>
      <w:numFmt w:val="lowerLetter"/>
      <w:start w:val="1"/>
    </w:lvl>
  </w:abstractNum>
  <w:abstractNum w:abstractNumId="49">
    <w:nsid w:val="6F38E6D1"/>
    <w:multiLevelType w:val="hybridMultilevel"/>
    <w:lvl w:ilvl="0">
      <w:lvlJc w:val="left"/>
      <w:lvlText w:val="(%1)"/>
      <w:numFmt w:val="lowerLetter"/>
      <w:start w:val="1"/>
    </w:lvl>
  </w:abstractNum>
  <w:abstractNum w:abstractNumId="50">
    <w:nsid w:val="46111BA5"/>
    <w:multiLevelType w:val="hybridMultilevel"/>
    <w:lvl w:ilvl="0">
      <w:lvlJc w:val="left"/>
      <w:lvlText w:val="(%1)"/>
      <w:numFmt w:val="lowerLetter"/>
      <w:start w:val="1"/>
    </w:lvl>
  </w:abstractNum>
  <w:abstractNum w:abstractNumId="51">
    <w:nsid w:val="5E963896"/>
    <w:multiLevelType w:val="hybridMultilevel"/>
    <w:lvl w:ilvl="0">
      <w:lvlJc w:val="left"/>
      <w:lvlText w:val="(%1)"/>
      <w:numFmt w:val="lowerLetter"/>
      <w:start w:val="2"/>
    </w:lvl>
  </w:abstractNum>
  <w:abstractNum w:abstractNumId="52">
    <w:nsid w:val="775BA7C1"/>
    <w:multiLevelType w:val="hybridMultilevel"/>
    <w:lvl w:ilvl="0">
      <w:lvlJc w:val="left"/>
      <w:lvlText w:val="(%1)"/>
      <w:numFmt w:val="decimal"/>
      <w:start w:val="2"/>
    </w:lvl>
  </w:abstractNum>
  <w:abstractNum w:abstractNumId="53">
    <w:nsid w:val="1DD6D6F4"/>
    <w:multiLevelType w:val="hybridMultilevel"/>
    <w:lvl w:ilvl="0">
      <w:lvlJc w:val="left"/>
      <w:lvlText w:val="(%1)"/>
      <w:numFmt w:val="lowerLetter"/>
      <w:start w:val="1"/>
    </w:lvl>
  </w:abstractNum>
  <w:abstractNum w:abstractNumId="54">
    <w:nsid w:val="769A091F"/>
    <w:multiLevelType w:val="hybridMultilevel"/>
    <w:lvl w:ilvl="0">
      <w:lvlJc w:val="left"/>
      <w:lvlText w:val="(%1)"/>
      <w:numFmt w:val="lowerLetter"/>
      <w:start w:val="1"/>
    </w:lvl>
  </w:abstractNum>
  <w:abstractNum w:abstractNumId="55">
    <w:nsid w:val="4695AE95"/>
    <w:multiLevelType w:val="hybridMultilevel"/>
    <w:lvl w:ilvl="0">
      <w:lvlJc w:val="left"/>
      <w:lvlText w:val="•"/>
      <w:numFmt w:val="bullet"/>
      <w:start w:val="1"/>
    </w:lvl>
  </w:abstractNum>
  <w:abstractNum w:abstractNumId="56">
    <w:nsid w:val="777A4EAA"/>
    <w:multiLevelType w:val="hybridMultilevel"/>
    <w:lvl w:ilvl="0">
      <w:lvlJc w:val="left"/>
      <w:lvlText w:val="(%1)"/>
      <w:numFmt w:val="lowerLetter"/>
      <w:start w:val="1"/>
    </w:lvl>
  </w:abstractNum>
  <w:abstractNum w:abstractNumId="57">
    <w:nsid w:val="3F48B982"/>
    <w:multiLevelType w:val="hybridMultilevel"/>
    <w:lvl w:ilvl="0">
      <w:lvlJc w:val="left"/>
      <w:lvlText w:val="%1"/>
      <w:numFmt w:val="decimal"/>
      <w:start w:val="19"/>
    </w:lvl>
  </w:abstractNum>
  <w:abstractNum w:abstractNumId="58">
    <w:nsid w:val="46BA8FCA"/>
    <w:multiLevelType w:val="hybridMultilevel"/>
    <w:lvl w:ilvl="0">
      <w:lvlJc w:val="left"/>
      <w:lvlText w:val="%1"/>
      <w:numFmt w:val="decimal"/>
      <w:start w:val="21"/>
    </w:lvl>
  </w:abstractNum>
  <w:abstractNum w:abstractNumId="59">
    <w:nsid w:val="7835626C"/>
    <w:multiLevelType w:val="hybridMultilevel"/>
    <w:lvl w:ilvl="0">
      <w:lvlJc w:val="left"/>
      <w:lvlText w:val="%1"/>
      <w:numFmt w:val="decimal"/>
      <w:start w:val="22"/>
    </w:lvl>
  </w:abstractNum>
  <w:abstractNum w:abstractNumId="60">
    <w:nsid w:val="665ACA49"/>
    <w:multiLevelType w:val="hybridMultilevel"/>
    <w:lvl w:ilvl="0">
      <w:lvlJc w:val="left"/>
      <w:lvlText w:val="%1"/>
      <w:numFmt w:val="decimal"/>
      <w:start w:val="31"/>
    </w:lvl>
  </w:abstractNum>
  <w:abstractNum w:abstractNumId="61">
    <w:nsid w:val="6835B2AE"/>
    <w:multiLevelType w:val="hybridMultilevel"/>
    <w:lvl w:ilvl="0">
      <w:lvlJc w:val="left"/>
      <w:lvlText w:val="%1"/>
      <w:numFmt w:val="decimal"/>
      <w:start w:val="97"/>
    </w:lvl>
  </w:abstractNum>
  <w:abstractNum w:abstractNumId="62">
    <w:nsid w:val="4C187C90"/>
    <w:multiLevelType w:val="hybridMultilevel"/>
    <w:lvl w:ilvl="0">
      <w:lvlJc w:val="left"/>
      <w:lvlText w:val="%1"/>
      <w:numFmt w:val="decimal"/>
      <w:start w:val="101"/>
    </w:lvl>
  </w:abstractNum>
  <w:abstractNum w:abstractNumId="63">
    <w:nsid w:val="541F28CD"/>
    <w:multiLevelType w:val="hybridMultilevel"/>
    <w:lvl w:ilvl="0">
      <w:lvlJc w:val="left"/>
      <w:lvlText w:val="*"/>
      <w:numFmt w:val="bullet"/>
      <w:start w:val="1"/>
    </w:lvl>
  </w:abstractNum>
  <w:abstractNum w:abstractNumId="64">
    <w:nsid w:val="7F65FD16"/>
    <w:multiLevelType w:val="hybridMultilevel"/>
    <w:lvl w:ilvl="0">
      <w:lvlJc w:val="left"/>
      <w:lvlText w:val="(%1)"/>
      <w:numFmt w:val="lowerLetter"/>
      <w:start w:val="1"/>
    </w:lvl>
  </w:abstractNum>
  <w:abstractNum w:abstractNumId="65">
    <w:nsid w:val="77C9FD68"/>
    <w:multiLevelType w:val="hybridMultilevel"/>
    <w:lvl w:ilvl="0">
      <w:lvlJc w:val="left"/>
      <w:lvlText w:val="(%1)"/>
      <w:numFmt w:val="lowerLetter"/>
      <w:start w:val="1"/>
    </w:lvl>
  </w:abstractNum>
  <w:abstractNum w:abstractNumId="66">
    <w:nsid w:val="298A92BA"/>
    <w:multiLevelType w:val="hybridMultilevel"/>
    <w:lvl w:ilvl="0">
      <w:lvlJc w:val="left"/>
      <w:lvlText w:val="(%1)"/>
      <w:numFmt w:val="lowerLetter"/>
      <w:start w:val="1"/>
    </w:lvl>
  </w:abstractNum>
  <w:abstractNum w:abstractNumId="67">
    <w:nsid w:val="6FE95EAC"/>
    <w:multiLevelType w:val="hybridMultilevel"/>
    <w:lvl w:ilvl="0">
      <w:lvlJc w:val="left"/>
      <w:lvlText w:val="(%1)"/>
      <w:numFmt w:val="lowerLetter"/>
      <w:start w:val="3"/>
    </w:lvl>
  </w:abstractNum>
  <w:abstractNum w:abstractNumId="68">
    <w:nsid w:val="4B697C7A"/>
    <w:multiLevelType w:val="hybridMultilevel"/>
    <w:lvl w:ilvl="0">
      <w:lvlJc w:val="left"/>
      <w:lvlText w:val="%1"/>
      <w:numFmt w:val="lowerLetter"/>
      <w:start w:val="1"/>
    </w:lvl>
    <w:lvl w:ilvl="1">
      <w:lvlJc w:val="left"/>
      <w:lvlText w:val="(%2)"/>
      <w:numFmt w:val="lowerLetter"/>
      <w:start w:val="1"/>
    </w:lvl>
  </w:abstractNum>
  <w:abstractNum w:abstractNumId="69">
    <w:nsid w:val="51A27AA6"/>
    <w:multiLevelType w:val="hybridMultilevel"/>
    <w:lvl w:ilvl="0">
      <w:lvlJc w:val="left"/>
      <w:lvlText w:val="(%1)"/>
      <w:numFmt w:val="lowerLetter"/>
      <w:start w:val="9"/>
    </w:lvl>
    <w:lvl w:ilvl="1">
      <w:lvlJc w:val="left"/>
      <w:lvlText w:val="(%2)"/>
      <w:numFmt w:val="lowerLetter"/>
      <w:start w:val="3"/>
    </w:lvl>
  </w:abstractNum>
  <w:abstractNum w:abstractNumId="70">
    <w:nsid w:val="613183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1">
    <w:nsid w:val="634102B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2">
    <w:nsid w:val="65BF9DA8"/>
    <w:multiLevelType w:val="hybridMultilevel"/>
    <w:lvl w:ilvl="0">
      <w:lvlJc w:val="left"/>
      <w:lvlText w:val="(%1)"/>
      <w:numFmt w:val="upperLetter"/>
      <w:start w:val="1"/>
    </w:lvl>
  </w:abstractNum>
  <w:abstractNum w:abstractNumId="73">
    <w:nsid w:val="21A2ECCA"/>
    <w:multiLevelType w:val="hybridMultilevel"/>
    <w:lvl w:ilvl="0">
      <w:lvlJc w:val="left"/>
      <w:lvlText w:val="(%1)"/>
      <w:numFmt w:val="upperLetter"/>
      <w:start w:val="2"/>
    </w:lvl>
    <w:lvl w:ilvl="1">
      <w:lvlJc w:val="left"/>
      <w:lvlText w:val="(%2)"/>
      <w:numFmt w:val="decimal"/>
      <w:start w:val="1"/>
    </w:lvl>
  </w:abstractNum>
  <w:abstractNum w:abstractNumId="74">
    <w:nsid w:val="4D5C489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7"/>
    </w:lvl>
  </w:abstractNum>
  <w:abstractNum w:abstractNumId="75">
    <w:nsid w:val="3C3B72B2"/>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76">
    <w:nsid w:val="155EC4C2"/>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77">
    <w:nsid w:val="65D2A137"/>
    <w:multiLevelType w:val="hybridMultilevel"/>
    <w:lvl w:ilvl="0">
      <w:lvlJc w:val="left"/>
      <w:lvlText w:val="%1"/>
      <w:numFmt w:val="lowerLetter"/>
      <w:start w:val="1"/>
    </w:lvl>
    <w:lvl w:ilvl="1">
      <w:lvlJc w:val="left"/>
      <w:lvlText w:val="(%2)"/>
      <w:numFmt w:val="lowerLetter"/>
      <w:start w:val="2"/>
    </w:lvl>
  </w:abstractNum>
  <w:abstractNum w:abstractNumId="78">
    <w:nsid w:val="6EBB1F2A"/>
    <w:multiLevelType w:val="hybridMultilevel"/>
    <w:lvl w:ilvl="0">
      <w:lvlJc w:val="left"/>
      <w:lvlText w:val="(%1)"/>
      <w:numFmt w:val="lowerLetter"/>
      <w:start w:val="35"/>
    </w:lvl>
    <w:lvl w:ilvl="1">
      <w:lvlJc w:val="left"/>
      <w:lvlText w:val="(%2)"/>
      <w:numFmt w:val="lowerLetter"/>
      <w:start w:val="3"/>
    </w:lvl>
  </w:abstractNum>
  <w:abstractNum w:abstractNumId="79">
    <w:nsid w:val="6FBF29CB"/>
    <w:multiLevelType w:val="hybridMultilevel"/>
    <w:lvl w:ilvl="0">
      <w:lvlJc w:val="left"/>
      <w:lvlText w:val="(%1)"/>
      <w:numFmt w:val="lowerRoman"/>
      <w:start w:val="4"/>
    </w:lvl>
    <w:lvl w:ilvl="1">
      <w:lvlJc w:val="left"/>
      <w:lvlText w:val="(%2)"/>
      <w:numFmt w:val="lowerLetter"/>
      <w:start w:val="4"/>
    </w:lvl>
    <w:lvl w:ilvl="2">
      <w:lvlJc w:val="left"/>
      <w:lvlText w:val="(%3)"/>
      <w:numFmt w:val="lowerRoman"/>
      <w:start w:val="1"/>
    </w:lvl>
  </w:abstractNum>
  <w:abstractNum w:abstractNumId="80">
    <w:nsid w:val="550B8808"/>
    <w:multiLevelType w:val="hybridMultilevel"/>
    <w:lvl w:ilvl="0">
      <w:lvlJc w:val="left"/>
      <w:lvlText w:val="(%1)"/>
      <w:numFmt w:val="lowerLetter"/>
      <w:start w:val="5"/>
    </w:lvl>
  </w:abstractNum>
  <w:abstractNum w:abstractNumId="81">
    <w:nsid w:val="34CC3ACF"/>
    <w:multiLevelType w:val="hybridMultilevel"/>
    <w:lvl w:ilvl="0">
      <w:lvlJc w:val="left"/>
      <w:lvlText w:val="(%1)"/>
      <w:numFmt w:val="lowerLetter"/>
      <w:start w:val="1"/>
    </w:lvl>
  </w:abstractNum>
  <w:abstractNum w:abstractNumId="82">
    <w:nsid w:val="4E556261"/>
    <w:multiLevelType w:val="hybridMultilevel"/>
    <w:lvl w:ilvl="0">
      <w:lvlJc w:val="left"/>
      <w:lvlText w:val="(%1)"/>
      <w:numFmt w:val="lowerLetter"/>
      <w:start w:val="4"/>
    </w:lvl>
  </w:abstractNum>
  <w:abstractNum w:abstractNumId="83">
    <w:nsid w:val="4C672FC9"/>
    <w:multiLevelType w:val="hybridMultilevel"/>
    <w:lvl w:ilvl="0">
      <w:lvlJc w:val="left"/>
      <w:lvlText w:val="(%1)"/>
      <w:numFmt w:val="lowerLetter"/>
      <w:start w:val="1"/>
    </w:lvl>
  </w:abstractNum>
  <w:abstractNum w:abstractNumId="84">
    <w:nsid w:val="52A311C3"/>
    <w:multiLevelType w:val="hybridMultilevel"/>
    <w:lvl w:ilvl="0">
      <w:lvlJc w:val="left"/>
      <w:lvlText w:val="(%1)"/>
      <w:numFmt w:val="lowerLetter"/>
      <w:start w:val="3"/>
    </w:lvl>
  </w:abstractNum>
  <w:abstractNum w:abstractNumId="85">
    <w:nsid w:val="44EF6B80"/>
    <w:multiLevelType w:val="hybridMultilevel"/>
    <w:lvl w:ilvl="0">
      <w:lvlJc w:val="left"/>
      <w:lvlText w:val="(%1)"/>
      <w:numFmt w:val="lowerLetter"/>
      <w:start w:val="1"/>
    </w:lvl>
  </w:abstractNum>
  <w:abstractNum w:abstractNumId="86">
    <w:nsid w:val="12FCDE5E"/>
    <w:multiLevelType w:val="hybridMultilevel"/>
    <w:lvl w:ilvl="0">
      <w:lvlJc w:val="left"/>
      <w:lvlText w:val="(%1)"/>
      <w:numFmt w:val="lowerLetter"/>
      <w:start w:val="1"/>
    </w:lvl>
    <w:lvl w:ilvl="1">
      <w:lvlJc w:val="left"/>
      <w:lvlText w:val="(%2)"/>
      <w:numFmt w:val="lowerRoman"/>
      <w:start w:val="1"/>
    </w:lvl>
  </w:abstractNum>
  <w:abstractNum w:abstractNumId="87">
    <w:nsid w:val="4A1D606E"/>
    <w:multiLevelType w:val="hybridMultilevel"/>
    <w:lvl w:ilvl="0">
      <w:lvlJc w:val="left"/>
      <w:lvlText w:val="(%1)"/>
      <w:numFmt w:val="lowerLetter"/>
      <w:start w:val="4"/>
    </w:lvl>
  </w:abstractNum>
  <w:abstractNum w:abstractNumId="88">
    <w:nsid w:val="4382503"/>
    <w:multiLevelType w:val="hybridMultilevel"/>
    <w:lvl w:ilvl="0">
      <w:lvlJc w:val="left"/>
      <w:lvlText w:val="(%1)"/>
      <w:numFmt w:val="lowerLetter"/>
      <w:start w:val="1"/>
    </w:lvl>
    <w:lvl w:ilvl="1">
      <w:lvlJc w:val="left"/>
      <w:lvlText w:val="(%2)"/>
      <w:numFmt w:val="lowerRoman"/>
      <w:start w:val="1"/>
    </w:lvl>
  </w:abstractNum>
  <w:abstractNum w:abstractNumId="89">
    <w:nsid w:val="59B76E28"/>
    <w:multiLevelType w:val="hybridMultilevel"/>
    <w:lvl w:ilvl="0">
      <w:lvlJc w:val="left"/>
      <w:lvlText w:val="(%1)"/>
      <w:numFmt w:val="lowerLetter"/>
      <w:start w:val="4"/>
    </w:lvl>
  </w:abstractNum>
  <w:abstractNum w:abstractNumId="90">
    <w:nsid w:val="4252C2DA"/>
    <w:multiLevelType w:val="hybridMultilevel"/>
    <w:lvl w:ilvl="0">
      <w:lvlJc w:val="left"/>
      <w:lvlText w:val="(%1)"/>
      <w:numFmt w:val="lowerLetter"/>
      <w:start w:val="1"/>
    </w:lvl>
    <w:lvl w:ilvl="1">
      <w:lvlJc w:val="left"/>
      <w:lvlText w:val="(%2)"/>
      <w:numFmt w:val="lowerRoman"/>
      <w:start w:val="1"/>
    </w:lvl>
  </w:abstractNum>
  <w:abstractNum w:abstractNumId="91">
    <w:nsid w:val="6A92EF4C"/>
    <w:multiLevelType w:val="hybridMultilevel"/>
    <w:lvl w:ilvl="0">
      <w:lvlJc w:val="left"/>
      <w:lvlText w:val="(%1)"/>
      <w:numFmt w:val="upperLetter"/>
      <w:start w:val="1"/>
    </w:lvl>
  </w:abstractNum>
  <w:abstractNum w:abstractNumId="92">
    <w:nsid w:val="41ED20D7"/>
    <w:multiLevelType w:val="hybridMultilevel"/>
    <w:lvl w:ilvl="0">
      <w:lvlJc w:val="left"/>
      <w:lvlText w:val="%1"/>
      <w:numFmt w:val="lowerLetter"/>
      <w:start w:val="1"/>
    </w:lvl>
    <w:lvl w:ilvl="1">
      <w:lvlJc w:val="left"/>
      <w:lvlText w:val="(%2)"/>
      <w:numFmt w:val="lowerRoman"/>
      <w:start w:val="2"/>
    </w:lvl>
  </w:abstractNum>
  <w:abstractNum w:abstractNumId="93">
    <w:nsid w:val="E6B3F6A"/>
    <w:multiLevelType w:val="hybridMultilevel"/>
    <w:lvl w:ilvl="0">
      <w:lvlJc w:val="left"/>
      <w:lvlText w:val="(%1)"/>
      <w:numFmt w:val="lowerLetter"/>
      <w:start w:val="3"/>
    </w:lvl>
    <w:lvl w:ilvl="1">
      <w:lvlJc w:val="left"/>
      <w:lvlText w:val="(%2)"/>
      <w:numFmt w:val="lowerRoman"/>
      <w:start w:val="1"/>
    </w:lvl>
  </w:abstractNum>
  <w:abstractNum w:abstractNumId="94">
    <w:nsid w:val="3EB2181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95">
    <w:nsid w:val="41531DED"/>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5"/>
    </w:lvl>
  </w:abstractNum>
  <w:abstractNum w:abstractNumId="96">
    <w:nsid w:val="6353CD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7">
    <w:nsid w:val="683CAAD3"/>
    <w:multiLevelType w:val="hybridMultilevel"/>
    <w:lvl w:ilvl="0">
      <w:lvlJc w:val="left"/>
      <w:lvlText w:val="(%1)"/>
      <w:numFmt w:val="upperLetter"/>
      <w:start w:val="1"/>
    </w:lvl>
  </w:abstractNum>
  <w:abstractNum w:abstractNumId="98">
    <w:nsid w:val="313C7C99"/>
    <w:multiLevelType w:val="hybridMultilevel"/>
    <w:lvl w:ilvl="0">
      <w:lvlJc w:val="left"/>
      <w:lvlText w:val="(%1)"/>
      <w:numFmt w:val="decimal"/>
      <w:start w:val="8"/>
    </w:lvl>
    <w:lvl w:ilvl="1">
      <w:lvlJc w:val="left"/>
      <w:lvlText w:val="(%2)"/>
      <w:numFmt w:val="upperLetter"/>
      <w:start w:val="6"/>
    </w:lvl>
  </w:abstractNum>
  <w:abstractNum w:abstractNumId="99">
    <w:nsid w:val="519EB94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7"/>
    </w:lvl>
  </w:abstractNum>
  <w:abstractNum w:abstractNumId="100">
    <w:nsid w:val="39DF257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1">
    <w:nsid w:val="126E008B"/>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102">
    <w:nsid w:val="34DFBC00"/>
    <w:multiLevelType w:val="hybridMultilevel"/>
    <w:lvl w:ilvl="0">
      <w:lvlJc w:val="left"/>
      <w:lvlText w:val="(%1)"/>
      <w:numFmt w:val="lowerRoman"/>
      <w:start w:val="2"/>
    </w:lvl>
  </w:abstractNum>
  <w:abstractNum w:abstractNumId="103">
    <w:nsid w:val="1F9EC322"/>
    <w:multiLevelType w:val="hybridMultilevel"/>
    <w:lvl w:ilvl="0">
      <w:lvlJc w:val="left"/>
      <w:lvlText w:val="(%1)"/>
      <w:numFmt w:val="lowerLetter"/>
      <w:start w:val="1"/>
    </w:lvl>
  </w:abstractNum>
  <w:abstractNum w:abstractNumId="104">
    <w:nsid w:val="3410ED56"/>
    <w:multiLevelType w:val="hybridMultilevel"/>
    <w:lvl w:ilvl="0">
      <w:lvlJc w:val="left"/>
      <w:lvlText w:val="(%1)"/>
      <w:numFmt w:val="lowerLetter"/>
      <w:start w:val="1"/>
    </w:lvl>
    <w:lvl w:ilvl="1">
      <w:lvlJc w:val="left"/>
      <w:lvlText w:val="(%2)"/>
      <w:numFmt w:val="lowerRoman"/>
      <w:start w:val="1"/>
    </w:lvl>
  </w:abstractNum>
  <w:abstractNum w:abstractNumId="105">
    <w:nsid w:val="23C049A"/>
    <w:multiLevelType w:val="hybridMultilevel"/>
    <w:lvl w:ilvl="0">
      <w:lvlJc w:val="left"/>
      <w:lvlText w:val="(%1)"/>
      <w:numFmt w:val="lowerLetter"/>
      <w:start w:val="1"/>
    </w:lvl>
  </w:abstractNum>
  <w:abstractNum w:abstractNumId="106">
    <w:nsid w:val="5BDA35D4"/>
    <w:multiLevelType w:val="hybridMultilevel"/>
    <w:lvl w:ilvl="0">
      <w:lvlJc w:val="left"/>
      <w:lvlText w:val="(%1)"/>
      <w:numFmt w:val="lowerLetter"/>
      <w:start w:val="1"/>
    </w:lvl>
    <w:lvl w:ilvl="1">
      <w:lvlJc w:val="left"/>
      <w:lvlText w:val="(%2)"/>
      <w:numFmt w:val="lowerRoman"/>
      <w:start w:val="1"/>
    </w:lvl>
  </w:abstractNum>
  <w:abstractNum w:abstractNumId="107">
    <w:nsid w:val="496FB21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108">
    <w:nsid w:val="680EA5D1"/>
    <w:multiLevelType w:val="hybridMultilevel"/>
    <w:lvl w:ilvl="0">
      <w:lvlJc w:val="left"/>
      <w:lvlText w:val="(%1)"/>
      <w:numFmt w:val="lowerLetter"/>
      <w:start w:val="1"/>
    </w:lvl>
  </w:abstractNum>
  <w:abstractNum w:abstractNumId="109">
    <w:nsid w:val="4A9554FE"/>
    <w:multiLevelType w:val="hybridMultilevel"/>
    <w:lvl w:ilvl="0">
      <w:lvlJc w:val="left"/>
      <w:lvlText w:val="(%1)"/>
      <w:numFmt w:val="decimal"/>
      <w:start w:val="1"/>
    </w:lvl>
  </w:abstractNum>
  <w:abstractNum w:abstractNumId="110">
    <w:nsid w:val="392EDBE4"/>
    <w:multiLevelType w:val="hybridMultilevel"/>
    <w:lvl w:ilvl="0">
      <w:lvlJc w:val="left"/>
      <w:lvlText w:val="(%1)"/>
      <w:numFmt w:val="decimal"/>
      <w:start w:val="2"/>
    </w:lvl>
  </w:abstractNum>
  <w:abstractNum w:abstractNumId="111">
    <w:nsid w:val="3D1A2DD9"/>
    <w:multiLevelType w:val="hybridMultilevel"/>
    <w:lvl w:ilvl="0">
      <w:lvlJc w:val="left"/>
      <w:lvlText w:val="•"/>
      <w:numFmt w:val="bullet"/>
      <w:start w:val="1"/>
    </w:lvl>
  </w:abstractNum>
  <w:abstractNum w:abstractNumId="112">
    <w:nsid w:val="7F618FCD"/>
    <w:multiLevelType w:val="hybridMultilevel"/>
    <w:lvl w:ilvl="0">
      <w:lvlJc w:val="left"/>
      <w:lvlText w:val="(%1)"/>
      <w:numFmt w:val="decimal"/>
      <w:start w:val="4"/>
    </w:lvl>
  </w:abstractNum>
  <w:abstractNum w:abstractNumId="113">
    <w:nsid w:val="7843E45"/>
    <w:multiLevelType w:val="hybridMultilevel"/>
    <w:lvl w:ilvl="0">
      <w:lvlJc w:val="left"/>
      <w:lvlText w:val="(%1)"/>
      <w:numFmt w:val="decimal"/>
      <w:start w:val="4"/>
    </w:lvl>
  </w:abstractNum>
  <w:abstractNum w:abstractNumId="114">
    <w:nsid w:val="9815DA3"/>
    <w:multiLevelType w:val="hybridMultilevel"/>
    <w:lvl w:ilvl="0">
      <w:lvlJc w:val="left"/>
      <w:lvlText w:val="(%1)"/>
      <w:numFmt w:val="decimal"/>
      <w:start w:val="1"/>
    </w:lvl>
  </w:abstractNum>
  <w:abstractNum w:abstractNumId="115">
    <w:nsid w:val="5204A191"/>
    <w:multiLevelType w:val="hybridMultilevel"/>
    <w:lvl w:ilvl="0">
      <w:lvlJc w:val="left"/>
      <w:lvlText w:val="•"/>
      <w:numFmt w:val="bullet"/>
      <w:start w:val="1"/>
    </w:lvl>
  </w:abstractNum>
  <w:abstractNum w:abstractNumId="116">
    <w:nsid w:val="4C73A9C6"/>
    <w:multiLevelType w:val="hybridMultilevel"/>
    <w:lvl w:ilvl="0">
      <w:lvlJc w:val="left"/>
      <w:lvlText w:val="•"/>
      <w:numFmt w:val="bullet"/>
      <w:start w:val="1"/>
    </w:lvl>
  </w:abstractNum>
  <w:abstractNum w:abstractNumId="117">
    <w:nsid w:val="1C7E3C01"/>
    <w:multiLevelType w:val="hybridMultilevel"/>
    <w:lvl w:ilvl="0">
      <w:lvlJc w:val="left"/>
      <w:lvlText w:val="•"/>
      <w:numFmt w:val="bullet"/>
      <w:start w:val="1"/>
    </w:lvl>
  </w:abstractNum>
  <w:abstractNum w:abstractNumId="118">
    <w:nsid w:val="1C2201FF"/>
    <w:multiLevelType w:val="hybridMultilevel"/>
    <w:lvl w:ilvl="0">
      <w:lvlJc w:val="left"/>
      <w:lvlText w:val="•"/>
      <w:numFmt w:val="bullet"/>
      <w:start w:val="1"/>
    </w:lvl>
  </w:abstractNum>
  <w:abstractNum w:abstractNumId="119">
    <w:nsid w:val="50ABCEC9"/>
    <w:multiLevelType w:val="hybridMultilevel"/>
    <w:lvl w:ilvl="0">
      <w:lvlJc w:val="left"/>
      <w:lvlText w:val="A"/>
      <w:numFmt w:val="bullet"/>
      <w:start w:val="1"/>
    </w:lvl>
    <w:lvl w:ilvl="1">
      <w:lvlJc w:val="left"/>
      <w:lvlText w:val="•"/>
      <w:numFmt w:val="bullet"/>
      <w:start w:val="1"/>
    </w:lvl>
    <w:lvl w:ilvl="2">
      <w:lvlJc w:val="left"/>
      <w:lvlText w:val="◦"/>
      <w:numFmt w:val="bullet"/>
      <w:start w:val="1"/>
    </w:lvl>
  </w:abstractNum>
  <w:abstractNum w:abstractNumId="120">
    <w:nsid w:val="7635AA2A"/>
    <w:multiLevelType w:val="hybridMultilevel"/>
    <w:lvl w:ilvl="0">
      <w:lvlJc w:val="left"/>
      <w:lvlText w:val="•"/>
      <w:numFmt w:val="bullet"/>
      <w:start w:val="1"/>
    </w:lvl>
    <w:lvl w:ilvl="1">
      <w:lvlJc w:val="left"/>
      <w:lvlText w:val="◦"/>
      <w:numFmt w:val="bullet"/>
      <w:start w:val="1"/>
    </w:lvl>
  </w:abstractNum>
  <w:abstractNum w:abstractNumId="121">
    <w:nsid w:val="5E74C4D9"/>
    <w:multiLevelType w:val="hybridMultilevel"/>
    <w:lvl w:ilvl="0">
      <w:lvlJc w:val="left"/>
      <w:lvlText w:val="•"/>
      <w:numFmt w:val="bullet"/>
      <w:start w:val="1"/>
    </w:lvl>
  </w:abstractNum>
  <w:abstractNum w:abstractNumId="122">
    <w:nsid w:val="3B3EBE15"/>
    <w:multiLevelType w:val="hybridMultilevel"/>
    <w:lvl w:ilvl="0">
      <w:lvlJc w:val="left"/>
      <w:lvlText w:val="•"/>
      <w:numFmt w:val="bullet"/>
      <w:start w:val="1"/>
    </w:lvl>
  </w:abstractNum>
  <w:abstractNum w:abstractNumId="123">
    <w:nsid w:val="3822CB01"/>
    <w:multiLevelType w:val="hybridMultilevel"/>
    <w:lvl w:ilvl="0">
      <w:lvlJc w:val="left"/>
      <w:lvlText w:val="•"/>
      <w:numFmt w:val="bullet"/>
      <w:start w:val="1"/>
    </w:lvl>
  </w:abstractNum>
  <w:abstractNum w:abstractNumId="124">
    <w:nsid w:val="6CE00443"/>
    <w:multiLevelType w:val="hybridMultilevel"/>
    <w:lvl w:ilvl="0">
      <w:lvlJc w:val="left"/>
      <w:lvlText w:val="(%1)"/>
      <w:numFmt w:val="lowerLetter"/>
      <w:start w:val="1"/>
    </w:lvl>
  </w:abstractNum>
  <w:abstractNum w:abstractNumId="125">
    <w:nsid w:val="79F0D62F"/>
    <w:multiLevelType w:val="hybridMultilevel"/>
    <w:lvl w:ilvl="0">
      <w:lvlJc w:val="left"/>
      <w:lvlText w:val="(%1)"/>
      <w:numFmt w:val="lowerLetter"/>
      <w:start w:val="3"/>
    </w:lvl>
  </w:abstractNum>
  <w:abstractNum w:abstractNumId="126">
    <w:nsid w:val="7975E8EE"/>
    <w:multiLevelType w:val="hybridMultilevel"/>
    <w:lvl w:ilvl="0">
      <w:lvlJc w:val="left"/>
      <w:lvlText w:val="(%1)"/>
      <w:numFmt w:val="lowerLetter"/>
      <w:start w:val="1"/>
    </w:lvl>
  </w:abstractNum>
  <w:abstractNum w:abstractNumId="127">
    <w:nsid w:val="73154115"/>
    <w:multiLevelType w:val="hybridMultilevel"/>
    <w:lvl w:ilvl="0">
      <w:lvlJc w:val="left"/>
      <w:lvlText w:val="(%1)"/>
      <w:numFmt w:val="lowerLetter"/>
      <w:start w:val="2"/>
    </w:lvl>
  </w:abstractNum>
  <w:abstractNum w:abstractNumId="128">
    <w:nsid w:val="622D8102"/>
    <w:multiLevelType w:val="hybridMultilevel"/>
    <w:lvl w:ilvl="0">
      <w:lvlJc w:val="left"/>
      <w:lvlText w:val="(%1)"/>
      <w:numFmt w:val="lowerLetter"/>
      <w:start w:val="1"/>
    </w:lvl>
  </w:abstractNum>
  <w:abstractNum w:abstractNumId="129">
    <w:nsid w:val="2AB26587"/>
    <w:multiLevelType w:val="hybridMultilevel"/>
    <w:lvl w:ilvl="0">
      <w:lvlJc w:val="left"/>
      <w:lvlText w:val="(%1)"/>
      <w:numFmt w:val="lowerLetter"/>
      <w:start w:val="2"/>
    </w:lvl>
  </w:abstractNum>
  <w:abstractNum w:abstractNumId="130">
    <w:nsid w:val="44B3FA61"/>
    <w:multiLevelType w:val="hybridMultilevel"/>
    <w:lvl w:ilvl="0">
      <w:lvlJc w:val="left"/>
      <w:lvlText w:val="(%1)"/>
      <w:numFmt w:val="decimal"/>
      <w:start w:val="3"/>
    </w:lvl>
  </w:abstractNum>
  <w:abstractNum w:abstractNumId="131">
    <w:nsid w:val="1C0CA67C"/>
    <w:multiLevelType w:val="hybridMultilevel"/>
    <w:lvl w:ilvl="0">
      <w:lvlJc w:val="left"/>
      <w:lvlText w:val="(%1)"/>
      <w:numFmt w:val="decimal"/>
      <w:start w:val="1"/>
    </w:lvl>
    <w:lvl w:ilvl="1">
      <w:lvlJc w:val="left"/>
      <w:lvlText w:val="(%2)"/>
      <w:numFmt w:val="lowerLetter"/>
      <w:start w:val="1"/>
    </w:lvl>
  </w:abstractNum>
  <w:abstractNum w:abstractNumId="132">
    <w:nsid w:val="3D206613"/>
    <w:multiLevelType w:val="hybridMultilevel"/>
    <w:lvl w:ilvl="0">
      <w:lvlJc w:val="left"/>
      <w:lvlText w:val="(%1)"/>
      <w:numFmt w:val="decimal"/>
      <w:start w:val="3"/>
    </w:lvl>
  </w:abstractNum>
  <w:abstractNum w:abstractNumId="133">
    <w:nsid w:val="7993B662"/>
    <w:multiLevelType w:val="hybridMultilevel"/>
    <w:lvl w:ilvl="0">
      <w:lvlJc w:val="left"/>
      <w:lvlText w:val="•"/>
      <w:numFmt w:val="bullet"/>
      <w:start w:val="1"/>
    </w:lvl>
    <w:lvl w:ilvl="1">
      <w:lvlJc w:val="left"/>
      <w:lvlText w:val="◦"/>
      <w:numFmt w:val="bullet"/>
      <w:start w:val="1"/>
    </w:lvl>
  </w:abstractNum>
  <w:abstractNum w:abstractNumId="134">
    <w:nsid w:val="3BAB699E"/>
    <w:multiLevelType w:val="hybridMultilevel"/>
    <w:lvl w:ilvl="0">
      <w:lvlJc w:val="left"/>
      <w:lvlText w:val="◦"/>
      <w:numFmt w:val="bullet"/>
      <w:start w:val="1"/>
    </w:lvl>
  </w:abstractNum>
  <w:abstractNum w:abstractNumId="135">
    <w:nsid w:val="71315369"/>
    <w:multiLevelType w:val="hybridMultilevel"/>
    <w:lvl w:ilvl="0">
      <w:lvlJc w:val="left"/>
      <w:lvlText w:val="•"/>
      <w:numFmt w:val="bullet"/>
      <w:start w:val="1"/>
    </w:lvl>
  </w:abstractNum>
  <w:abstractNum w:abstractNumId="136">
    <w:nsid w:val="7BCFBAFC"/>
    <w:multiLevelType w:val="hybridMultilevel"/>
    <w:lvl w:ilvl="0">
      <w:lvlJc w:val="left"/>
      <w:lvlText w:val="•"/>
      <w:numFmt w:val="bullet"/>
      <w:start w:val="1"/>
    </w:lvl>
  </w:abstractNum>
  <w:abstractNum w:abstractNumId="137">
    <w:nsid w:val="17859F72"/>
    <w:multiLevelType w:val="hybridMultilevel"/>
    <w:lvl w:ilvl="0">
      <w:lvlJc w:val="left"/>
      <w:lvlText w:val="•"/>
      <w:numFmt w:val="bullet"/>
      <w:start w:val="1"/>
    </w:lvl>
    <w:lvl w:ilvl="1">
      <w:lvlJc w:val="left"/>
      <w:lvlText w:val="◦"/>
      <w:numFmt w:val="bullet"/>
      <w:start w:val="1"/>
    </w:lvl>
  </w:abstractNum>
  <w:abstractNum w:abstractNumId="138">
    <w:nsid w:val="3AA10581"/>
    <w:multiLevelType w:val="hybridMultilevel"/>
    <w:lvl w:ilvl="0">
      <w:lvlJc w:val="left"/>
      <w:lvlText w:val="•"/>
      <w:numFmt w:val="bullet"/>
      <w:start w:val="1"/>
    </w:lvl>
  </w:abstractNum>
  <w:abstractNum w:abstractNumId="139">
    <w:nsid w:val="63DE60CD"/>
    <w:multiLevelType w:val="hybridMultilevel"/>
    <w:lvl w:ilvl="0">
      <w:lvlJc w:val="left"/>
      <w:lvlText w:val="•"/>
      <w:numFmt w:val="bullet"/>
      <w:start w:val="1"/>
    </w:lvl>
  </w:abstractNum>
  <w:abstractNum w:abstractNumId="140">
    <w:nsid w:val="621AF471"/>
    <w:multiLevelType w:val="hybridMultilevel"/>
    <w:lvl w:ilvl="0">
      <w:lvlJc w:val="left"/>
      <w:lvlText w:val="•"/>
      <w:numFmt w:val="bullet"/>
      <w:start w:val="1"/>
    </w:lvl>
  </w:abstractNum>
  <w:abstractNum w:abstractNumId="141">
    <w:nsid w:val="73CFE165"/>
    <w:multiLevelType w:val="hybridMultilevel"/>
    <w:lvl w:ilvl="0">
      <w:lvlJc w:val="left"/>
      <w:lvlText w:val="•"/>
      <w:numFmt w:val="bullet"/>
      <w:start w:val="1"/>
    </w:lvl>
  </w:abstractNum>
  <w:abstractNum w:abstractNumId="142">
    <w:nsid w:val="20F88EA6"/>
    <w:multiLevelType w:val="hybridMultilevel"/>
    <w:lvl w:ilvl="0">
      <w:lvlJc w:val="left"/>
      <w:lvlText w:val="•"/>
      <w:numFmt w:val="bullet"/>
      <w:start w:val="1"/>
    </w:lvl>
  </w:abstractNum>
  <w:abstractNum w:abstractNumId="143">
    <w:nsid w:val="617C843E"/>
    <w:multiLevelType w:val="hybridMultilevel"/>
    <w:lvl w:ilvl="0">
      <w:lvlJc w:val="left"/>
      <w:lvlText w:val="•"/>
      <w:numFmt w:val="bullet"/>
      <w:start w:val="1"/>
    </w:lvl>
  </w:abstractNum>
  <w:abstractNum w:abstractNumId="144">
    <w:nsid w:val="7B541FAB"/>
    <w:multiLevelType w:val="hybridMultilevel"/>
    <w:lvl w:ilvl="0">
      <w:lvlJc w:val="left"/>
      <w:lvlText w:val="•"/>
      <w:numFmt w:val="bullet"/>
      <w:start w:val="1"/>
    </w:lvl>
  </w:abstractNum>
  <w:abstractNum w:abstractNumId="145">
    <w:nsid w:val="2A79EC49"/>
    <w:multiLevelType w:val="hybridMultilevel"/>
    <w:lvl w:ilvl="0">
      <w:lvlJc w:val="left"/>
      <w:lvlText w:val="•"/>
      <w:numFmt w:val="bullet"/>
      <w:start w:val="1"/>
    </w:lvl>
  </w:abstractNum>
  <w:abstractNum w:abstractNumId="146">
    <w:nsid w:val="338125CF"/>
    <w:multiLevelType w:val="hybridMultilevel"/>
    <w:lvl w:ilvl="0">
      <w:lvlJc w:val="left"/>
      <w:lvlText w:val="(%1)"/>
      <w:numFmt w:val="decimal"/>
      <w:start w:val="1"/>
    </w:lvl>
  </w:abstractNum>
  <w:abstractNum w:abstractNumId="147">
    <w:nsid w:val="47C7C971"/>
    <w:multiLevelType w:val="hybridMultilevel"/>
    <w:lvl w:ilvl="0">
      <w:lvlJc w:val="left"/>
      <w:lvlText w:val="(%1)"/>
      <w:numFmt w:val="decimal"/>
      <w:start w:val="2"/>
    </w:lvl>
    <w:lvl w:ilvl="1">
      <w:lvlJc w:val="left"/>
      <w:lvlText w:val="◦"/>
      <w:numFmt w:val="bullet"/>
      <w:start w:val="1"/>
    </w:lvl>
  </w:abstractNum>
  <w:abstractNum w:abstractNumId="148">
    <w:nsid w:val="46F8284B"/>
    <w:multiLevelType w:val="hybridMultilevel"/>
    <w:lvl w:ilvl="0">
      <w:lvlJc w:val="left"/>
      <w:lvlText w:val="◦"/>
      <w:numFmt w:val="bullet"/>
      <w:start w:val="1"/>
    </w:lvl>
  </w:abstractNum>
  <w:abstractNum w:abstractNumId="149">
    <w:nsid w:val="4FA327CE"/>
    <w:multiLevelType w:val="hybridMultilevel"/>
    <w:lvl w:ilvl="0">
      <w:lvlJc w:val="left"/>
      <w:lvlText w:val="•"/>
      <w:numFmt w:val="bullet"/>
      <w:start w:val="1"/>
    </w:lvl>
  </w:abstractNum>
  <w:abstractNum w:abstractNumId="150">
    <w:nsid w:val="1873983A"/>
    <w:multiLevelType w:val="hybridMultilevel"/>
    <w:lvl w:ilvl="0">
      <w:lvlJc w:val="left"/>
      <w:lvlText w:val="(%1)"/>
      <w:numFmt w:val="decimal"/>
      <w:start w:val="4"/>
    </w:lvl>
  </w:abstractNum>
  <w:abstractNum w:abstractNumId="151">
    <w:nsid w:val="3D2DD275"/>
    <w:multiLevelType w:val="hybridMultilevel"/>
    <w:lvl w:ilvl="0">
      <w:lvlJc w:val="left"/>
      <w:lvlText w:val="•"/>
      <w:numFmt w:val="bullet"/>
      <w:start w:val="1"/>
    </w:lvl>
  </w:abstractNum>
  <w:abstractNum w:abstractNumId="152">
    <w:nsid w:val="2E17ECA7"/>
    <w:multiLevelType w:val="hybridMultilevel"/>
    <w:lvl w:ilvl="0">
      <w:lvlJc w:val="left"/>
      <w:lvlText w:val="•"/>
      <w:numFmt w:val="bullet"/>
      <w:start w:val="1"/>
    </w:lvl>
  </w:abstractNum>
  <w:abstractNum w:abstractNumId="153">
    <w:nsid w:val="53B2564F"/>
    <w:multiLevelType w:val="hybridMultilevel"/>
    <w:lvl w:ilvl="0">
      <w:lvlJc w:val="left"/>
      <w:lvlText w:val="•"/>
      <w:numFmt w:val="bullet"/>
      <w:start w:val="1"/>
    </w:lvl>
  </w:abstractNum>
  <w:abstractNum w:abstractNumId="154">
    <w:nsid w:val="75509D76"/>
    <w:multiLevelType w:val="hybridMultilevel"/>
    <w:lvl w:ilvl="0">
      <w:lvlJc w:val="left"/>
      <w:lvlText w:val="(%1)"/>
      <w:numFmt w:val="decimal"/>
      <w:start w:val="1"/>
    </w:lvl>
  </w:abstractNum>
  <w:abstractNum w:abstractNumId="155">
    <w:nsid w:val="1AF7F0EA"/>
    <w:multiLevelType w:val="hybridMultilevel"/>
    <w:lvl w:ilvl="0">
      <w:lvlJc w:val="left"/>
      <w:lvlText w:val="%1"/>
      <w:numFmt w:val="decimal"/>
      <w:start w:val="1"/>
    </w:lvl>
    <w:lvl w:ilvl="1">
      <w:lvlJc w:val="left"/>
      <w:lvlText w:val="(%2)"/>
      <w:numFmt w:val="lowerLetter"/>
      <w:start w:val="1"/>
    </w:lvl>
  </w:abstractNum>
  <w:abstractNum w:abstractNumId="156">
    <w:nsid w:val="4DA32C7E"/>
    <w:multiLevelType w:val="hybridMultilevel"/>
    <w:lvl w:ilvl="0">
      <w:lvlJc w:val="left"/>
      <w:lvlText w:val="(%1)"/>
      <w:numFmt w:val="decimal"/>
      <w:start w:val="2"/>
    </w:lvl>
    <w:lvl w:ilvl="1">
      <w:lvlJc w:val="left"/>
      <w:lvlText w:val="%2"/>
      <w:numFmt w:val="lowerLetter"/>
      <w:start w:val="1"/>
    </w:lvl>
  </w:abstractNum>
  <w:abstractNum w:abstractNumId="157">
    <w:nsid w:val="6EC68664"/>
    <w:multiLevelType w:val="hybridMultilevel"/>
    <w:lvl w:ilvl="0">
      <w:lvlJc w:val="left"/>
      <w:lvlText w:val="(%1)"/>
      <w:numFmt w:val="decimal"/>
      <w:start w:val="5"/>
    </w:lvl>
  </w:abstractNum>
  <w:abstractNum w:abstractNumId="158">
    <w:nsid w:val="E0D31FF"/>
    <w:multiLevelType w:val="hybridMultilevel"/>
    <w:lvl w:ilvl="0">
      <w:lvlJc w:val="left"/>
      <w:lvlText w:val="(%1)"/>
      <w:numFmt w:val="lowerLetter"/>
      <w:start w:val="1"/>
    </w:lvl>
  </w:abstractNum>
  <w:abstractNum w:abstractNumId="159">
    <w:nsid w:val="2FD0AD81"/>
    <w:multiLevelType w:val="hybridMultilevel"/>
    <w:lvl w:ilvl="0">
      <w:lvlJc w:val="left"/>
      <w:lvlText w:val="•"/>
      <w:numFmt w:val="bullet"/>
      <w:start w:val="1"/>
    </w:lvl>
  </w:abstractNum>
  <w:abstractNum w:abstractNumId="160">
    <w:nsid w:val="1978EBEB"/>
    <w:multiLevelType w:val="hybridMultilevel"/>
    <w:lvl w:ilvl="0">
      <w:lvlJc w:val="left"/>
      <w:lvlText w:val="(%1)"/>
      <w:numFmt w:val="decimal"/>
      <w:start w:val="1"/>
    </w:lvl>
  </w:abstractNum>
  <w:abstractNum w:abstractNumId="161">
    <w:nsid w:val="52C12C61"/>
    <w:multiLevelType w:val="hybridMultilevel"/>
    <w:lvl w:ilvl="0">
      <w:lvlJc w:val="left"/>
      <w:lvlText w:val="(%1)"/>
      <w:numFmt w:val="decimal"/>
      <w:start w:val="1"/>
    </w:lvl>
  </w:abstractNum>
  <w:abstractNum w:abstractNumId="162">
    <w:nsid w:val="4BDD53FD"/>
    <w:multiLevelType w:val="hybridMultilevel"/>
    <w:lvl w:ilvl="0">
      <w:lvlJc w:val="left"/>
      <w:lvlText w:val="(%1)"/>
      <w:numFmt w:val="decimal"/>
      <w:start w:val="1"/>
    </w:lvl>
  </w:abstractNum>
  <w:abstractNum w:abstractNumId="163">
    <w:nsid w:val="569951FE"/>
    <w:multiLevelType w:val="hybridMultilevel"/>
    <w:lvl w:ilvl="0">
      <w:lvlJc w:val="left"/>
      <w:lvlText w:val="(%1)"/>
      <w:numFmt w:val="decimal"/>
      <w:start w:val="1"/>
    </w:lvl>
  </w:abstractNum>
  <w:abstractNum w:abstractNumId="164">
    <w:nsid w:val="4C54E2C3"/>
    <w:multiLevelType w:val="hybridMultilevel"/>
    <w:lvl w:ilvl="0">
      <w:lvlJc w:val="left"/>
      <w:lvlText w:val="(%1)"/>
      <w:numFmt w:val="decimal"/>
      <w:start w:val="3"/>
    </w:lvl>
  </w:abstractNum>
  <w:abstractNum w:abstractNumId="165">
    <w:nsid w:val="788BD9B"/>
    <w:multiLevelType w:val="hybridMultilevel"/>
    <w:lvl w:ilvl="0">
      <w:lvlJc w:val="left"/>
      <w:lvlText w:val="(%1)"/>
      <w:numFmt w:val="decimal"/>
      <w:start w:val="6"/>
    </w:lvl>
  </w:abstractNum>
  <w:abstractNum w:abstractNumId="166">
    <w:nsid w:val="47CAA567"/>
    <w:multiLevelType w:val="hybridMultilevel"/>
    <w:lvl w:ilvl="0">
      <w:lvlJc w:val="left"/>
      <w:lvlText w:val="(%1)"/>
      <w:numFmt w:val="decimal"/>
      <w:start w:val="17"/>
    </w:lvl>
  </w:abstractNum>
  <w:abstractNum w:abstractNumId="167">
    <w:nsid w:val="48249DBF"/>
    <w:multiLevelType w:val="hybridMultilevel"/>
    <w:lvl w:ilvl="0">
      <w:lvlJc w:val="left"/>
      <w:lvlText w:val="•"/>
      <w:numFmt w:val="bullet"/>
      <w:start w:val="1"/>
    </w:lvl>
  </w:abstractNum>
  <w:abstractNum w:abstractNumId="168">
    <w:nsid w:val="1F0E5D0D"/>
    <w:multiLevelType w:val="hybridMultilevel"/>
    <w:lvl w:ilvl="0">
      <w:lvlJc w:val="left"/>
      <w:lvlText w:val="•"/>
      <w:numFmt w:val="bullet"/>
      <w:start w:val="1"/>
    </w:lvl>
  </w:abstractNum>
  <w:abstractNum w:abstractNumId="169">
    <w:nsid w:val="26BAAE9"/>
    <w:multiLevelType w:val="hybridMultilevel"/>
    <w:lvl w:ilvl="0">
      <w:lvlJc w:val="left"/>
      <w:lvlText w:val="•"/>
      <w:numFmt w:val="bullet"/>
      <w:start w:val="1"/>
    </w:lvl>
  </w:abstractNum>
  <w:abstractNum w:abstractNumId="170">
    <w:nsid w:val="2C02FE8C"/>
    <w:multiLevelType w:val="hybridMultilevel"/>
    <w:lvl w:ilvl="0">
      <w:lvlJc w:val="left"/>
      <w:lvlText w:val="•"/>
      <w:numFmt w:val="bullet"/>
      <w:start w:val="1"/>
    </w:lvl>
  </w:abstractNum>
  <w:abstractNum w:abstractNumId="171">
    <w:nsid w:val="129517E"/>
    <w:multiLevelType w:val="hybridMultilevel"/>
    <w:lvl w:ilvl="0">
      <w:lvlJc w:val="left"/>
      <w:lvlText w:val="•"/>
      <w:numFmt w:val="bullet"/>
      <w:start w:val="1"/>
    </w:lvl>
  </w:abstractNum>
  <w:abstractNum w:abstractNumId="172">
    <w:nsid w:val="763B8C4E"/>
    <w:multiLevelType w:val="hybridMultilevel"/>
    <w:lvl w:ilvl="0">
      <w:lvlJc w:val="left"/>
      <w:lvlText w:val="(%1)"/>
      <w:numFmt w:val="lowerLetter"/>
      <w:start w:val="1"/>
    </w:lvl>
  </w:abstractNum>
  <w:abstractNum w:abstractNumId="173">
    <w:nsid w:val="4CFB8D32"/>
    <w:multiLevelType w:val="hybridMultilevel"/>
    <w:lvl w:ilvl="0">
      <w:lvlJc w:val="left"/>
      <w:lvlText w:val="(%1)"/>
      <w:numFmt w:val="lowerLetter"/>
      <w:start w:val="5"/>
    </w:lvl>
  </w:abstractNum>
  <w:abstractNum w:abstractNumId="174">
    <w:nsid w:val="62A5D5BD"/>
    <w:multiLevelType w:val="hybridMultilevel"/>
    <w:lvl w:ilvl="0">
      <w:lvlJc w:val="left"/>
      <w:lvlText w:val="(%1)"/>
      <w:numFmt w:val="decimal"/>
      <w:start w:val="5"/>
    </w:lvl>
  </w:abstractNum>
  <w:abstractNum w:abstractNumId="175">
    <w:nsid w:val="718FABF9"/>
    <w:multiLevelType w:val="hybridMultilevel"/>
    <w:lvl w:ilvl="0">
      <w:lvlJc w:val="left"/>
      <w:lvlText w:val="%1"/>
      <w:numFmt w:val="decimal"/>
      <w:start w:val="1"/>
    </w:lvl>
    <w:lvl w:ilvl="1">
      <w:lvlJc w:val="left"/>
      <w:lvlText w:val="(%2)"/>
      <w:numFmt w:val="decimal"/>
      <w:start w:val="1"/>
    </w:lvl>
  </w:abstractNum>
  <w:abstractNum w:abstractNumId="176">
    <w:nsid w:val="7775797C"/>
    <w:multiLevelType w:val="hybridMultilevel"/>
    <w:lvl w:ilvl="0">
      <w:lvlJc w:val="left"/>
      <w:lvlText w:val="(%1)"/>
      <w:numFmt w:val="decimal"/>
      <w:start w:val="2"/>
    </w:lvl>
    <w:lvl w:ilvl="1">
      <w:lvlJc w:val="left"/>
      <w:lvlText w:val="%2"/>
      <w:numFmt w:val="decimal"/>
      <w:start w:val="1"/>
    </w:lvl>
  </w:abstractNum>
  <w:abstractNum w:abstractNumId="177">
    <w:nsid w:val="1626FB8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8">
    <w:nsid w:val="3957756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79">
    <w:nsid w:val="3E6DA1C7"/>
    <w:multiLevelType w:val="hybridMultilevel"/>
    <w:lvl w:ilvl="0">
      <w:lvlJc w:val="left"/>
      <w:lvlText w:val="(%1)"/>
      <w:numFmt w:val="decimal"/>
      <w:start w:val="4"/>
    </w:lvl>
  </w:abstractNum>
  <w:abstractNum w:abstractNumId="180">
    <w:nsid w:val="65CA235B"/>
    <w:multiLevelType w:val="hybridMultilevel"/>
    <w:lvl w:ilvl="0">
      <w:lvlJc w:val="left"/>
      <w:lvlText w:val="(%1)"/>
      <w:numFmt w:val="lowerLetter"/>
      <w:start w:val="1"/>
    </w:lvl>
  </w:abstractNum>
  <w:abstractNum w:abstractNumId="181">
    <w:nsid w:val="51CB0DA4"/>
    <w:multiLevelType w:val="hybridMultilevel"/>
    <w:lvl w:ilvl="0">
      <w:lvlJc w:val="left"/>
      <w:lvlText w:val="•"/>
      <w:numFmt w:val="bullet"/>
      <w:start w:val="1"/>
    </w:lvl>
  </w:abstractNum>
  <w:abstractNum w:abstractNumId="182">
    <w:nsid w:val="7B9B743C"/>
    <w:multiLevelType w:val="hybridMultilevel"/>
    <w:lvl w:ilvl="0">
      <w:lvlJc w:val="left"/>
      <w:lvlText w:val="(%1)"/>
      <w:numFmt w:val="decimal"/>
      <w:start w:val="1"/>
    </w:lvl>
  </w:abstractNum>
  <w:abstractNum w:abstractNumId="183">
    <w:nsid w:val="13E21002"/>
    <w:multiLevelType w:val="hybridMultilevel"/>
    <w:lvl w:ilvl="0">
      <w:lvlJc w:val="left"/>
      <w:lvlText w:val="(%1)"/>
      <w:numFmt w:val="decimal"/>
      <w:start w:val="1"/>
    </w:lvl>
  </w:abstractNum>
  <w:abstractNum w:abstractNumId="184">
    <w:nsid w:val="257D63F4"/>
    <w:multiLevelType w:val="hybridMultilevel"/>
    <w:lvl w:ilvl="0">
      <w:lvlJc w:val="left"/>
      <w:lvlText w:val="(%1)"/>
      <w:numFmt w:val="decimal"/>
      <w:start w:val="1"/>
    </w:lvl>
  </w:abstractNum>
  <w:abstractNum w:abstractNumId="185">
    <w:nsid w:val="70EC11B2"/>
    <w:multiLevelType w:val="hybridMultilevel"/>
    <w:lvl w:ilvl="0">
      <w:lvlJc w:val="left"/>
      <w:lvlText w:val="(%1)"/>
      <w:numFmt w:val="decimal"/>
      <w:start w:val="1"/>
    </w:lvl>
  </w:abstractNum>
  <w:abstractNum w:abstractNumId="186">
    <w:nsid w:val="2EDA00ED"/>
    <w:multiLevelType w:val="hybridMultilevel"/>
    <w:lvl w:ilvl="0">
      <w:lvlJc w:val="left"/>
      <w:lvlText w:val="(%1)"/>
      <w:numFmt w:val="decimal"/>
      <w:start w:val="3"/>
    </w:lvl>
  </w:abstractNum>
  <w:abstractNum w:abstractNumId="187">
    <w:nsid w:val="73209072"/>
    <w:multiLevelType w:val="hybridMultilevel"/>
    <w:lvl w:ilvl="0">
      <w:lvlJc w:val="left"/>
      <w:lvlText w:val="(%1)"/>
      <w:numFmt w:val="decimal"/>
      <w:start w:val="5"/>
    </w:lvl>
  </w:abstractNum>
  <w:abstractNum w:abstractNumId="188">
    <w:nsid w:val="5FB29816"/>
    <w:multiLevelType w:val="hybridMultilevel"/>
    <w:lvl w:ilvl="0">
      <w:lvlJc w:val="left"/>
      <w:lvlText w:val="(%1)"/>
      <w:numFmt w:val="decimal"/>
      <w:start w:val="16"/>
    </w:lvl>
  </w:abstractNum>
  <w:abstractNum w:abstractNumId="189">
    <w:nsid w:val="3CE732EC"/>
    <w:multiLevelType w:val="hybridMultilevel"/>
    <w:lvl w:ilvl="0">
      <w:lvlJc w:val="left"/>
      <w:lvlText w:val="•"/>
      <w:numFmt w:val="bullet"/>
      <w:start w:val="1"/>
    </w:lvl>
  </w:abstractNum>
  <w:abstractNum w:abstractNumId="190">
    <w:nsid w:val="22F13DF3"/>
    <w:multiLevelType w:val="hybridMultilevel"/>
    <w:lvl w:ilvl="0">
      <w:lvlJc w:val="left"/>
      <w:lvlText w:val="•"/>
      <w:numFmt w:val="bullet"/>
      <w:start w:val="1"/>
    </w:lvl>
  </w:abstractNum>
  <w:abstractNum w:abstractNumId="191">
    <w:nsid w:val="792B8401"/>
    <w:multiLevelType w:val="hybridMultilevel"/>
    <w:lvl w:ilvl="0">
      <w:lvlJc w:val="left"/>
      <w:lvlText w:val="•"/>
      <w:numFmt w:val="bullet"/>
      <w:start w:val="1"/>
    </w:lvl>
  </w:abstractNum>
  <w:abstractNum w:abstractNumId="192">
    <w:nsid w:val="FA85F4D"/>
    <w:multiLevelType w:val="hybridMultilevel"/>
    <w:lvl w:ilvl="0">
      <w:lvlJc w:val="left"/>
      <w:lvlText w:val="•"/>
      <w:numFmt w:val="bullet"/>
      <w:start w:val="1"/>
    </w:lvl>
  </w:abstractNum>
  <w:abstractNum w:abstractNumId="193">
    <w:nsid w:val="6ECE91F0"/>
    <w:multiLevelType w:val="hybridMultilevel"/>
    <w:lvl w:ilvl="0">
      <w:lvlJc w:val="left"/>
      <w:lvlText w:val="•"/>
      <w:numFmt w:val="bullet"/>
      <w:start w:val="1"/>
    </w:lvl>
  </w:abstractNum>
  <w:abstractNum w:abstractNumId="194">
    <w:nsid w:val="4FC4D600"/>
    <w:multiLevelType w:val="hybridMultilevel"/>
    <w:lvl w:ilvl="0">
      <w:lvlJc w:val="left"/>
      <w:lvlText w:val="(%1)"/>
      <w:numFmt w:val="lowerLetter"/>
      <w:start w:val="1"/>
    </w:lvl>
  </w:abstractNum>
  <w:abstractNum w:abstractNumId="195">
    <w:nsid w:val="5BFD4210"/>
    <w:multiLevelType w:val="hybridMultilevel"/>
    <w:lvl w:ilvl="0">
      <w:lvlJc w:val="left"/>
      <w:lvlText w:val="(%1)"/>
      <w:numFmt w:val="lowerLetter"/>
      <w:start w:val="5"/>
    </w:lvl>
  </w:abstractNum>
  <w:abstractNum w:abstractNumId="196">
    <w:nsid w:val="76574F8B"/>
    <w:multiLevelType w:val="hybridMultilevel"/>
    <w:lvl w:ilvl="0">
      <w:lvlJc w:val="left"/>
      <w:lvlText w:val="(%1)"/>
      <w:numFmt w:val="lowerLetter"/>
      <w:start w:val="1"/>
    </w:lvl>
  </w:abstractNum>
  <w:abstractNum w:abstractNumId="197">
    <w:nsid w:val="178F7B67"/>
    <w:multiLevelType w:val="hybridMultilevel"/>
    <w:lvl w:ilvl="0">
      <w:lvlJc w:val="left"/>
      <w:lvlText w:val="§"/>
      <w:numFmt w:val="bullet"/>
      <w:start w:val="1"/>
    </w:lvl>
  </w:abstractNum>
  <w:abstractNum w:abstractNumId="198">
    <w:nsid w:val="2421DFCF"/>
    <w:multiLevelType w:val="hybridMultilevel"/>
    <w:lvl w:ilvl="0">
      <w:lvlJc w:val="left"/>
      <w:lvlText w:val="(%1)"/>
      <w:numFmt w:val="lowerLetter"/>
      <w:start w:val="1"/>
    </w:lvl>
  </w:abstractNum>
  <w:abstractNum w:abstractNumId="199">
    <w:nsid w:val="1565AC99"/>
    <w:multiLevelType w:val="hybridMultilevel"/>
    <w:lvl w:ilvl="0">
      <w:lvlJc w:val="left"/>
      <w:lvlText w:val="(%1)"/>
      <w:numFmt w:val="lowerLetter"/>
      <w:start w:val="1"/>
    </w:lvl>
  </w:abstractNum>
  <w:abstractNum w:abstractNumId="200">
    <w:nsid w:val="19FB2650"/>
    <w:multiLevelType w:val="hybridMultilevel"/>
    <w:lvl w:ilvl="0">
      <w:lvlJc w:val="left"/>
      <w:lvlText w:val="(%1)"/>
      <w:numFmt w:val="lowerLetter"/>
      <w:start w:val="1"/>
    </w:lvl>
    <w:lvl w:ilvl="1">
      <w:lvlJc w:val="left"/>
      <w:lvlText w:val="(%2)"/>
      <w:numFmt w:val="lowerRoman"/>
      <w:start w:val="1"/>
    </w:lvl>
  </w:abstractNum>
  <w:abstractNum w:abstractNumId="201">
    <w:nsid w:val="5024DE5B"/>
    <w:multiLevelType w:val="hybridMultilevel"/>
    <w:lvl w:ilvl="0">
      <w:lvlJc w:val="left"/>
      <w:lvlText w:val="(%1)"/>
      <w:numFmt w:val="lowerLetter"/>
      <w:start w:val="1"/>
    </w:lvl>
  </w:abstractNum>
  <w:abstractNum w:abstractNumId="202">
    <w:nsid w:val="168EFE1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03">
    <w:nsid w:val="1036B29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04">
    <w:nsid w:val="1D206B8E"/>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05">
    <w:nsid w:val="7934D3D4"/>
    <w:multiLevelType w:val="hybridMultilevel"/>
    <w:lvl w:ilvl="0">
      <w:lvlJc w:val="left"/>
      <w:lvlText w:val="(%1)"/>
      <w:numFmt w:val="lowerLetter"/>
      <w:start w:val="1"/>
    </w:lvl>
  </w:abstractNum>
  <w:abstractNum w:abstractNumId="206">
    <w:nsid w:val="1C65E98"/>
    <w:multiLevelType w:val="hybridMultilevel"/>
    <w:lvl w:ilvl="0">
      <w:lvlJc w:val="left"/>
      <w:lvlText w:val="(%1)"/>
      <w:numFmt w:val="lowerRoman"/>
      <w:start w:val="1"/>
    </w:lvl>
  </w:abstractNum>
  <w:abstractNum w:abstractNumId="207">
    <w:nsid w:val="1495E50A"/>
    <w:multiLevelType w:val="hybridMultilevel"/>
    <w:lvl w:ilvl="0">
      <w:lvlJc w:val="left"/>
      <w:lvlText w:val="(%1)"/>
      <w:numFmt w:val="lowerLetter"/>
      <w:start w:val="1"/>
    </w:lvl>
  </w:abstractNum>
  <w:abstractNum w:abstractNumId="208">
    <w:nsid w:val="F5BCF61"/>
    <w:multiLevelType w:val="hybridMultilevel"/>
    <w:lvl w:ilvl="0">
      <w:lvlJc w:val="left"/>
      <w:lvlText w:val="(%1)"/>
      <w:numFmt w:val="lowerLetter"/>
      <w:start w:val="1"/>
    </w:lvl>
  </w:abstractNum>
  <w:abstractNum w:abstractNumId="209">
    <w:nsid w:val="3B1DD403"/>
    <w:multiLevelType w:val="hybridMultilevel"/>
    <w:lvl w:ilvl="0">
      <w:lvlJc w:val="left"/>
      <w:lvlText w:val="(%1)"/>
      <w:numFmt w:val="lowerLetter"/>
      <w:start w:val="1"/>
    </w:lvl>
  </w:abstractNum>
  <w:abstractNum w:abstractNumId="210">
    <w:nsid w:val="530386D1"/>
    <w:multiLevelType w:val="hybridMultilevel"/>
    <w:lvl w:ilvl="0">
      <w:lvlJc w:val="left"/>
      <w:lvlText w:val="(%1)"/>
      <w:numFmt w:val="lowerLetter"/>
      <w:start w:val="2"/>
    </w:lvl>
  </w:abstractNum>
  <w:abstractNum w:abstractNumId="211">
    <w:nsid w:val="7525F2BC"/>
    <w:multiLevelType w:val="hybridMultilevel"/>
    <w:lvl w:ilvl="0">
      <w:lvlJc w:val="left"/>
      <w:lvlText w:val="(%1)"/>
      <w:numFmt w:val="lowerLetter"/>
      <w:start w:val="1"/>
    </w:lvl>
  </w:abstractNum>
  <w:abstractNum w:abstractNumId="212">
    <w:nsid w:val="CE8E1A7"/>
    <w:multiLevelType w:val="hybridMultilevel"/>
    <w:lvl w:ilvl="0">
      <w:lvlJc w:val="left"/>
      <w:lvlText w:val="(%1)"/>
      <w:numFmt w:val="lowerLetter"/>
      <w:start w:val="1"/>
    </w:lvl>
  </w:abstractNum>
  <w:abstractNum w:abstractNumId="213">
    <w:nsid w:val="4E9EFB0D"/>
    <w:multiLevelType w:val="hybridMultilevel"/>
    <w:lvl w:ilvl="0">
      <w:lvlJc w:val="left"/>
      <w:lvlText w:val="(%1)"/>
      <w:numFmt w:val="lowerRoman"/>
      <w:start w:val="1"/>
    </w:lvl>
  </w:abstractNum>
  <w:abstractNum w:abstractNumId="214">
    <w:nsid w:val="90802BE"/>
    <w:multiLevelType w:val="hybridMultilevel"/>
    <w:lvl w:ilvl="0">
      <w:lvlJc w:val="left"/>
      <w:lvlText w:val="(%1)"/>
      <w:numFmt w:val="lowerLetter"/>
      <w:start w:val="2"/>
    </w:lvl>
  </w:abstractNum>
  <w:abstractNum w:abstractNumId="215">
    <w:nsid w:val="3266459B"/>
    <w:multiLevelType w:val="hybridMultilevel"/>
    <w:lvl w:ilvl="0">
      <w:lvlJc w:val="left"/>
      <w:lvlText w:val="(%1)"/>
      <w:numFmt w:val="lowerLetter"/>
      <w:start w:val="1"/>
    </w:lvl>
  </w:abstractNum>
  <w:abstractNum w:abstractNumId="216">
    <w:nsid w:val="3F8B0CBF"/>
    <w:multiLevelType w:val="hybridMultilevel"/>
    <w:lvl w:ilvl="0">
      <w:lvlJc w:val="left"/>
      <w:lvlText w:val="%1"/>
      <w:numFmt w:val="lowerLetter"/>
      <w:start w:val="1"/>
    </w:lvl>
    <w:lvl w:ilvl="1">
      <w:lvlJc w:val="left"/>
      <w:lvlText w:val="(%2)"/>
      <w:numFmt w:val="lowerLetter"/>
      <w:start w:val="1"/>
    </w:lvl>
  </w:abstractNum>
  <w:abstractNum w:abstractNumId="217">
    <w:nsid w:val="37E203AB"/>
    <w:multiLevelType w:val="hybridMultilevel"/>
    <w:lvl w:ilvl="0">
      <w:lvlJc w:val="left"/>
      <w:lvlText w:val="(%1)"/>
      <w:numFmt w:val="lowerLetter"/>
      <w:start w:val="35"/>
    </w:lvl>
    <w:lvl w:ilvl="1">
      <w:lvlJc w:val="left"/>
      <w:lvlText w:val="(%2)"/>
      <w:numFmt w:val="lowerLetter"/>
      <w:start w:val="2"/>
    </w:lvl>
  </w:abstractNum>
  <w:abstractNum w:abstractNumId="218">
    <w:nsid w:val="2586D60E"/>
    <w:multiLevelType w:val="hybridMultilevel"/>
    <w:lvl w:ilvl="0">
      <w:lvlJc w:val="left"/>
      <w:lvlText w:val="(%1)"/>
      <w:numFmt w:val="lowerLetter"/>
      <w:start w:val="4"/>
    </w:lvl>
  </w:abstractNum>
  <w:abstractNum w:abstractNumId="219">
    <w:nsid w:val="1F3DA4D5"/>
    <w:multiLevelType w:val="hybridMultilevel"/>
    <w:lvl w:ilvl="0">
      <w:lvlJc w:val="left"/>
      <w:lvlText w:val="(%1)"/>
      <w:numFmt w:val="lowerLetter"/>
      <w:start w:val="1"/>
    </w:lvl>
  </w:abstractNum>
  <w:abstractNum w:abstractNumId="220">
    <w:nsid w:val="74C93698"/>
    <w:multiLevelType w:val="hybridMultilevel"/>
    <w:lvl w:ilvl="0">
      <w:lvlJc w:val="left"/>
      <w:lvlText w:val="(%1)"/>
      <w:numFmt w:val="lowerLetter"/>
      <w:start w:val="2"/>
    </w:lvl>
  </w:abstractNum>
  <w:abstractNum w:abstractNumId="221">
    <w:nsid w:val="48781401"/>
    <w:multiLevelType w:val="hybridMultilevel"/>
    <w:lvl w:ilvl="0">
      <w:lvlJc w:val="left"/>
      <w:lvlText w:val="(%1)"/>
      <w:numFmt w:val="lowerLetter"/>
      <w:start w:val="1"/>
    </w:lvl>
  </w:abstractNum>
  <w:abstractNum w:abstractNumId="222">
    <w:nsid w:val="186928D6"/>
    <w:multiLevelType w:val="hybridMultilevel"/>
    <w:lvl w:ilvl="0">
      <w:lvlJc w:val="left"/>
      <w:lvlText w:val="(%1)"/>
      <w:numFmt w:val="lowerLetter"/>
      <w:start w:val="1"/>
    </w:lvl>
  </w:abstractNum>
  <w:abstractNum w:abstractNumId="223">
    <w:nsid w:val="47195E5"/>
    <w:multiLevelType w:val="hybridMultilevel"/>
    <w:lvl w:ilvl="0">
      <w:lvlJc w:val="left"/>
      <w:lvlText w:val="(%1)"/>
      <w:numFmt w:val="lowerLetter"/>
      <w:start w:val="1"/>
    </w:lvl>
  </w:abstractNum>
  <w:abstractNum w:abstractNumId="224">
    <w:nsid w:val="3746A5F2"/>
    <w:multiLevelType w:val="hybridMultilevel"/>
    <w:lvl w:ilvl="0">
      <w:lvlJc w:val="left"/>
      <w:lvlText w:val="(%1)"/>
      <w:numFmt w:val="lowerLetter"/>
      <w:start w:val="2"/>
    </w:lvl>
  </w:abstractNum>
  <w:abstractNum w:abstractNumId="225">
    <w:nsid w:val="682DFED6"/>
    <w:multiLevelType w:val="hybridMultilevel"/>
    <w:lvl w:ilvl="0">
      <w:lvlJc w:val="left"/>
      <w:lvlText w:val="(%1)"/>
      <w:numFmt w:val="lowerLetter"/>
      <w:start w:val="1"/>
    </w:lvl>
    <w:lvl w:ilvl="1">
      <w:lvlJc w:val="left"/>
      <w:lvlText w:val="(%2)"/>
      <w:numFmt w:val="lowerRoman"/>
      <w:start w:val="1"/>
    </w:lvl>
  </w:abstractNum>
  <w:abstractNum w:abstractNumId="226">
    <w:nsid w:val="606ED7F6"/>
    <w:multiLevelType w:val="hybridMultilevel"/>
    <w:lvl w:ilvl="0">
      <w:lvlJc w:val="left"/>
      <w:lvlText w:val="(%1)"/>
      <w:numFmt w:val="lowerLetter"/>
      <w:start w:val="3"/>
    </w:lvl>
  </w:abstractNum>
  <w:abstractNum w:abstractNumId="227">
    <w:nsid w:val="2D9DF57D"/>
    <w:multiLevelType w:val="hybridMultilevel"/>
    <w:lvl w:ilvl="0">
      <w:lvlJc w:val="left"/>
      <w:lvlText w:val="(%1)"/>
      <w:numFmt w:val="lowerLetter"/>
      <w:start w:val="1"/>
    </w:lvl>
    <w:lvl w:ilvl="1">
      <w:lvlJc w:val="left"/>
      <w:lvlText w:val="(%2)"/>
      <w:numFmt w:val="lowerRoman"/>
      <w:start w:val="1"/>
    </w:lvl>
  </w:abstractNum>
  <w:abstractNum w:abstractNumId="228">
    <w:nsid w:val="7FBD7A3E"/>
    <w:multiLevelType w:val="hybridMultilevel"/>
    <w:lvl w:ilvl="0">
      <w:lvlJc w:val="left"/>
      <w:lvlText w:val="(%1)"/>
      <w:numFmt w:val="lowerLetter"/>
      <w:start w:val="2"/>
    </w:lvl>
    <w:lvl w:ilvl="1">
      <w:lvlJc w:val="left"/>
      <w:lvlText w:val="(%2)"/>
      <w:numFmt w:val="lowerRoman"/>
      <w:start w:val="1"/>
    </w:lvl>
  </w:abstractNum>
  <w:abstractNum w:abstractNumId="229">
    <w:nsid w:val="490B7C5"/>
    <w:multiLevelType w:val="hybridMultilevel"/>
    <w:lvl w:ilvl="0">
      <w:lvlJc w:val="left"/>
      <w:lvlText w:val="(%1)"/>
      <w:numFmt w:val="lowerLetter"/>
      <w:start w:val="1"/>
    </w:lvl>
  </w:abstractNum>
  <w:abstractNum w:abstractNumId="230">
    <w:nsid w:val="4303A216"/>
    <w:multiLevelType w:val="hybridMultilevel"/>
    <w:lvl w:ilvl="0">
      <w:lvlJc w:val="left"/>
      <w:lvlText w:val="(%1)"/>
      <w:numFmt w:val="lowerLetter"/>
      <w:start w:val="1"/>
    </w:lvl>
    <w:lvl w:ilvl="1">
      <w:lvlJc w:val="left"/>
      <w:lvlText w:val="(%2)"/>
      <w:numFmt w:val="lowerRoman"/>
      <w:start w:val="1"/>
    </w:lvl>
  </w:abstractNum>
  <w:abstractNum w:abstractNumId="231">
    <w:nsid w:val="19B8A08E"/>
    <w:multiLevelType w:val="hybridMultilevel"/>
    <w:lvl w:ilvl="0">
      <w:lvlJc w:val="left"/>
      <w:lvlText w:val="(%1)"/>
      <w:numFmt w:val="lowerRoman"/>
      <w:start w:val="4"/>
    </w:lvl>
  </w:abstractNum>
  <w:abstractNum w:abstractNumId="232">
    <w:nsid w:val="54B5962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33">
    <w:nsid w:val="5992A02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234">
    <w:nsid w:val="29EF532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235">
    <w:nsid w:val="71D601A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236">
    <w:nsid w:val="52C77402"/>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237">
    <w:nsid w:val="2BB5B1C6"/>
    <w:multiLevelType w:val="hybridMultilevel"/>
    <w:lvl w:ilvl="0">
      <w:lvlJc w:val="left"/>
      <w:lvlText w:val="(%1)"/>
      <w:numFmt w:val="lowerLetter"/>
      <w:start w:val="4"/>
    </w:lvl>
  </w:abstractNum>
  <w:abstractNum w:abstractNumId="238">
    <w:nsid w:val="66BE6B9"/>
    <w:multiLevelType w:val="hybridMultilevel"/>
    <w:lvl w:ilvl="0">
      <w:lvlJc w:val="left"/>
      <w:lvlText w:val="%1"/>
      <w:numFmt w:val="lowerRoman"/>
      <w:start w:val="1"/>
    </w:lvl>
    <w:lvl w:ilvl="1">
      <w:lvlJc w:val="left"/>
      <w:lvlText w:val="(%2)"/>
      <w:numFmt w:val="lowerLetter"/>
      <w:start w:val="1"/>
    </w:lvl>
  </w:abstractNum>
  <w:abstractNum w:abstractNumId="239">
    <w:nsid w:val="62234363"/>
    <w:multiLevelType w:val="hybridMultilevel"/>
    <w:lvl w:ilvl="0">
      <w:lvlJc w:val="left"/>
      <w:lvlText w:val="(%1)"/>
      <w:numFmt w:val="lowerRoman"/>
      <w:start w:val="6"/>
    </w:lvl>
    <w:lvl w:ilvl="1">
      <w:lvlJc w:val="left"/>
      <w:lvlText w:val="(%2)"/>
      <w:numFmt w:val="lowerLetter"/>
      <w:start w:val="4"/>
    </w:lvl>
  </w:abstractNum>
  <w:abstractNum w:abstractNumId="240">
    <w:nsid w:val="66D385C9"/>
    <w:multiLevelType w:val="hybridMultilevel"/>
    <w:lvl w:ilvl="0">
      <w:lvlJc w:val="left"/>
      <w:lvlText w:val="(%1)"/>
      <w:numFmt w:val="lowerLetter"/>
      <w:start w:val="1"/>
    </w:lvl>
  </w:abstractNum>
  <w:abstractNum w:abstractNumId="241">
    <w:nsid w:val="596F6D8A"/>
    <w:multiLevelType w:val="hybridMultilevel"/>
    <w:lvl w:ilvl="0">
      <w:lvlJc w:val="left"/>
      <w:lvlText w:val="%1."/>
      <w:numFmt w:val="decimal"/>
      <w:start w:val="1"/>
    </w:lvl>
    <w:lvl w:ilvl="1">
      <w:lvlJc w:val="left"/>
      <w:lvlText w:val="(%2)"/>
      <w:numFmt w:val="lowerLetter"/>
      <w:start w:val="1"/>
    </w:lvl>
  </w:abstractNum>
  <w:abstractNum w:abstractNumId="242">
    <w:nsid w:val="5749361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243">
    <w:nsid w:val="73BC6770"/>
    <w:multiLevelType w:val="hybridMultilevel"/>
    <w:lvl w:ilvl="0">
      <w:lvlJc w:val="left"/>
      <w:lvlText w:val="(%1)"/>
      <w:numFmt w:val="decimal"/>
      <w:start w:val="3"/>
    </w:lvl>
  </w:abstractNum>
  <w:abstractNum w:abstractNumId="244">
    <w:nsid w:val="280E6897"/>
    <w:multiLevelType w:val="hybridMultilevel"/>
    <w:lvl w:ilvl="0">
      <w:lvlJc w:val="left"/>
      <w:lvlText w:val="(%1)"/>
      <w:numFmt w:val="upperLetter"/>
      <w:start w:val="3"/>
    </w:lvl>
    <w:lvl w:ilvl="1">
      <w:lvlJc w:val="left"/>
      <w:lvlText w:val="(%2)"/>
      <w:numFmt w:val="decimal"/>
      <w:start w:val="1"/>
    </w:lvl>
  </w:abstractNum>
  <w:abstractNum w:abstractNumId="245">
    <w:nsid w:val="605138DE"/>
    <w:multiLevelType w:val="hybridMultilevel"/>
    <w:lvl w:ilvl="0">
      <w:lvlJc w:val="left"/>
      <w:lvlText w:val="%1"/>
      <w:numFmt w:val="lowerRoman"/>
      <w:start w:val="1"/>
    </w:lvl>
    <w:lvl w:ilvl="1">
      <w:lvlJc w:val="left"/>
      <w:lvlText w:val="(%2)"/>
      <w:numFmt w:val="decimal"/>
      <w:start w:val="4"/>
    </w:lvl>
  </w:abstractNum>
  <w:abstractNum w:abstractNumId="246">
    <w:nsid w:val="2622AD0C"/>
    <w:multiLevelType w:val="hybridMultilevel"/>
    <w:lvl w:ilvl="0">
      <w:lvlJc w:val="left"/>
      <w:lvlText w:val="(%1)"/>
      <w:numFmt w:val="lowerRoman"/>
      <w:start w:val="2"/>
    </w:lvl>
    <w:lvl w:ilvl="1">
      <w:lvlJc w:val="left"/>
      <w:lvlText w:val="%2"/>
      <w:numFmt w:val="decimal"/>
      <w:start w:val="1"/>
    </w:lvl>
  </w:abstractNum>
  <w:abstractNum w:abstractNumId="247">
    <w:nsid w:val="67997556"/>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48">
    <w:nsid w:val="18333C8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49">
    <w:nsid w:val="4BA9831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50">
    <w:nsid w:val="6D71A2B"/>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251">
    <w:nsid w:val="CFC7321"/>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252">
    <w:nsid w:val="1421971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253">
    <w:nsid w:val="1F4043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254">
    <w:nsid w:val="116E0907"/>
    <w:multiLevelType w:val="hybridMultilevel"/>
    <w:lvl w:ilvl="0">
      <w:lvlJc w:val="left"/>
      <w:lvlText w:val="(%1)"/>
      <w:numFmt w:val="lowerLetter"/>
      <w:start w:val="61"/>
    </w:lvl>
    <w:lvl w:ilvl="1">
      <w:lvlJc w:val="left"/>
      <w:lvlText w:val="(%2)"/>
      <w:numFmt w:val="lowerLetter"/>
      <w:start w:val="21"/>
    </w:lvl>
    <w:lvl w:ilvl="2">
      <w:lvlJc w:val="left"/>
      <w:lvlText w:val="(%3)"/>
      <w:numFmt w:val="lowerRoman"/>
      <w:start w:val="1"/>
    </w:lvl>
    <w:lvl w:ilvl="3">
      <w:lvlJc w:val="left"/>
      <w:lvlText w:val="%4"/>
      <w:numFmt w:val="upperLetter"/>
      <w:start w:val="1"/>
    </w:lvl>
  </w:abstractNum>
  <w:abstractNum w:abstractNumId="255">
    <w:nsid w:val="4B683D0D"/>
    <w:multiLevelType w:val="hybridMultilevel"/>
    <w:lvl w:ilvl="0">
      <w:lvlJc w:val="left"/>
      <w:lvlText w:val="(%1)"/>
      <w:numFmt w:val="lowerLetter"/>
      <w:start w:val="25"/>
    </w:lvl>
  </w:abstractNum>
  <w:abstractNum w:abstractNumId="256">
    <w:nsid w:val="76E41D8"/>
    <w:multiLevelType w:val="hybridMultilevel"/>
    <w:lvl w:ilvl="0">
      <w:lvlJc w:val="left"/>
      <w:lvlText w:val="(%1)"/>
      <w:numFmt w:val="lowerLetter"/>
      <w:start w:val="27"/>
    </w:lvl>
    <w:lvl w:ilvl="1">
      <w:lvlJc w:val="left"/>
      <w:lvlText w:val="(%2)"/>
      <w:numFmt w:val="lowerRoman"/>
      <w:start w:val="1"/>
    </w:lvl>
  </w:abstractNum>
  <w:abstractNum w:abstractNumId="257">
    <w:nsid w:val="71DCE0FD"/>
    <w:multiLevelType w:val="hybridMultilevel"/>
    <w:lvl w:ilvl="0">
      <w:lvlJc w:val="left"/>
      <w:lvlText w:val="(%1)"/>
      <w:numFmt w:val="lowerRoman"/>
      <w:start w:val="1"/>
    </w:lvl>
  </w:abstractNum>
  <w:abstractNum w:abstractNumId="258">
    <w:nsid w:val="7906328B"/>
    <w:multiLevelType w:val="hybridMultilevel"/>
    <w:lvl w:ilvl="0">
      <w:lvlJc w:val="left"/>
      <w:lvlText w:val="(%1)"/>
      <w:numFmt w:val="lowerRoman"/>
      <w:start w:val="1"/>
    </w:lvl>
    <w:lvl w:ilvl="1">
      <w:lvlJc w:val="left"/>
      <w:lvlText w:val="(%2)"/>
      <w:numFmt w:val="upperLetter"/>
      <w:start w:val="1"/>
    </w:lvl>
  </w:abstractNum>
  <w:abstractNum w:abstractNumId="259">
    <w:nsid w:val="72BBC16"/>
    <w:multiLevelType w:val="hybridMultilevel"/>
    <w:lvl w:ilvl="0">
      <w:lvlJc w:val="left"/>
      <w:lvlText w:val="(%1)"/>
      <w:numFmt w:val="lowerRoman"/>
      <w:start w:val="1"/>
    </w:lvl>
  </w:abstractNum>
  <w:abstractNum w:abstractNumId="260">
    <w:nsid w:val="766D98C2"/>
    <w:multiLevelType w:val="hybridMultilevel"/>
    <w:lvl w:ilvl="0">
      <w:lvlJc w:val="left"/>
      <w:lvlText w:val="(%1)"/>
      <w:numFmt w:val="upperLetter"/>
      <w:start w:val="1"/>
    </w:lvl>
  </w:abstractNum>
  <w:abstractNum w:abstractNumId="261">
    <w:nsid w:val="3C09D4A1"/>
    <w:multiLevelType w:val="hybridMultilevel"/>
    <w:lvl w:ilvl="0">
      <w:lvlJc w:val="left"/>
      <w:lvlText w:val="(%1)"/>
      <w:numFmt w:val="lowerRoman"/>
      <w:start w:val="1"/>
    </w:lvl>
    <w:lvl w:ilvl="1">
      <w:lvlJc w:val="left"/>
      <w:lvlText w:val="(%2)"/>
      <w:numFmt w:val="upperLetter"/>
      <w:start w:val="1"/>
    </w:lvl>
  </w:abstractNum>
  <w:abstractNum w:abstractNumId="262">
    <w:nsid w:val="20E45CA4"/>
    <w:multiLevelType w:val="hybridMultilevel"/>
    <w:lvl w:ilvl="0">
      <w:lvlJc w:val="left"/>
      <w:lvlText w:val="%1"/>
      <w:numFmt w:val="decimal"/>
      <w:start w:val="1"/>
    </w:lvl>
    <w:lvl w:ilvl="1">
      <w:lvlJc w:val="left"/>
      <w:lvlText w:val="(%2)"/>
      <w:numFmt w:val="decimal"/>
      <w:start w:val="3"/>
    </w:lvl>
  </w:abstractNum>
  <w:abstractNum w:abstractNumId="263">
    <w:nsid w:val="4B232EE3"/>
    <w:multiLevelType w:val="hybridMultilevel"/>
    <w:lvl w:ilvl="0">
      <w:lvlJc w:val="left"/>
      <w:lvlText w:val="(%1)"/>
      <w:numFmt w:val="decimal"/>
      <w:start w:val="5"/>
    </w:lvl>
    <w:lvl w:ilvl="1">
      <w:lvlJc w:val="left"/>
      <w:lvlText w:val="%2"/>
      <w:numFmt w:val="decimal"/>
      <w:start w:val="1"/>
    </w:lvl>
  </w:abstractNum>
  <w:abstractNum w:abstractNumId="264">
    <w:nsid w:val="159C74CF"/>
    <w:multiLevelType w:val="hybridMultilevel"/>
    <w:lvl w:ilvl="0">
      <w:lvlJc w:val="left"/>
      <w:lvlText w:val="(%1)"/>
      <w:numFmt w:val="lowerLetter"/>
      <w:start w:val="28"/>
    </w:lvl>
  </w:abstractNum>
  <w:abstractNum w:abstractNumId="265">
    <w:nsid w:val="4AD3AFD2"/>
    <w:multiLevelType w:val="hybridMultilevel"/>
    <w:lvl w:ilvl="0">
      <w:lvlJc w:val="left"/>
      <w:lvlText w:val="%1."/>
      <w:numFmt w:val="decimal"/>
      <w:start w:val="3"/>
    </w:lvl>
  </w:abstractNum>
  <w:abstractNum w:abstractNumId="266">
    <w:nsid w:val="3CF93092"/>
    <w:multiLevelType w:val="hybridMultilevel"/>
    <w:lvl w:ilvl="0">
      <w:lvlJc w:val="left"/>
      <w:lvlText w:val="(%1)"/>
      <w:numFmt w:val="lowerLetter"/>
      <w:start w:val="1"/>
    </w:lvl>
  </w:abstractNum>
  <w:abstractNum w:abstractNumId="267">
    <w:nsid w:val="6863E8D2"/>
    <w:multiLevelType w:val="hybridMultilevel"/>
    <w:lvl w:ilvl="0">
      <w:lvlJc w:val="left"/>
      <w:lvlText w:val="%1"/>
      <w:numFmt w:val="decimal"/>
      <w:start w:val="1"/>
    </w:lvl>
    <w:lvl w:ilvl="1">
      <w:lvlJc w:val="left"/>
      <w:lvlText w:val="(%2)"/>
      <w:numFmt w:val="lowerLetter"/>
      <w:start w:val="1"/>
    </w:lvl>
  </w:abstractNum>
  <w:abstractNum w:abstractNumId="268">
    <w:nsid w:val="76896198"/>
    <w:multiLevelType w:val="hybridMultilevel"/>
    <w:lvl w:ilvl="0">
      <w:lvlJc w:val="left"/>
      <w:lvlText w:val="%1."/>
      <w:numFmt w:val="decimal"/>
      <w:start w:val="4"/>
    </w:lvl>
    <w:lvl w:ilvl="1">
      <w:lvlJc w:val="left"/>
      <w:lvlText w:val="(%2)"/>
      <w:numFmt w:val="lowerLetter"/>
      <w:start w:val="1"/>
    </w:lvl>
  </w:abstractNum>
  <w:abstractNum w:abstractNumId="269">
    <w:nsid w:val="4365174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0">
    <w:nsid w:val="4A872C3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1">
    <w:nsid w:val="5D5CE761"/>
    <w:multiLevelType w:val="hybridMultilevel"/>
    <w:lvl w:ilvl="0">
      <w:lvlJc w:val="left"/>
      <w:lvlText w:val="%1."/>
      <w:numFmt w:val="decimal"/>
      <w:start w:val="7"/>
    </w:lvl>
  </w:abstractNum>
  <w:abstractNum w:abstractNumId="272">
    <w:nsid w:val="1CD484D5"/>
    <w:multiLevelType w:val="hybridMultilevel"/>
    <w:lvl w:ilvl="0">
      <w:lvlJc w:val="left"/>
      <w:lvlText w:val="(%1)"/>
      <w:numFmt w:val="lowerLetter"/>
      <w:start w:val="1"/>
    </w:lvl>
  </w:abstractNum>
  <w:abstractNum w:abstractNumId="273">
    <w:nsid w:val="21D06255"/>
    <w:multiLevelType w:val="hybridMultilevel"/>
    <w:lvl w:ilvl="0">
      <w:lvlJc w:val="left"/>
      <w:lvlText w:val="%1"/>
      <w:numFmt w:val="decimal"/>
      <w:start w:val="1"/>
    </w:lvl>
    <w:lvl w:ilvl="1">
      <w:lvlJc w:val="left"/>
      <w:lvlText w:val="(%2)"/>
      <w:numFmt w:val="lowerLetter"/>
      <w:start w:val="8"/>
    </w:lvl>
  </w:abstractNum>
  <w:abstractNum w:abstractNumId="274">
    <w:nsid w:val="51194ED1"/>
    <w:multiLevelType w:val="hybridMultilevel"/>
    <w:lvl w:ilvl="0">
      <w:lvlJc w:val="left"/>
      <w:lvlText w:val="%1."/>
      <w:numFmt w:val="decimal"/>
      <w:start w:val="8"/>
    </w:lvl>
    <w:lvl w:ilvl="1">
      <w:lvlJc w:val="left"/>
      <w:lvlText w:val="%2"/>
      <w:numFmt w:val="lowerLetter"/>
      <w:start w:val="1"/>
    </w:lvl>
  </w:abstractNum>
  <w:abstractNum w:abstractNumId="275">
    <w:nsid w:val="44E2ED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6">
    <w:nsid w:val="2219B3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77">
    <w:nsid w:val="773BFBD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78">
    <w:nsid w:val="2C7C62C2"/>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79">
    <w:nsid w:val="1A54D7B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80">
    <w:nsid w:val="42E57EF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81">
    <w:nsid w:val="33537CED"/>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282">
    <w:nsid w:val="27514A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83">
    <w:nsid w:val="5707161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84">
    <w:nsid w:val="5293BFE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85">
    <w:nsid w:val="38BF53E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86">
    <w:nsid w:val="226F532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87">
    <w:nsid w:val="5A0201C7"/>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288">
    <w:nsid w:val="2A9C34E2"/>
    <w:multiLevelType w:val="hybridMultilevel"/>
    <w:lvl w:ilvl="0">
      <w:lvlJc w:val="left"/>
      <w:lvlText w:val="(%1)"/>
      <w:numFmt w:val="lowerRoman"/>
      <w:start w:val="2"/>
    </w:lvl>
  </w:abstractNum>
  <w:abstractNum w:abstractNumId="289">
    <w:nsid w:val="1B7585AB"/>
    <w:multiLevelType w:val="hybridMultilevel"/>
    <w:lvl w:ilvl="0">
      <w:lvlJc w:val="left"/>
      <w:lvlText w:val="%1"/>
      <w:numFmt w:val="lowerLetter"/>
      <w:start w:val="1"/>
    </w:lvl>
    <w:lvl w:ilvl="1">
      <w:lvlJc w:val="left"/>
      <w:lvlText w:val="(%2)"/>
      <w:numFmt w:val="lowerRoman"/>
      <w:start w:val="6"/>
    </w:lvl>
  </w:abstractNum>
  <w:abstractNum w:abstractNumId="290">
    <w:nsid w:val="612DBDDD"/>
    <w:multiLevelType w:val="hybridMultilevel"/>
    <w:lvl w:ilvl="0">
      <w:lvlJc w:val="left"/>
      <w:lvlText w:val="(%1)"/>
      <w:numFmt w:val="lowerLetter"/>
      <w:start w:val="8"/>
    </w:lvl>
    <w:lvl w:ilvl="1">
      <w:lvlJc w:val="left"/>
      <w:lvlText w:val="(%2)"/>
      <w:numFmt w:val="lowerRoman"/>
      <w:start w:val="1"/>
    </w:lvl>
  </w:abstractNum>
  <w:abstractNum w:abstractNumId="291">
    <w:nsid w:val="2109CDA4"/>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92">
    <w:nsid w:val="577F5A4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293">
    <w:nsid w:val="2121A8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94">
    <w:nsid w:val="6C2CFC88"/>
    <w:multiLevelType w:val="hybridMultilevel"/>
    <w:lvl w:ilvl="0">
      <w:lvlJc w:val="left"/>
      <w:lvlText w:val="(%1)"/>
      <w:numFmt w:val="lowerLetter"/>
      <w:start w:val="11"/>
    </w:lvl>
    <w:lvl w:ilvl="1">
      <w:lvlJc w:val="left"/>
      <w:lvlText w:val="(%2)"/>
      <w:numFmt w:val="lowerLetter"/>
      <w:start w:val="9"/>
    </w:lvl>
    <w:lvl w:ilvl="2">
      <w:lvlJc w:val="left"/>
      <w:lvlText w:val="%3"/>
      <w:numFmt w:val="upperLetter"/>
      <w:start w:val="1"/>
    </w:lvl>
  </w:abstractNum>
  <w:abstractNum w:abstractNumId="295">
    <w:nsid w:val="6D1BCF1C"/>
    <w:multiLevelType w:val="hybridMultilevel"/>
    <w:lvl w:ilvl="0">
      <w:lvlJc w:val="left"/>
      <w:lvlText w:val="(%1)"/>
      <w:numFmt w:val="lowerRoman"/>
      <w:start w:val="2"/>
    </w:lvl>
  </w:abstractNum>
  <w:abstractNum w:abstractNumId="296">
    <w:nsid w:val="4CE5CA53"/>
    <w:multiLevelType w:val="hybridMultilevel"/>
    <w:lvl w:ilvl="0">
      <w:lvlJc w:val="left"/>
      <w:lvlText w:val="%1"/>
      <w:numFmt w:val="lowerLetter"/>
      <w:start w:val="1"/>
    </w:lvl>
    <w:lvl w:ilvl="1">
      <w:lvlJc w:val="left"/>
      <w:lvlText w:val="(%2)"/>
      <w:numFmt w:val="lowerRoman"/>
      <w:start w:val="3"/>
    </w:lvl>
  </w:abstractNum>
  <w:abstractNum w:abstractNumId="297">
    <w:nsid w:val="29262D1A"/>
    <w:multiLevelType w:val="hybridMultilevel"/>
    <w:lvl w:ilvl="0">
      <w:lvlJc w:val="left"/>
      <w:lvlText w:val="(%1)"/>
      <w:numFmt w:val="lowerLetter"/>
      <w:start w:val="12"/>
    </w:lvl>
    <w:lvl w:ilvl="1">
      <w:lvlJc w:val="left"/>
      <w:lvlText w:val="%2"/>
      <w:numFmt w:val="lowerRoman"/>
      <w:start w:val="1"/>
    </w:lvl>
  </w:abstractNum>
  <w:abstractNum w:abstractNumId="298">
    <w:nsid w:val="557FB7EE"/>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299">
    <w:nsid w:val="436F2BE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300">
    <w:nsid w:val="6C8B4466"/>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2"/>
    </w:lvl>
  </w:abstractNum>
  <w:abstractNum w:abstractNumId="301">
    <w:nsid w:val="2006E424"/>
    <w:multiLevelType w:val="hybridMultilevel"/>
    <w:lvl w:ilvl="0">
      <w:lvlJc w:val="left"/>
      <w:lvlText w:val="%1"/>
      <w:numFmt w:val="decimal"/>
      <w:start w:val="1"/>
    </w:lvl>
    <w:lvl w:ilvl="1">
      <w:lvlJc w:val="left"/>
      <w:lvlText w:val="(%2)"/>
      <w:numFmt w:val="lowerRoman"/>
      <w:start w:val="3"/>
    </w:lvl>
  </w:abstractNum>
  <w:abstractNum w:abstractNumId="302">
    <w:nsid w:val="20CC134C"/>
    <w:multiLevelType w:val="hybridMultilevel"/>
    <w:lvl w:ilvl="0">
      <w:lvlJc w:val="left"/>
      <w:lvlText w:val="%1."/>
      <w:numFmt w:val="decimal"/>
      <w:start w:val="10"/>
    </w:lvl>
    <w:lvl w:ilvl="1">
      <w:lvlJc w:val="left"/>
      <w:lvlText w:val="%2"/>
      <w:numFmt w:val="lowerRoman"/>
      <w:start w:val="1"/>
    </w:lvl>
  </w:abstractNum>
  <w:abstractNum w:abstractNumId="303">
    <w:nsid w:val="95FC93B"/>
    <w:multiLevelType w:val="hybridMultilevel"/>
    <w:lvl w:ilvl="0">
      <w:lvlJc w:val="left"/>
      <w:lvlText w:val="%1."/>
      <w:numFmt w:val="decimal"/>
      <w:start w:val="11"/>
    </w:lvl>
    <w:lvl w:ilvl="1">
      <w:lvlJc w:val="left"/>
      <w:lvlText w:val="(%2)"/>
      <w:numFmt w:val="lowerLetter"/>
      <w:start w:val="1"/>
    </w:lvl>
  </w:abstractNum>
  <w:abstractNum w:abstractNumId="304">
    <w:nsid w:val="41D74679"/>
    <w:multiLevelType w:val="hybridMultilevel"/>
    <w:lvl w:ilvl="0">
      <w:lvlJc w:val="left"/>
      <w:lvlText w:val="(%1)"/>
      <w:numFmt w:val="lowerLetter"/>
      <w:start w:val="1"/>
    </w:lvl>
  </w:abstractNum>
  <w:abstractNum w:abstractNumId="305">
    <w:nsid w:val="71E5621E"/>
    <w:multiLevelType w:val="hybridMultilevel"/>
    <w:lvl w:ilvl="0">
      <w:lvlJc w:val="left"/>
      <w:lvlText w:val="%1."/>
      <w:numFmt w:val="decimal"/>
      <w:start w:val="13"/>
    </w:lvl>
  </w:abstractNum>
  <w:abstractNum w:abstractNumId="306">
    <w:nsid w:val="4E42B6A8"/>
    <w:multiLevelType w:val="hybridMultilevel"/>
    <w:lvl w:ilvl="0">
      <w:lvlJc w:val="left"/>
      <w:lvlText w:val="(%1)"/>
      <w:numFmt w:val="lowerRoman"/>
      <w:start w:val="2"/>
    </w:lvl>
  </w:abstractNum>
  <w:abstractNum w:abstractNumId="307">
    <w:nsid w:val="43F8E1AC"/>
    <w:multiLevelType w:val="hybridMultilevel"/>
    <w:lvl w:ilvl="0">
      <w:lvlJc w:val="left"/>
      <w:lvlText w:val="%1."/>
      <w:numFmt w:val="decimal"/>
      <w:start w:val="14"/>
    </w:lvl>
  </w:abstractNum>
  <w:abstractNum w:abstractNumId="308">
    <w:nsid w:val="69215DFB"/>
    <w:multiLevelType w:val="hybridMultilevel"/>
    <w:lvl w:ilvl="0">
      <w:lvlJc w:val="left"/>
      <w:lvlText w:val="%1."/>
      <w:numFmt w:val="decimal"/>
      <w:start w:val="15"/>
    </w:lvl>
  </w:abstractNum>
  <w:abstractNum w:abstractNumId="309">
    <w:nsid w:val="7ABF196A"/>
    <w:multiLevelType w:val="hybridMultilevel"/>
    <w:lvl w:ilvl="0">
      <w:lvlJc w:val="left"/>
      <w:lvlText w:val="%1."/>
      <w:numFmt w:val="decimal"/>
      <w:start w:val="16"/>
    </w:lvl>
  </w:abstractNum>
  <w:abstractNum w:abstractNumId="310">
    <w:nsid w:val="5E4DB968"/>
    <w:multiLevelType w:val="hybridMultilevel"/>
    <w:lvl w:ilvl="0">
      <w:lvlJc w:val="left"/>
      <w:lvlText w:val="%1."/>
      <w:numFmt w:val="decimal"/>
      <w:start w:val="1"/>
    </w:lvl>
  </w:abstractNum>
  <w:abstractNum w:abstractNumId="311">
    <w:nsid w:val="2C06DCF3"/>
    <w:multiLevelType w:val="hybridMultilevel"/>
    <w:lvl w:ilvl="0">
      <w:lvlJc w:val="left"/>
      <w:lvlText w:val="%1."/>
      <w:numFmt w:val="decimal"/>
      <w:start w:val="2"/>
    </w:lvl>
    <w:lvl w:ilvl="1">
      <w:lvlJc w:val="left"/>
      <w:lvlText w:val="(%2)"/>
      <w:numFmt w:val="lowerLetter"/>
      <w:start w:val="1"/>
    </w:lvl>
  </w:abstractNum>
  <w:abstractNum w:abstractNumId="312">
    <w:nsid w:val="2E129658"/>
    <w:multiLevelType w:val="hybridMultilevel"/>
    <w:lvl w:ilvl="0">
      <w:lvlJc w:val="left"/>
      <w:lvlText w:val="(%1)"/>
      <w:numFmt w:val="lowerLetter"/>
      <w:start w:val="8"/>
    </w:lvl>
    <w:lvl w:ilvl="1">
      <w:lvlJc w:val="left"/>
      <w:lvlText w:val="(%2)"/>
      <w:numFmt w:val="decimal"/>
      <w:start w:val="1"/>
    </w:lvl>
  </w:abstractNum>
  <w:abstractNum w:abstractNumId="313">
    <w:nsid w:val="59F0446"/>
    <w:multiLevelType w:val="hybridMultilevel"/>
    <w:lvl w:ilvl="0">
      <w:lvlJc w:val="left"/>
      <w:lvlText w:val="(%1)"/>
      <w:numFmt w:val="decimal"/>
      <w:start w:val="4"/>
    </w:lvl>
  </w:abstractNum>
  <w:abstractNum w:abstractNumId="314">
    <w:nsid w:val="30DF306"/>
    <w:multiLevelType w:val="hybridMultilevel"/>
    <w:lvl w:ilvl="0">
      <w:lvlJc w:val="left"/>
      <w:lvlText w:val="(%1)"/>
      <w:numFmt w:val="lowerLetter"/>
      <w:start w:val="18"/>
    </w:lvl>
  </w:abstractNum>
  <w:abstractNum w:abstractNumId="315">
    <w:nsid w:val="A65647"/>
    <w:multiLevelType w:val="hybridMultilevel"/>
    <w:lvl w:ilvl="0">
      <w:lvlJc w:val="left"/>
      <w:lvlText w:val="(%1)"/>
      <w:numFmt w:val="lowerLetter"/>
      <w:start w:val="27"/>
    </w:lvl>
  </w:abstractNum>
  <w:abstractNum w:abstractNumId="316">
    <w:nsid w:val="3E5E582B"/>
    <w:multiLevelType w:val="hybridMultilevel"/>
    <w:lvl w:ilvl="0">
      <w:lvlJc w:val="left"/>
      <w:lvlText w:val="(%1)"/>
      <w:numFmt w:val="decimal"/>
      <w:start w:val="1"/>
    </w:lvl>
  </w:abstractNum>
  <w:abstractNum w:abstractNumId="317">
    <w:nsid w:val="257D4626"/>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18">
    <w:nsid w:val="5AA8580E"/>
    <w:multiLevelType w:val="hybridMultilevel"/>
    <w:lvl w:ilvl="0">
      <w:lvlJc w:val="left"/>
      <w:lvlText w:val="%1"/>
      <w:numFmt w:val="decimal"/>
      <w:start w:val="1"/>
    </w:lvl>
    <w:lvl w:ilvl="1">
      <w:lvlJc w:val="left"/>
      <w:lvlText w:val="(%2)"/>
      <w:numFmt w:val="lowerLetter"/>
      <w:start w:val="3"/>
    </w:lvl>
  </w:abstractNum>
  <w:abstractNum w:abstractNumId="319">
    <w:nsid w:val="68FA8D0D"/>
    <w:multiLevelType w:val="hybridMultilevel"/>
    <w:lvl w:ilvl="0">
      <w:lvlJc w:val="left"/>
      <w:lvlText w:val="%1."/>
      <w:numFmt w:val="decimal"/>
      <w:start w:val="4"/>
    </w:lvl>
    <w:lvl w:ilvl="1">
      <w:lvlJc w:val="left"/>
      <w:lvlText w:val="%2"/>
      <w:numFmt w:val="lowerLetter"/>
      <w:start w:val="1"/>
    </w:lvl>
  </w:abstractNum>
  <w:abstractNum w:abstractNumId="320">
    <w:nsid w:val="40F2CBD2"/>
    <w:multiLevelType w:val="hybridMultilevel"/>
    <w:lvl w:ilvl="0">
      <w:lvlJc w:val="left"/>
      <w:lvlText w:val="%1."/>
      <w:numFmt w:val="decimal"/>
      <w:start w:val="5"/>
    </w:lvl>
    <w:lvl w:ilvl="1">
      <w:lvlJc w:val="left"/>
      <w:lvlText w:val="(%2)"/>
      <w:numFmt w:val="lowerLetter"/>
      <w:start w:val="1"/>
    </w:lvl>
  </w:abstractNum>
  <w:abstractNum w:abstractNumId="321">
    <w:nsid w:val="3BD615EB"/>
    <w:multiLevelType w:val="hybridMultilevel"/>
    <w:lvl w:ilvl="0">
      <w:lvlJc w:val="left"/>
      <w:lvlText w:val="%1."/>
      <w:numFmt w:val="decimal"/>
      <w:start w:val="6"/>
    </w:lvl>
    <w:lvl w:ilvl="1">
      <w:lvlJc w:val="left"/>
      <w:lvlText w:val="(%2)"/>
      <w:numFmt w:val="lowerLetter"/>
      <w:start w:val="1"/>
    </w:lvl>
  </w:abstractNum>
  <w:abstractNum w:abstractNumId="322">
    <w:nsid w:val="A045AB2"/>
    <w:multiLevelType w:val="hybridMultilevel"/>
    <w:lvl w:ilvl="0">
      <w:lvlJc w:val="left"/>
      <w:lvlText w:val="%1."/>
      <w:numFmt w:val="decimal"/>
      <w:start w:val="9"/>
    </w:lvl>
    <w:lvl w:ilvl="1">
      <w:lvlJc w:val="left"/>
      <w:lvlText w:val="(%2)"/>
      <w:numFmt w:val="lowerLetter"/>
      <w:start w:val="1"/>
    </w:lvl>
  </w:abstractNum>
  <w:abstractNum w:abstractNumId="323">
    <w:nsid w:val="1872261F"/>
    <w:multiLevelType w:val="hybridMultilevel"/>
    <w:lvl w:ilvl="0">
      <w:lvlJc w:val="left"/>
      <w:lvlText w:val="%1"/>
      <w:numFmt w:val="decimal"/>
      <w:start w:val="201"/>
    </w:lvl>
    <w:lvl w:ilvl="1">
      <w:lvlJc w:val="left"/>
      <w:lvlText w:val="(%2)"/>
      <w:numFmt w:val="lowerLetter"/>
      <w:start w:val="2"/>
    </w:lvl>
  </w:abstractNum>
  <w:abstractNum w:abstractNumId="324">
    <w:nsid w:val="3DE8306C"/>
    <w:multiLevelType w:val="hybridMultilevel"/>
    <w:lvl w:ilvl="0">
      <w:lvlJc w:val="left"/>
      <w:lvlText w:val="%1."/>
      <w:numFmt w:val="decimal"/>
      <w:start w:val="10"/>
    </w:lvl>
    <w:lvl w:ilvl="1">
      <w:lvlJc w:val="left"/>
      <w:lvlText w:val="%2"/>
      <w:numFmt w:val="lowerLetter"/>
      <w:start w:val="1"/>
    </w:lvl>
  </w:abstractNum>
  <w:abstractNum w:abstractNumId="325">
    <w:nsid w:val="7631573A"/>
    <w:multiLevelType w:val="hybridMultilevel"/>
    <w:lvl w:ilvl="0">
      <w:lvlJc w:val="left"/>
      <w:lvlText w:val="%1."/>
      <w:numFmt w:val="decimal"/>
      <w:start w:val="11"/>
    </w:lvl>
  </w:abstractNum>
  <w:abstractNum w:abstractNumId="326">
    <w:nsid w:val="58DF53B"/>
    <w:multiLevelType w:val="hybridMultilevel"/>
    <w:lvl w:ilvl="0">
      <w:lvlJc w:val="left"/>
      <w:lvlText w:val="%1."/>
      <w:numFmt w:val="decimal"/>
      <w:start w:val="12"/>
    </w:lvl>
  </w:abstractNum>
  <w:abstractNum w:abstractNumId="327">
    <w:nsid w:val="ACDFAC0"/>
    <w:multiLevelType w:val="hybridMultilevel"/>
    <w:lvl w:ilvl="0">
      <w:lvlJc w:val="left"/>
      <w:lvlText w:val="%1."/>
      <w:numFmt w:val="decimal"/>
      <w:start w:val="14"/>
    </w:lvl>
  </w:abstractNum>
  <w:abstractNum w:abstractNumId="328">
    <w:nsid w:val="1F578454"/>
    <w:multiLevelType w:val="hybridMultilevel"/>
    <w:lvl w:ilvl="0">
      <w:lvlJc w:val="left"/>
      <w:lvlText w:val="%1."/>
      <w:numFmt w:val="decimal"/>
      <w:start w:val="15"/>
    </w:lvl>
  </w:abstractNum>
  <w:abstractNum w:abstractNumId="329">
    <w:nsid w:val="5B0DAD2A"/>
    <w:multiLevelType w:val="hybridMultilevel"/>
    <w:lvl w:ilvl="0">
      <w:lvlJc w:val="left"/>
      <w:lvlText w:val="%1."/>
      <w:numFmt w:val="decimal"/>
      <w:start w:val="16"/>
    </w:lvl>
    <w:lvl w:ilvl="1">
      <w:lvlJc w:val="left"/>
      <w:lvlText w:val="(%2)"/>
      <w:numFmt w:val="lowerLetter"/>
      <w:start w:val="1"/>
    </w:lvl>
  </w:abstractNum>
  <w:abstractNum w:abstractNumId="330">
    <w:nsid w:val="4E3D26AB"/>
    <w:multiLevelType w:val="hybridMultilevel"/>
    <w:lvl w:ilvl="0">
      <w:lvlJc w:val="left"/>
      <w:lvlText w:val="%1."/>
      <w:numFmt w:val="decimal"/>
      <w:start w:val="18"/>
    </w:lvl>
  </w:abstractNum>
  <w:abstractNum w:abstractNumId="331">
    <w:nsid w:val="BE2C8BA"/>
    <w:multiLevelType w:val="hybridMultilevel"/>
    <w:lvl w:ilvl="0">
      <w:lvlJc w:val="left"/>
      <w:lvlText w:val="%1."/>
      <w:numFmt w:val="decimal"/>
      <w:start w:val="19"/>
    </w:lvl>
  </w:abstractNum>
  <w:abstractNum w:abstractNumId="332">
    <w:nsid w:val="7B14914E"/>
    <w:multiLevelType w:val="hybridMultilevel"/>
    <w:lvl w:ilvl="0">
      <w:lvlJc w:val="left"/>
      <w:lvlText w:val="%1."/>
      <w:numFmt w:val="decimal"/>
      <w:start w:val="20"/>
    </w:lvl>
  </w:abstractNum>
  <w:abstractNum w:abstractNumId="333">
    <w:nsid w:val="6F0939F8"/>
    <w:multiLevelType w:val="hybridMultilevel"/>
    <w:lvl w:ilvl="0">
      <w:lvlJc w:val="left"/>
      <w:lvlText w:val="%1."/>
      <w:numFmt w:val="decimal"/>
      <w:start w:val="21"/>
    </w:lvl>
  </w:abstractNum>
  <w:abstractNum w:abstractNumId="334">
    <w:nsid w:val="154291F6"/>
    <w:multiLevelType w:val="hybridMultilevel"/>
    <w:lvl w:ilvl="0">
      <w:lvlJc w:val="left"/>
      <w:lvlText w:val="%1."/>
      <w:numFmt w:val="decimal"/>
      <w:start w:val="22"/>
    </w:lvl>
  </w:abstractNum>
  <w:abstractNum w:abstractNumId="335">
    <w:nsid w:val="3CEBD7C7"/>
    <w:multiLevelType w:val="hybridMultilevel"/>
    <w:lvl w:ilvl="0">
      <w:lvlJc w:val="left"/>
      <w:lvlText w:val="%1."/>
      <w:numFmt w:val="decimal"/>
      <w:start w:val="1"/>
    </w:lvl>
  </w:abstractNum>
  <w:abstractNum w:abstractNumId="336">
    <w:nsid w:val="60EE9C16"/>
    <w:multiLevelType w:val="hybridMultilevel"/>
    <w:lvl w:ilvl="0">
      <w:lvlJc w:val="left"/>
      <w:lvlText w:val="%1."/>
      <w:numFmt w:val="decimal"/>
      <w:start w:val="2"/>
    </w:lvl>
    <w:lvl w:ilvl="1">
      <w:lvlJc w:val="left"/>
      <w:lvlText w:val="(%2)"/>
      <w:numFmt w:val="lowerLetter"/>
      <w:start w:val="1"/>
    </w:lvl>
  </w:abstractNum>
  <w:abstractNum w:abstractNumId="337">
    <w:nsid w:val="6385489E"/>
    <w:multiLevelType w:val="hybridMultilevel"/>
    <w:lvl w:ilvl="0">
      <w:lvlJc w:val="left"/>
      <w:lvlText w:val="(%1)"/>
      <w:numFmt w:val="lowerLetter"/>
      <w:start w:val="9"/>
    </w:lvl>
    <w:lvl w:ilvl="1">
      <w:lvlJc w:val="left"/>
      <w:lvlText w:val="(%2)"/>
      <w:numFmt w:val="decimal"/>
      <w:start w:val="1"/>
    </w:lvl>
  </w:abstractNum>
  <w:abstractNum w:abstractNumId="338">
    <w:nsid w:val="E4B973"/>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339">
    <w:nsid w:val="4A0FFA11"/>
    <w:multiLevelType w:val="hybridMultilevel"/>
    <w:lvl w:ilvl="0">
      <w:lvlJc w:val="left"/>
      <w:lvlText w:val="(%1)"/>
      <w:numFmt w:val="lowerLetter"/>
      <w:start w:val="16"/>
    </w:lvl>
    <w:lvl w:ilvl="1">
      <w:lvlJc w:val="left"/>
      <w:lvlText w:val="(%2)"/>
      <w:numFmt w:val="decimal"/>
      <w:start w:val="1"/>
    </w:lvl>
    <w:lvl w:ilvl="2">
      <w:lvlJc w:val="left"/>
      <w:lvlText w:val="%3."/>
      <w:numFmt w:val="lowerRoman"/>
      <w:start w:val="1"/>
    </w:lvl>
  </w:abstractNum>
  <w:abstractNum w:abstractNumId="340">
    <w:nsid w:val="5E446208"/>
    <w:multiLevelType w:val="hybridMultilevel"/>
    <w:lvl w:ilvl="0">
      <w:lvlJc w:val="left"/>
      <w:lvlText w:val="(%1)"/>
      <w:numFmt w:val="decimal"/>
      <w:start w:val="2"/>
    </w:lvl>
  </w:abstractNum>
  <w:abstractNum w:abstractNumId="341">
    <w:nsid w:val="5F3272DB"/>
    <w:multiLevelType w:val="hybridMultilevel"/>
    <w:lvl w:ilvl="0">
      <w:lvlJc w:val="left"/>
      <w:lvlText w:val="%1."/>
      <w:numFmt w:val="lowerRoman"/>
      <w:start w:val="1"/>
    </w:lvl>
  </w:abstractNum>
  <w:abstractNum w:abstractNumId="342">
    <w:nsid w:val="7616D704"/>
    <w:multiLevelType w:val="hybridMultilevel"/>
    <w:lvl w:ilvl="0">
      <w:lvlJc w:val="left"/>
      <w:lvlText w:val="(%1)"/>
      <w:numFmt w:val="lowerLetter"/>
      <w:start w:val="19"/>
    </w:lvl>
  </w:abstractNum>
  <w:abstractNum w:abstractNumId="343">
    <w:nsid w:val="C56F860"/>
    <w:multiLevelType w:val="hybridMultilevel"/>
    <w:lvl w:ilvl="0">
      <w:lvlJc w:val="left"/>
      <w:lvlText w:val="(%1)"/>
      <w:numFmt w:val="lowerLetter"/>
      <w:start w:val="26"/>
    </w:lvl>
  </w:abstractNum>
  <w:abstractNum w:abstractNumId="344">
    <w:nsid w:val="64D17722"/>
    <w:multiLevelType w:val="hybridMultilevel"/>
    <w:lvl w:ilvl="0">
      <w:lvlJc w:val="left"/>
      <w:lvlText w:val="(%1)"/>
      <w:numFmt w:val="lowerLetter"/>
      <w:start w:val="27"/>
    </w:lvl>
  </w:abstractNum>
  <w:abstractNum w:abstractNumId="345">
    <w:nsid w:val="7924CA0A"/>
    <w:multiLevelType w:val="hybridMultilevel"/>
    <w:lvl w:ilvl="0">
      <w:lvlJc w:val="left"/>
      <w:lvlText w:val="(%1)"/>
      <w:numFmt w:val="decimal"/>
      <w:start w:val="1"/>
    </w:lvl>
  </w:abstractNum>
  <w:abstractNum w:abstractNumId="346">
    <w:nsid w:val="CFD4EA7"/>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47">
    <w:nsid w:val="232FCF4D"/>
    <w:multiLevelType w:val="hybridMultilevel"/>
    <w:lvl w:ilvl="0">
      <w:lvlJc w:val="left"/>
      <w:lvlText w:val="%1."/>
      <w:numFmt w:val="decimal"/>
      <w:start w:val="5"/>
    </w:lvl>
    <w:lvl w:ilvl="1">
      <w:lvlJc w:val="left"/>
      <w:lvlText w:val="(%2)"/>
      <w:numFmt w:val="lowerLetter"/>
      <w:start w:val="1"/>
    </w:lvl>
  </w:abstractNum>
  <w:abstractNum w:abstractNumId="348">
    <w:nsid w:val="1EA21031"/>
    <w:multiLevelType w:val="hybridMultilevel"/>
    <w:lvl w:ilvl="0">
      <w:lvlJc w:val="left"/>
      <w:lvlText w:val="%1"/>
      <w:numFmt w:val="decimal"/>
      <w:start w:val="1"/>
    </w:lvl>
    <w:lvl w:ilvl="1">
      <w:lvlJc w:val="left"/>
      <w:lvlText w:val="(%2)"/>
      <w:numFmt w:val="lowerLetter"/>
      <w:start w:val="3"/>
    </w:lvl>
  </w:abstractNum>
  <w:abstractNum w:abstractNumId="349">
    <w:nsid w:val="67A5A6B5"/>
    <w:multiLevelType w:val="hybridMultilevel"/>
    <w:lvl w:ilvl="0">
      <w:lvlJc w:val="left"/>
      <w:lvlText w:val="%1."/>
      <w:numFmt w:val="decimal"/>
      <w:start w:val="7"/>
    </w:lvl>
    <w:lvl w:ilvl="1">
      <w:lvlJc w:val="left"/>
      <w:lvlText w:val="(%2)"/>
      <w:numFmt w:val="lowerLetter"/>
      <w:start w:val="1"/>
    </w:lvl>
  </w:abstractNum>
  <w:abstractNum w:abstractNumId="350">
    <w:nsid w:val="C2A5C5B"/>
    <w:multiLevelType w:val="hybridMultilevel"/>
    <w:lvl w:ilvl="0">
      <w:lvlJc w:val="left"/>
      <w:lvlText w:val="%1."/>
      <w:numFmt w:val="decimal"/>
      <w:start w:val="9"/>
    </w:lvl>
    <w:lvl w:ilvl="1">
      <w:lvlJc w:val="left"/>
      <w:lvlText w:val="(%2)"/>
      <w:numFmt w:val="lowerLetter"/>
      <w:start w:val="1"/>
    </w:lvl>
  </w:abstractNum>
  <w:abstractNum w:abstractNumId="351">
    <w:nsid w:val="5F94DC03"/>
    <w:multiLevelType w:val="hybridMultilevel"/>
    <w:lvl w:ilvl="0">
      <w:lvlJc w:val="left"/>
      <w:lvlText w:val="%1"/>
      <w:numFmt w:val="decimal"/>
      <w:start w:val="1"/>
    </w:lvl>
    <w:lvl w:ilvl="1">
      <w:lvlJc w:val="left"/>
      <w:lvlText w:val="(%2)"/>
      <w:numFmt w:val="lowerLetter"/>
      <w:start w:val="2"/>
    </w:lvl>
  </w:abstractNum>
  <w:abstractNum w:abstractNumId="352">
    <w:nsid w:val="237BBCA0"/>
    <w:multiLevelType w:val="hybridMultilevel"/>
    <w:lvl w:ilvl="0">
      <w:lvlJc w:val="left"/>
      <w:lvlText w:val="%1."/>
      <w:numFmt w:val="decimal"/>
      <w:start w:val="10"/>
    </w:lvl>
    <w:lvl w:ilvl="1">
      <w:lvlJc w:val="left"/>
      <w:lvlText w:val="%2"/>
      <w:numFmt w:val="lowerLetter"/>
      <w:start w:val="1"/>
    </w:lvl>
  </w:abstractNum>
  <w:abstractNum w:abstractNumId="353">
    <w:nsid w:val="162EB70D"/>
    <w:multiLevelType w:val="hybridMultilevel"/>
    <w:lvl w:ilvl="0">
      <w:lvlJc w:val="left"/>
      <w:lvlText w:val="%1."/>
      <w:numFmt w:val="decimal"/>
      <w:start w:val="11"/>
    </w:lvl>
  </w:abstractNum>
  <w:abstractNum w:abstractNumId="354">
    <w:nsid w:val="78070222"/>
    <w:multiLevelType w:val="hybridMultilevel"/>
    <w:lvl w:ilvl="0">
      <w:lvlJc w:val="left"/>
      <w:lvlText w:val="%1."/>
      <w:numFmt w:val="decimal"/>
      <w:start w:val="12"/>
    </w:lvl>
  </w:abstractNum>
  <w:abstractNum w:abstractNumId="355">
    <w:nsid w:val="6163ED0D"/>
    <w:multiLevelType w:val="hybridMultilevel"/>
    <w:lvl w:ilvl="0">
      <w:lvlJc w:val="left"/>
      <w:lvlText w:val="%1."/>
      <w:numFmt w:val="decimal"/>
      <w:start w:val="14"/>
    </w:lvl>
  </w:abstractNum>
  <w:abstractNum w:abstractNumId="356">
    <w:nsid w:val="C600E47"/>
    <w:multiLevelType w:val="hybridMultilevel"/>
    <w:lvl w:ilvl="0">
      <w:lvlJc w:val="left"/>
      <w:lvlText w:val="%1."/>
      <w:numFmt w:val="decimal"/>
      <w:start w:val="15"/>
    </w:lvl>
  </w:abstractNum>
  <w:abstractNum w:abstractNumId="357">
    <w:nsid w:val="7D94F75D"/>
    <w:multiLevelType w:val="hybridMultilevel"/>
    <w:lvl w:ilvl="0">
      <w:lvlJc w:val="left"/>
      <w:lvlText w:val="%1."/>
      <w:numFmt w:val="decimal"/>
      <w:start w:val="16"/>
    </w:lvl>
    <w:lvl w:ilvl="1">
      <w:lvlJc w:val="left"/>
      <w:lvlText w:val="(%2)"/>
      <w:numFmt w:val="lowerLetter"/>
      <w:start w:val="1"/>
    </w:lvl>
  </w:abstractNum>
  <w:abstractNum w:abstractNumId="358">
    <w:nsid w:val="6C31E7CD"/>
    <w:multiLevelType w:val="hybridMultilevel"/>
    <w:lvl w:ilvl="0">
      <w:lvlJc w:val="left"/>
      <w:lvlText w:val="%1."/>
      <w:numFmt w:val="decimal"/>
      <w:start w:val="18"/>
    </w:lvl>
  </w:abstractNum>
  <w:abstractNum w:abstractNumId="359">
    <w:nsid w:val="2BB7929B"/>
    <w:multiLevelType w:val="hybridMultilevel"/>
    <w:lvl w:ilvl="0">
      <w:lvlJc w:val="left"/>
      <w:lvlText w:val="%1."/>
      <w:numFmt w:val="decimal"/>
      <w:start w:val="19"/>
    </w:lvl>
  </w:abstractNum>
  <w:abstractNum w:abstractNumId="360">
    <w:nsid w:val="58A2A487"/>
    <w:multiLevelType w:val="hybridMultilevel"/>
    <w:lvl w:ilvl="0">
      <w:lvlJc w:val="left"/>
      <w:lvlText w:val="%1."/>
      <w:numFmt w:val="decimal"/>
      <w:start w:val="21"/>
    </w:lvl>
  </w:abstractNum>
  <w:abstractNum w:abstractNumId="361">
    <w:nsid w:val="3A6F0E78"/>
    <w:multiLevelType w:val="hybridMultilevel"/>
    <w:lvl w:ilvl="0">
      <w:lvlJc w:val="left"/>
      <w:lvlText w:val="%1."/>
      <w:numFmt w:val="decimal"/>
      <w:start w:val="22"/>
    </w:lvl>
  </w:abstractNum>
  <w:abstractNum w:abstractNumId="362">
    <w:nsid w:val="379A5B56"/>
    <w:multiLevelType w:val="hybridMultilevel"/>
    <w:lvl w:ilvl="0">
      <w:lvlJc w:val="left"/>
      <w:lvlText w:val="%1."/>
      <w:numFmt w:val="decimal"/>
      <w:start w:val="1"/>
    </w:lvl>
    <w:lvl w:ilvl="1">
      <w:lvlJc w:val="left"/>
      <w:lvlText w:val="(%2)"/>
      <w:numFmt w:val="lowerLetter"/>
      <w:start w:val="1"/>
    </w:lvl>
  </w:abstractNum>
  <w:abstractNum w:abstractNumId="363">
    <w:nsid w:val="53B735D5"/>
    <w:multiLevelType w:val="hybridMultilevel"/>
    <w:lvl w:ilvl="0">
      <w:lvlJc w:val="left"/>
      <w:lvlText w:val="1"/>
      <w:numFmt w:val="bullet"/>
      <w:start w:val="1"/>
    </w:lvl>
  </w:abstractNum>
  <w:abstractNum w:abstractNumId="364">
    <w:nsid w:val="29784870"/>
    <w:multiLevelType w:val="hybridMultilevel"/>
    <w:lvl w:ilvl="0">
      <w:lvlJc w:val="left"/>
      <w:lvlText w:val="(%1)"/>
      <w:numFmt w:val="lowerLetter"/>
      <w:start w:val="9"/>
    </w:lvl>
    <w:lvl w:ilvl="1">
      <w:lvlJc w:val="left"/>
      <w:lvlText w:val="(%2)"/>
      <w:numFmt w:val="decimal"/>
      <w:start w:val="1"/>
    </w:lvl>
  </w:abstractNum>
  <w:abstractNum w:abstractNumId="365">
    <w:nsid w:val="4CDCED4C"/>
    <w:multiLevelType w:val="hybridMultilevel"/>
    <w:lvl w:ilvl="0">
      <w:lvlJc w:val="left"/>
      <w:lvlText w:val="(%1)"/>
      <w:numFmt w:val="decimal"/>
      <w:start w:val="1"/>
    </w:lvl>
    <w:lvl w:ilvl="1">
      <w:lvlJc w:val="left"/>
      <w:lvlText w:val="(%2)"/>
      <w:numFmt w:val="lowerLetter"/>
      <w:start w:val="1"/>
    </w:lvl>
  </w:abstractNum>
  <w:abstractNum w:abstractNumId="366">
    <w:nsid w:val="10A30D9C"/>
    <w:multiLevelType w:val="hybridMultilevel"/>
    <w:lvl w:ilvl="0">
      <w:lvlJc w:val="left"/>
      <w:lvlText w:val="5"/>
      <w:numFmt w:val="bullet"/>
      <w:start w:val="1"/>
    </w:lvl>
  </w:abstractNum>
  <w:abstractNum w:abstractNumId="367">
    <w:nsid w:val="A66E486"/>
    <w:multiLevelType w:val="hybridMultilevel"/>
    <w:lvl w:ilvl="0">
      <w:lvlJc w:val="left"/>
      <w:lvlText w:val="6"/>
      <w:numFmt w:val="bullet"/>
      <w:start w:val="1"/>
    </w:lvl>
  </w:abstractNum>
  <w:abstractNum w:abstractNumId="368">
    <w:nsid w:val="306235EA"/>
    <w:multiLevelType w:val="hybridMultilevel"/>
    <w:lvl w:ilvl="0">
      <w:lvlJc w:val="left"/>
      <w:lvlText w:val="(%1)"/>
      <w:numFmt w:val="decimal"/>
      <w:start w:val="3"/>
    </w:lvl>
  </w:abstractNum>
  <w:abstractNum w:abstractNumId="369">
    <w:nsid w:val="1187C70F"/>
    <w:multiLevelType w:val="hybridMultilevel"/>
    <w:lvl w:ilvl="0">
      <w:lvlJc w:val="left"/>
      <w:lvlText w:val="%1"/>
      <w:numFmt w:val="lowerLetter"/>
      <w:start w:val="1"/>
    </w:lvl>
    <w:lvl w:ilvl="1">
      <w:lvlJc w:val="left"/>
      <w:lvlText w:val="(%2)"/>
      <w:numFmt w:val="decimal"/>
      <w:start w:val="1"/>
    </w:lvl>
  </w:abstractNum>
  <w:abstractNum w:abstractNumId="370">
    <w:nsid w:val="5476DE98"/>
    <w:multiLevelType w:val="hybridMultilevel"/>
    <w:lvl w:ilvl="0">
      <w:lvlJc w:val="left"/>
      <w:lvlText w:val="(%1)"/>
      <w:numFmt w:val="lowerLetter"/>
      <w:start w:val="15"/>
    </w:lvl>
    <w:lvl w:ilvl="1">
      <w:lvlJc w:val="left"/>
      <w:lvlText w:val="%2"/>
      <w:numFmt w:val="decimal"/>
      <w:start w:val="1"/>
    </w:lvl>
  </w:abstractNum>
  <w:abstractNum w:abstractNumId="371">
    <w:nsid w:val="EA697F2"/>
    <w:multiLevelType w:val="hybridMultilevel"/>
    <w:lvl w:ilvl="0">
      <w:lvlJc w:val="left"/>
      <w:lvlText w:val="7"/>
      <w:numFmt w:val="bullet"/>
      <w:start w:val="1"/>
    </w:lvl>
  </w:abstractNum>
  <w:abstractNum w:abstractNumId="372">
    <w:nsid w:val="70BA39EB"/>
    <w:multiLevelType w:val="hybridMultilevel"/>
    <w:lvl w:ilvl="0">
      <w:lvlJc w:val="left"/>
      <w:lvlText w:val="8"/>
      <w:numFmt w:val="bullet"/>
      <w:start w:val="1"/>
    </w:lvl>
  </w:abstractNum>
  <w:abstractNum w:abstractNumId="373">
    <w:nsid w:val="4A8DB59C"/>
    <w:multiLevelType w:val="hybridMultilevel"/>
    <w:lvl w:ilvl="0">
      <w:lvlJc w:val="left"/>
      <w:lvlText w:val="(%1)"/>
      <w:numFmt w:val="lowerLetter"/>
      <w:start w:val="23"/>
    </w:lvl>
  </w:abstractNum>
  <w:abstractNum w:abstractNumId="374">
    <w:nsid w:val="1AFD9053"/>
    <w:multiLevelType w:val="hybridMultilevel"/>
    <w:lvl w:ilvl="0">
      <w:lvlJc w:val="left"/>
      <w:lvlText w:val="(%1)"/>
      <w:numFmt w:val="decimal"/>
      <w:start w:val="1"/>
    </w:lvl>
  </w:abstractNum>
  <w:abstractNum w:abstractNumId="375">
    <w:nsid w:val="558BB10D"/>
    <w:multiLevelType w:val="hybridMultilevel"/>
    <w:lvl w:ilvl="0">
      <w:lvlJc w:val="left"/>
      <w:lvlText w:val="(%1)"/>
      <w:numFmt w:val="lowerRoman"/>
      <w:start w:val="2"/>
    </w:lvl>
  </w:abstractNum>
  <w:abstractNum w:abstractNumId="376">
    <w:nsid w:val="43B27FA7"/>
    <w:multiLevelType w:val="hybridMultilevel"/>
    <w:lvl w:ilvl="0">
      <w:lvlJc w:val="left"/>
      <w:lvlText w:val="%1."/>
      <w:numFmt w:val="decimal"/>
      <w:start w:val="2"/>
    </w:lvl>
    <w:lvl w:ilvl="1">
      <w:lvlJc w:val="left"/>
      <w:lvlText w:val="(%2)"/>
      <w:numFmt w:val="lowerLetter"/>
      <w:start w:val="1"/>
    </w:lvl>
  </w:abstractNum>
  <w:abstractNum w:abstractNumId="377">
    <w:nsid w:val="27FADEFA"/>
    <w:multiLevelType w:val="hybridMultilevel"/>
    <w:lvl w:ilvl="0">
      <w:lvlJc w:val="left"/>
      <w:lvlText w:val="%1"/>
      <w:numFmt w:val="decimal"/>
      <w:start w:val="15"/>
    </w:lvl>
  </w:abstractNum>
  <w:abstractNum w:abstractNumId="378">
    <w:nsid w:val="78BB805A"/>
    <w:multiLevelType w:val="hybridMultilevel"/>
    <w:lvl w:ilvl="0">
      <w:lvlJc w:val="left"/>
      <w:lvlText w:val="(%1)"/>
      <w:numFmt w:val="lowerLetter"/>
      <w:start w:val="2"/>
    </w:lvl>
  </w:abstractNum>
  <w:abstractNum w:abstractNumId="379">
    <w:nsid w:val="62548FD8"/>
    <w:multiLevelType w:val="hybridMultilevel"/>
    <w:lvl w:ilvl="0">
      <w:lvlJc w:val="left"/>
      <w:lvlText w:val="(%1)"/>
      <w:numFmt w:val="lowerLetter"/>
      <w:start w:val="1"/>
    </w:lvl>
  </w:abstractNum>
  <w:abstractNum w:abstractNumId="380">
    <w:nsid w:val="FA085B0"/>
    <w:multiLevelType w:val="hybridMultilevel"/>
    <w:lvl w:ilvl="0">
      <w:lvlJc w:val="left"/>
      <w:lvlText w:val="%1"/>
      <w:numFmt w:val="decimal"/>
      <w:start w:val="17"/>
    </w:lvl>
  </w:abstractNum>
  <w:abstractNum w:abstractNumId="381">
    <w:nsid w:val="4E5DCB5"/>
    <w:multiLevelType w:val="hybridMultilevel"/>
    <w:lvl w:ilvl="0">
      <w:lvlJc w:val="left"/>
      <w:lvlText w:val="(%1)"/>
      <w:numFmt w:val="lowerLetter"/>
      <w:start w:val="3"/>
    </w:lvl>
    <w:lvl w:ilvl="1">
      <w:lvlJc w:val="left"/>
      <w:lvlText w:val="(%2)"/>
      <w:numFmt w:val="decimal"/>
      <w:start w:val="1"/>
    </w:lvl>
  </w:abstractNum>
  <w:abstractNum w:abstractNumId="382">
    <w:nsid w:val="41E96BDB"/>
    <w:multiLevelType w:val="hybridMultilevel"/>
    <w:lvl w:ilvl="0">
      <w:lvlJc w:val="left"/>
      <w:lvlText w:val="%1"/>
      <w:numFmt w:val="lowerLetter"/>
      <w:start w:val="1"/>
    </w:lvl>
    <w:lvl w:ilvl="1">
      <w:lvlJc w:val="left"/>
      <w:lvlText w:val="(%2)"/>
      <w:numFmt w:val="decimal"/>
      <w:start w:val="1"/>
    </w:lvl>
  </w:abstractNum>
  <w:abstractNum w:abstractNumId="383">
    <w:nsid w:val="331C4250"/>
    <w:multiLevelType w:val="hybridMultilevel"/>
    <w:lvl w:ilvl="0">
      <w:lvlJc w:val="left"/>
      <w:lvlText w:val="(%1)"/>
      <w:numFmt w:val="lowerLetter"/>
      <w:start w:val="4"/>
    </w:lvl>
    <w:lvl w:ilvl="1">
      <w:lvlJc w:val="left"/>
      <w:lvlText w:val="(%2)"/>
      <w:numFmt w:val="decimal"/>
      <w:start w:val="1"/>
    </w:lvl>
  </w:abstractNum>
  <w:abstractNum w:abstractNumId="384">
    <w:nsid w:val="1B1493C2"/>
    <w:multiLevelType w:val="hybridMultilevel"/>
    <w:lvl w:ilvl="0">
      <w:lvlJc w:val="left"/>
      <w:lvlText w:val="%1"/>
      <w:numFmt w:val="decimal"/>
      <w:start w:val="19"/>
    </w:lvl>
  </w:abstractNum>
  <w:abstractNum w:abstractNumId="385">
    <w:nsid w:val="39F06DFD"/>
    <w:multiLevelType w:val="hybridMultilevel"/>
    <w:lvl w:ilvl="0">
      <w:lvlJc w:val="left"/>
      <w:lvlText w:val="(%1)"/>
      <w:numFmt w:val="lowerLetter"/>
      <w:start w:val="5"/>
    </w:lvl>
    <w:lvl w:ilvl="1">
      <w:lvlJc w:val="left"/>
      <w:lvlText w:val="(%2)"/>
      <w:numFmt w:val="decimal"/>
      <w:start w:val="3"/>
    </w:lvl>
  </w:abstractNum>
  <w:abstractNum w:abstractNumId="386">
    <w:nsid w:val="14802F5D"/>
    <w:multiLevelType w:val="hybridMultilevel"/>
    <w:lvl w:ilvl="0">
      <w:lvlJc w:val="left"/>
      <w:lvlText w:val="%1."/>
      <w:numFmt w:val="decimal"/>
      <w:start w:val="4"/>
    </w:lvl>
    <w:lvl w:ilvl="1">
      <w:lvlJc w:val="left"/>
      <w:lvlText w:val="(%2)"/>
      <w:numFmt w:val="lowerLetter"/>
      <w:start w:val="1"/>
    </w:lvl>
  </w:abstractNum>
  <w:abstractNum w:abstractNumId="387">
    <w:nsid w:val="2774A209"/>
    <w:multiLevelType w:val="hybridMultilevel"/>
    <w:lvl w:ilvl="0">
      <w:lvlJc w:val="left"/>
      <w:lvlText w:val="%1"/>
      <w:numFmt w:val="decimal"/>
      <w:start w:val="23"/>
    </w:lvl>
  </w:abstractNum>
  <w:abstractNum w:abstractNumId="388">
    <w:nsid w:val="3785655A"/>
    <w:multiLevelType w:val="hybridMultilevel"/>
    <w:lvl w:ilvl="0">
      <w:lvlJc w:val="left"/>
      <w:lvlText w:val="%1"/>
      <w:numFmt w:val="decimal"/>
      <w:start w:val="1"/>
    </w:lvl>
    <w:lvl w:ilvl="1">
      <w:lvlJc w:val="left"/>
      <w:lvlText w:val="(%2)"/>
      <w:numFmt w:val="lowerLetter"/>
      <w:start w:val="2"/>
    </w:lvl>
  </w:abstractNum>
  <w:abstractNum w:abstractNumId="389">
    <w:nsid w:val="B2172A"/>
    <w:multiLevelType w:val="hybridMultilevel"/>
    <w:lvl w:ilvl="0">
      <w:lvlJc w:val="left"/>
      <w:lvlText w:val="%1."/>
      <w:numFmt w:val="decimal"/>
      <w:start w:val="5"/>
    </w:lvl>
    <w:lvl w:ilvl="1">
      <w:lvlJc w:val="left"/>
      <w:lvlText w:val="%2"/>
      <w:numFmt w:val="lowerLetter"/>
      <w:start w:val="1"/>
    </w:lvl>
  </w:abstractNum>
  <w:abstractNum w:abstractNumId="390">
    <w:nsid w:val="532C34A5"/>
    <w:multiLevelType w:val="hybridMultilevel"/>
    <w:lvl w:ilvl="0">
      <w:lvlJc w:val="left"/>
      <w:lvlText w:val="%1."/>
      <w:numFmt w:val="decimal"/>
      <w:start w:val="9"/>
    </w:lvl>
    <w:lvl w:ilvl="1">
      <w:lvlJc w:val="left"/>
      <w:lvlText w:val="(%2)"/>
      <w:numFmt w:val="lowerLetter"/>
      <w:start w:val="1"/>
    </w:lvl>
  </w:abstractNum>
  <w:abstractNum w:abstractNumId="391">
    <w:nsid w:val="102809E2"/>
    <w:multiLevelType w:val="hybridMultilevel"/>
    <w:lvl w:ilvl="0">
      <w:lvlJc w:val="left"/>
      <w:lvlText w:val="%1"/>
      <w:numFmt w:val="decimal"/>
      <w:start w:val="27"/>
    </w:lvl>
  </w:abstractNum>
  <w:abstractNum w:abstractNumId="392">
    <w:nsid w:val="3B2125A3"/>
    <w:multiLevelType w:val="hybridMultilevel"/>
    <w:lvl w:ilvl="0">
      <w:lvlJc w:val="left"/>
      <w:lvlText w:val="%1"/>
      <w:numFmt w:val="decimal"/>
      <w:start w:val="28"/>
    </w:lvl>
  </w:abstractNum>
  <w:abstractNum w:abstractNumId="393">
    <w:nsid w:val="AC68F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94">
    <w:nsid w:val="63DF3FB7"/>
    <w:multiLevelType w:val="hybridMultilevel"/>
    <w:lvl w:ilvl="0">
      <w:lvlJc w:val="left"/>
      <w:lvlText w:val="%1"/>
      <w:numFmt w:val="lowerLetter"/>
      <w:start w:val="1"/>
    </w:lvl>
    <w:lvl w:ilvl="1">
      <w:lvlJc w:val="left"/>
      <w:lvlText w:val="(%2)"/>
      <w:numFmt w:val="decimal"/>
      <w:start w:val="3"/>
    </w:lvl>
  </w:abstractNum>
  <w:abstractNum w:abstractNumId="395">
    <w:nsid w:val="64996E13"/>
    <w:multiLevelType w:val="hybridMultilevel"/>
    <w:lvl w:ilvl="0">
      <w:lvlJc w:val="left"/>
      <w:lvlText w:val="(%1)"/>
      <w:numFmt w:val="lowerLetter"/>
      <w:start w:val="12"/>
    </w:lvl>
    <w:lvl w:ilvl="1">
      <w:lvlJc w:val="left"/>
      <w:lvlText w:val="%2"/>
      <w:numFmt w:val="decimal"/>
      <w:start w:val="1"/>
    </w:lvl>
  </w:abstractNum>
  <w:abstractNum w:abstractNumId="396">
    <w:nsid w:val="57A37D47"/>
    <w:multiLevelType w:val="hybridMultilevel"/>
    <w:lvl w:ilvl="0">
      <w:lvlJc w:val="left"/>
      <w:lvlText w:val="%1"/>
      <w:numFmt w:val="decimal"/>
      <w:start w:val="1"/>
    </w:lvl>
    <w:lvl w:ilvl="1">
      <w:lvlJc w:val="left"/>
      <w:lvlText w:val="(%2)"/>
      <w:numFmt w:val="lowerLetter"/>
      <w:start w:val="24"/>
    </w:lvl>
  </w:abstractNum>
  <w:abstractNum w:abstractNumId="397">
    <w:nsid w:val="74824D54"/>
    <w:multiLevelType w:val="hybridMultilevel"/>
    <w:lvl w:ilvl="0">
      <w:lvlJc w:val="left"/>
      <w:lvlText w:val="%1."/>
      <w:numFmt w:val="decimal"/>
      <w:start w:val="2"/>
    </w:lvl>
    <w:lvl w:ilvl="1">
      <w:lvlJc w:val="left"/>
      <w:lvlText w:val="(%2)"/>
      <w:numFmt w:val="lowerLetter"/>
      <w:start w:val="1"/>
    </w:lvl>
  </w:abstractNum>
  <w:abstractNum w:abstractNumId="398">
    <w:nsid w:val="6F00529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99">
    <w:nsid w:val="805B331"/>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400">
    <w:nsid w:val="60A1463"/>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401">
    <w:nsid w:val="43773132"/>
    <w:multiLevelType w:val="hybridMultilevel"/>
    <w:lvl w:ilvl="0">
      <w:lvlJc w:val="left"/>
      <w:lvlText w:val="%1."/>
      <w:numFmt w:val="decimal"/>
      <w:start w:val="5"/>
    </w:lvl>
    <w:lvl w:ilvl="1">
      <w:lvlJc w:val="left"/>
      <w:lvlText w:val="%2."/>
      <w:numFmt w:val="decimal"/>
      <w:start w:val="6"/>
    </w:lvl>
  </w:abstractNum>
  <w:abstractNum w:abstractNumId="402">
    <w:nsid w:val="16AC4B23"/>
    <w:multiLevelType w:val="hybridMultilevel"/>
    <w:lvl w:ilvl="0">
      <w:lvlJc w:val="left"/>
      <w:lvlText w:val="%1."/>
      <w:numFmt w:val="decimal"/>
      <w:start w:val="12"/>
    </w:lvl>
    <w:lvl w:ilvl="1">
      <w:lvlJc w:val="left"/>
      <w:lvlText w:val="(%2)"/>
      <w:numFmt w:val="lowerLetter"/>
      <w:start w:val="1"/>
    </w:lvl>
  </w:abstractNum>
  <w:abstractNum w:abstractNumId="403">
    <w:nsid w:val="76C44E4E"/>
    <w:multiLevelType w:val="hybridMultilevel"/>
    <w:lvl w:ilvl="0">
      <w:lvlJc w:val="left"/>
      <w:lvlText w:val="%1."/>
      <w:numFmt w:val="decimal"/>
      <w:start w:val="19"/>
    </w:lvl>
  </w:abstractNum>
  <w:abstractNum w:abstractNumId="404">
    <w:nsid w:val="E04E6CE"/>
    <w:multiLevelType w:val="hybridMultilevel"/>
    <w:lvl w:ilvl="0">
      <w:lvlJc w:val="left"/>
      <w:lvlText w:val="(%1)"/>
      <w:numFmt w:val="lowerLetter"/>
      <w:start w:val="8"/>
    </w:lvl>
  </w:abstractNum>
  <w:abstractNum w:abstractNumId="405">
    <w:nsid w:val="31A9DB76"/>
    <w:multiLevelType w:val="hybridMultilevel"/>
    <w:lvl w:ilvl="0">
      <w:lvlJc w:val="left"/>
      <w:lvlText w:val="(%1)"/>
      <w:numFmt w:val="lowerLetter"/>
      <w:start w:val="19"/>
    </w:lvl>
  </w:abstractNum>
  <w:abstractNum w:abstractNumId="406">
    <w:nsid w:val="4C4FFF5B"/>
    <w:multiLevelType w:val="hybridMultilevel"/>
    <w:lvl w:ilvl="0">
      <w:lvlJc w:val="left"/>
      <w:lvlText w:val="(%1)"/>
      <w:numFmt w:val="lowerLetter"/>
      <w:start w:val="3"/>
    </w:lvl>
  </w:abstractNum>
  <w:abstractNum w:abstractNumId="407">
    <w:nsid w:val="51B7667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08">
    <w:nsid w:val="59A4BA71"/>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409">
    <w:nsid w:val="450B7FB6"/>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10">
    <w:nsid w:val="340BF64D"/>
    <w:multiLevelType w:val="hybridMultilevel"/>
    <w:lvl w:ilvl="0">
      <w:lvlJc w:val="left"/>
      <w:lvlText w:val="(%1)"/>
      <w:numFmt w:val="lowerLetter"/>
      <w:start w:val="1"/>
    </w:lvl>
    <w:lvl w:ilvl="1">
      <w:lvlJc w:val="left"/>
      <w:lvlText w:val="(%2)"/>
      <w:numFmt w:val="decimal"/>
      <w:start w:val="1"/>
    </w:lvl>
  </w:abstractNum>
  <w:abstractNum w:abstractNumId="411">
    <w:nsid w:val="69454021"/>
    <w:multiLevelType w:val="hybridMultilevel"/>
    <w:lvl w:ilvl="0">
      <w:lvlJc w:val="left"/>
      <w:lvlText w:val="(%1)"/>
      <w:numFmt w:val="decimal"/>
      <w:start w:val="1"/>
    </w:lvl>
  </w:abstractNum>
  <w:abstractNum w:abstractNumId="412">
    <w:nsid w:val="49F15C6B"/>
    <w:multiLevelType w:val="hybridMultilevel"/>
    <w:lvl w:ilvl="0">
      <w:lvlJc w:val="left"/>
      <w:lvlText w:val="%1"/>
      <w:numFmt w:val="lowerLetter"/>
      <w:start w:val="1"/>
    </w:lvl>
    <w:lvl w:ilvl="1">
      <w:lvlJc w:val="left"/>
      <w:lvlText w:val="(%2)"/>
      <w:numFmt w:val="decimal"/>
      <w:start w:val="1"/>
    </w:lvl>
  </w:abstractNum>
  <w:abstractNum w:abstractNumId="413">
    <w:nsid w:val="75F56228"/>
    <w:multiLevelType w:val="hybridMultilevel"/>
    <w:lvl w:ilvl="0">
      <w:lvlJc w:val="left"/>
      <w:lvlText w:val="(%1)"/>
      <w:numFmt w:val="lowerLetter"/>
      <w:start w:val="4"/>
    </w:lvl>
    <w:lvl w:ilvl="1">
      <w:lvlJc w:val="left"/>
      <w:lvlText w:val="%2"/>
      <w:numFmt w:val="decimal"/>
      <w:start w:val="1"/>
    </w:lvl>
  </w:abstractNum>
  <w:abstractNum w:abstractNumId="414">
    <w:nsid w:val="1C618271"/>
    <w:multiLevelType w:val="hybridMultilevel"/>
    <w:lvl w:ilvl="0">
      <w:lvlJc w:val="left"/>
      <w:lvlText w:val="(%1)"/>
      <w:numFmt w:val="lowerLetter"/>
      <w:start w:val="7"/>
    </w:lvl>
  </w:abstractNum>
  <w:abstractNum w:abstractNumId="415">
    <w:nsid w:val="6505F02E"/>
    <w:multiLevelType w:val="hybridMultilevel"/>
    <w:lvl w:ilvl="0">
      <w:lvlJc w:val="left"/>
      <w:lvlText w:val="(%1)"/>
      <w:numFmt w:val="lowerLetter"/>
      <w:start w:val="1"/>
    </w:lvl>
  </w:abstractNum>
  <w:abstractNum w:abstractNumId="416">
    <w:nsid w:val="2FE5D025"/>
    <w:multiLevelType w:val="hybridMultilevel"/>
    <w:lvl w:ilvl="0">
      <w:lvlJc w:val="left"/>
      <w:lvlText w:val="(%1)"/>
      <w:numFmt w:val="lowerLetter"/>
      <w:start w:val="2"/>
    </w:lvl>
  </w:abstractNum>
  <w:abstractNum w:abstractNumId="417">
    <w:nsid w:val="30E1B1CF"/>
    <w:multiLevelType w:val="hybridMultilevel"/>
    <w:lvl w:ilvl="0">
      <w:lvlJc w:val="left"/>
      <w:lvlText w:val="%1."/>
      <w:numFmt w:val="decimal"/>
      <w:start w:val="13"/>
    </w:lvl>
  </w:abstractNum>
  <w:abstractNum w:abstractNumId="418">
    <w:nsid w:val="C7A9237"/>
    <w:multiLevelType w:val="hybridMultilevel"/>
    <w:lvl w:ilvl="0">
      <w:lvlJc w:val="left"/>
      <w:lvlText w:val="%1."/>
      <w:numFmt w:val="decimal"/>
      <w:start w:val="14"/>
    </w:lvl>
  </w:abstractNum>
  <w:abstractNum w:abstractNumId="419">
    <w:nsid w:val="676B3580"/>
    <w:multiLevelType w:val="hybridMultilevel"/>
    <w:lvl w:ilvl="0">
      <w:lvlJc w:val="left"/>
      <w:lvlText w:val="1"/>
      <w:numFmt w:val="bullet"/>
      <w:start w:val="1"/>
    </w:lvl>
  </w:abstractNum>
  <w:abstractNum w:abstractNumId="420">
    <w:nsid w:val="3193C8F9"/>
    <w:multiLevelType w:val="hybridMultilevel"/>
    <w:lvl w:ilvl="0">
      <w:lvlJc w:val="left"/>
      <w:lvlText w:val="%1."/>
      <w:numFmt w:val="decimal"/>
      <w:start w:val="1"/>
    </w:lvl>
    <w:lvl w:ilvl="1">
      <w:lvlJc w:val="left"/>
      <w:lvlText w:val="(%2)"/>
      <w:numFmt w:val="lowerLetter"/>
      <w:start w:val="1"/>
    </w:lvl>
  </w:abstractNum>
  <w:abstractNum w:abstractNumId="421">
    <w:nsid w:val="5FA6C6DC"/>
    <w:multiLevelType w:val="hybridMultilevel"/>
    <w:lvl w:ilvl="0">
      <w:lvlJc w:val="left"/>
      <w:lvlText w:val="(%1)"/>
      <w:numFmt w:val="lowerLetter"/>
      <w:start w:val="12"/>
    </w:lvl>
  </w:abstractNum>
  <w:abstractNum w:abstractNumId="422">
    <w:nsid w:val="77933F62"/>
    <w:multiLevelType w:val="hybridMultilevel"/>
    <w:lvl w:ilvl="0">
      <w:lvlJc w:val="left"/>
      <w:lvlText w:val="(%1)"/>
      <w:numFmt w:val="lowerLetter"/>
      <w:start w:val="25"/>
    </w:lvl>
  </w:abstractNum>
  <w:abstractNum w:abstractNumId="423">
    <w:nsid w:val="6CB4EE9C"/>
    <w:multiLevelType w:val="hybridMultilevel"/>
    <w:lvl w:ilvl="0">
      <w:lvlJc w:val="left"/>
      <w:lvlText w:val="%1"/>
      <w:numFmt w:val="decimal"/>
      <w:start w:val="1"/>
    </w:lvl>
    <w:lvl w:ilvl="1">
      <w:lvlJc w:val="left"/>
      <w:lvlText w:val="(%2)"/>
      <w:numFmt w:val="lowerLetter"/>
      <w:start w:val="27"/>
    </w:lvl>
  </w:abstractNum>
  <w:abstractNum w:abstractNumId="424">
    <w:nsid w:val="6A6D56D7"/>
    <w:multiLevelType w:val="hybridMultilevel"/>
    <w:lvl w:ilvl="0">
      <w:lvlJc w:val="left"/>
      <w:lvlText w:val="%1."/>
      <w:numFmt w:val="decimal"/>
      <w:start w:val="2"/>
    </w:lvl>
    <w:lvl w:ilvl="1">
      <w:lvlJc w:val="left"/>
      <w:lvlText w:val="(%2)"/>
      <w:numFmt w:val="lowerLetter"/>
      <w:start w:val="1"/>
    </w:lvl>
  </w:abstractNum>
  <w:abstractNum w:abstractNumId="425">
    <w:nsid w:val="5B727F19"/>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26">
    <w:nsid w:val="514E5CB0"/>
    <w:multiLevelType w:val="hybridMultilevel"/>
    <w:lvl w:ilvl="0">
      <w:lvlJc w:val="left"/>
      <w:lvlText w:val="%1"/>
      <w:numFmt w:val="lowerLetter"/>
      <w:start w:val="1"/>
    </w:lvl>
    <w:lvl w:ilvl="1">
      <w:lvlJc w:val="left"/>
      <w:lvlText w:val="(%2)"/>
      <w:numFmt w:val="decimal"/>
      <w:start w:val="2"/>
    </w:lvl>
  </w:abstractNum>
  <w:abstractNum w:abstractNumId="427">
    <w:nsid w:val="4210D41E"/>
    <w:multiLevelType w:val="hybridMultilevel"/>
    <w:lvl w:ilvl="0">
      <w:lvlJc w:val="left"/>
      <w:lvlText w:val="(%1)"/>
      <w:numFmt w:val="lowerLetter"/>
      <w:start w:val="4"/>
    </w:lvl>
    <w:lvl w:ilvl="1">
      <w:lvlJc w:val="left"/>
      <w:lvlText w:val="(%2)"/>
      <w:numFmt w:val="decimal"/>
      <w:start w:val="1"/>
    </w:lvl>
  </w:abstractNum>
  <w:abstractNum w:abstractNumId="428">
    <w:nsid w:val="4FF4CC6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decimal"/>
      <w:start w:val="2"/>
    </w:lvl>
  </w:abstractNum>
  <w:abstractNum w:abstractNumId="429">
    <w:nsid w:val="404EAF4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430">
    <w:nsid w:val="4A16874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431">
    <w:nsid w:val="55FEE0D1"/>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32">
    <w:nsid w:val="3C5E07C"/>
    <w:multiLevelType w:val="hybridMultilevel"/>
    <w:lvl w:ilvl="0">
      <w:lvlJc w:val="left"/>
      <w:lvlText w:val="%1"/>
      <w:numFmt w:val="lowerLetter"/>
      <w:start w:val="1"/>
    </w:lvl>
    <w:lvl w:ilvl="1">
      <w:lvlJc w:val="left"/>
      <w:lvlText w:val="(%2)"/>
      <w:numFmt w:val="decimal"/>
      <w:start w:val="2"/>
    </w:lvl>
  </w:abstractNum>
  <w:abstractNum w:abstractNumId="433">
    <w:nsid w:val="60C2D273"/>
    <w:multiLevelType w:val="hybridMultilevel"/>
    <w:lvl w:ilvl="0">
      <w:lvlJc w:val="left"/>
      <w:lvlText w:val="(%1)"/>
      <w:numFmt w:val="lowerLetter"/>
      <w:start w:val="3"/>
    </w:lvl>
    <w:lvl w:ilvl="1">
      <w:lvlJc w:val="left"/>
      <w:lvlText w:val="%2"/>
      <w:numFmt w:val="decimal"/>
      <w:start w:val="1"/>
    </w:lvl>
  </w:abstractNum>
  <w:abstractNum w:abstractNumId="434">
    <w:nsid w:val="4CC32F1F"/>
    <w:multiLevelType w:val="hybridMultilevel"/>
    <w:lvl w:ilvl="0">
      <w:lvlJc w:val="left"/>
      <w:lvlText w:val="%1."/>
      <w:numFmt w:val="decimal"/>
      <w:start w:val="7"/>
    </w:lvl>
  </w:abstractNum>
  <w:abstractNum w:abstractNumId="435">
    <w:nsid w:val="11CAC74A"/>
    <w:multiLevelType w:val="hybridMultilevel"/>
    <w:lvl w:ilvl="0">
      <w:lvlJc w:val="left"/>
      <w:lvlText w:val="§"/>
      <w:numFmt w:val="bullet"/>
      <w:start w:val="1"/>
    </w:lvl>
    <w:lvl w:ilvl="1">
      <w:lvlJc w:val="left"/>
      <w:lvlText w:val="%2."/>
      <w:numFmt w:val="decimal"/>
      <w:start w:val="13"/>
    </w:lvl>
  </w:abstractNum>
  <w:abstractNum w:abstractNumId="436">
    <w:nsid w:val="126CADE9"/>
    <w:multiLevelType w:val="hybridMultilevel"/>
    <w:lvl w:ilvl="0">
      <w:lvlJc w:val="left"/>
      <w:lvlText w:val="%1."/>
      <w:numFmt w:val="decimal"/>
      <w:start w:val="19"/>
    </w:lvl>
  </w:abstractNum>
  <w:abstractNum w:abstractNumId="437">
    <w:nsid w:val="19132E7B"/>
    <w:multiLevelType w:val="hybridMultilevel"/>
    <w:lvl w:ilvl="0">
      <w:lvlJc w:val="left"/>
      <w:lvlText w:val="%1."/>
      <w:numFmt w:val="decimal"/>
      <w:start w:val="1"/>
    </w:lvl>
  </w:abstractNum>
  <w:abstractNum w:abstractNumId="438">
    <w:nsid w:val="63822DC0"/>
    <w:multiLevelType w:val="hybridMultilevel"/>
    <w:lvl w:ilvl="0">
      <w:lvlJc w:val="left"/>
      <w:lvlText w:val="\ldblquote"/>
      <w:numFmt w:val="bullet"/>
      <w:start w:val="1"/>
    </w:lvl>
  </w:abstractNum>
  <w:abstractNum w:abstractNumId="439">
    <w:nsid w:val="6C11685A"/>
    <w:multiLevelType w:val="hybridMultilevel"/>
    <w:lvl w:ilvl="0">
      <w:lvlJc w:val="left"/>
      <w:lvlText w:val="%1."/>
      <w:numFmt w:val="decimal"/>
      <w:start w:val="2"/>
    </w:lvl>
  </w:abstractNum>
  <w:abstractNum w:abstractNumId="440">
    <w:nsid w:val="5E1EAE31"/>
    <w:multiLevelType w:val="hybridMultilevel"/>
    <w:lvl w:ilvl="0">
      <w:lvlJc w:val="left"/>
      <w:lvlText w:val="%1."/>
      <w:numFmt w:val="decimal"/>
      <w:start w:val="3"/>
    </w:lvl>
  </w:abstractNum>
  <w:abstractNum w:abstractNumId="441">
    <w:nsid w:val="178E240D"/>
    <w:multiLevelType w:val="hybridMultilevel"/>
    <w:lvl w:ilvl="0">
      <w:lvlJc w:val="left"/>
      <w:lvlText w:val="(%1)"/>
      <w:numFmt w:val="lowerLetter"/>
      <w:start w:val="1"/>
    </w:lvl>
  </w:abstractNum>
  <w:abstractNum w:abstractNumId="442">
    <w:nsid w:val="5556A87B"/>
    <w:multiLevelType w:val="hybridMultilevel"/>
    <w:lvl w:ilvl="0">
      <w:lvlJc w:val="left"/>
      <w:lvlText w:val="(%1)"/>
      <w:numFmt w:val="lowerLetter"/>
      <w:start w:val="5"/>
    </w:lvl>
  </w:abstractNum>
  <w:abstractNum w:abstractNumId="443">
    <w:nsid w:val="28100A9C"/>
    <w:multiLevelType w:val="hybridMultilevel"/>
    <w:lvl w:ilvl="0">
      <w:lvlJc w:val="left"/>
      <w:lvlText w:val="%1."/>
      <w:numFmt w:val="decimal"/>
      <w:start w:val="4"/>
    </w:lvl>
  </w:abstractNum>
  <w:abstractNum w:abstractNumId="444">
    <w:nsid w:val="D838636"/>
    <w:multiLevelType w:val="hybridMultilevel"/>
    <w:lvl w:ilvl="0">
      <w:lvlJc w:val="left"/>
      <w:lvlText w:val="•"/>
      <w:numFmt w:val="bullet"/>
      <w:start w:val="1"/>
    </w:lvl>
  </w:abstractNum>
  <w:abstractNum w:abstractNumId="445">
    <w:nsid w:val="71B82AED"/>
    <w:multiLevelType w:val="hybridMultilevel"/>
    <w:lvl w:ilvl="0">
      <w:lvlJc w:val="left"/>
      <w:lvlText w:val="•"/>
      <w:numFmt w:val="bullet"/>
      <w:start w:val="1"/>
    </w:lvl>
  </w:abstractNum>
  <w:abstractNum w:abstractNumId="446">
    <w:nsid w:val="D15FACA"/>
    <w:multiLevelType w:val="hybridMultilevel"/>
    <w:lvl w:ilvl="0">
      <w:lvlJc w:val="left"/>
      <w:lvlText w:val="•"/>
      <w:numFmt w:val="bullet"/>
      <w:start w:val="1"/>
    </w:lvl>
  </w:abstractNum>
  <w:abstractNum w:abstractNumId="447">
    <w:nsid w:val="3D69565B"/>
    <w:multiLevelType w:val="hybridMultilevel"/>
    <w:lvl w:ilvl="0">
      <w:lvlJc w:val="left"/>
      <w:lvlText w:val="•"/>
      <w:numFmt w:val="bullet"/>
      <w:start w:val="1"/>
    </w:lvl>
  </w:abstractNum>
  <w:abstractNum w:abstractNumId="448">
    <w:nsid w:val="2299DCBC"/>
    <w:multiLevelType w:val="hybridMultilevel"/>
    <w:lvl w:ilvl="0">
      <w:lvlJc w:val="left"/>
      <w:lvlText w:val="•"/>
      <w:numFmt w:val="bullet"/>
      <w:start w:val="1"/>
    </w:lvl>
  </w:abstractNum>
  <w:abstractNum w:abstractNumId="449">
    <w:nsid w:val="19908D02"/>
    <w:multiLevelType w:val="hybridMultilevel"/>
    <w:lvl w:ilvl="0">
      <w:lvlJc w:val="left"/>
      <w:lvlText w:val="•"/>
      <w:numFmt w:val="bullet"/>
      <w:start w:val="1"/>
    </w:lvl>
  </w:abstractNum>
  <w:abstractNum w:abstractNumId="450">
    <w:nsid w:val="24D48BDB"/>
    <w:multiLevelType w:val="hybridMultilevel"/>
    <w:lvl w:ilvl="0">
      <w:lvlJc w:val="left"/>
      <w:lvlText w:val="•"/>
      <w:numFmt w:val="bullet"/>
      <w:start w:val="1"/>
    </w:lvl>
  </w:abstractNum>
  <w:abstractNum w:abstractNumId="451">
    <w:nsid w:val="542DA5B5"/>
    <w:multiLevelType w:val="hybridMultilevel"/>
    <w:lvl w:ilvl="0">
      <w:lvlJc w:val="left"/>
      <w:lvlText w:val="%1."/>
      <w:numFmt w:val="decimal"/>
      <w:start w:val="1"/>
    </w:lvl>
  </w:abstractNum>
  <w:abstractNum w:abstractNumId="452">
    <w:nsid w:val="793753DE"/>
    <w:multiLevelType w:val="hybridMultilevel"/>
    <w:lvl w:ilvl="0">
      <w:lvlJc w:val="left"/>
      <w:lvlText w:val="1"/>
      <w:numFmt w:val="bullet"/>
      <w:start w:val="1"/>
    </w:lvl>
  </w:abstractNum>
  <w:abstractNum w:abstractNumId="453">
    <w:nsid w:val="1C67CB3D"/>
    <w:multiLevelType w:val="hybridMultilevel"/>
    <w:lvl w:ilvl="0">
      <w:lvlJc w:val="left"/>
      <w:lvlText w:val="2"/>
      <w:numFmt w:val="bullet"/>
      <w:start w:val="1"/>
    </w:lvl>
  </w:abstractNum>
  <w:abstractNum w:abstractNumId="454">
    <w:nsid w:val="40E29452"/>
    <w:multiLevelType w:val="hybridMultilevel"/>
    <w:lvl w:ilvl="0">
      <w:lvlJc w:val="left"/>
      <w:lvlText w:val="%1."/>
      <w:numFmt w:val="decimal"/>
      <w:start w:val="1"/>
    </w:lvl>
    <w:lvl w:ilvl="1">
      <w:lvlJc w:val="left"/>
      <w:lvlText w:val="%2."/>
      <w:numFmt w:val="lowerLetter"/>
      <w:start w:val="1"/>
    </w:lvl>
  </w:abstractNum>
  <w:abstractNum w:abstractNumId="455">
    <w:nsid w:val="63A4AAB6"/>
    <w:multiLevelType w:val="hybridMultilevel"/>
    <w:lvl w:ilvl="0">
      <w:lvlJc w:val="left"/>
      <w:lvlText w:val="%1."/>
      <w:numFmt w:val="decimal"/>
      <w:start w:val="1"/>
    </w:lvl>
    <w:lvl w:ilvl="1">
      <w:lvlJc w:val="left"/>
      <w:lvlText w:val="%2."/>
      <w:numFmt w:val="lowerLetter"/>
      <w:start w:val="1"/>
    </w:lvl>
  </w:abstractNum>
  <w:abstractNum w:abstractNumId="456">
    <w:nsid w:val="77DA4A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264" Type="http://schemas.openxmlformats.org/officeDocument/2006/relationships/image" Target="media/image217.pn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268" Type="http://schemas.openxmlformats.org/officeDocument/2006/relationships/image" Target="media/image221.png"/><Relationship Id="rId269" Type="http://schemas.openxmlformats.org/officeDocument/2006/relationships/image" Target="media/image222.png"/><Relationship Id="rId270" Type="http://schemas.openxmlformats.org/officeDocument/2006/relationships/image" Target="media/image223.png"/><Relationship Id="rId271" Type="http://schemas.openxmlformats.org/officeDocument/2006/relationships/image" Target="media/image224.png"/><Relationship Id="rId272" Type="http://schemas.openxmlformats.org/officeDocument/2006/relationships/image" Target="media/image225.png"/><Relationship Id="rId273" Type="http://schemas.openxmlformats.org/officeDocument/2006/relationships/image" Target="media/image226.png"/><Relationship Id="rId274" Type="http://schemas.openxmlformats.org/officeDocument/2006/relationships/image" Target="media/image227.png"/><Relationship Id="rId275" Type="http://schemas.openxmlformats.org/officeDocument/2006/relationships/image" Target="media/image228.png"/><Relationship Id="rId276" Type="http://schemas.openxmlformats.org/officeDocument/2006/relationships/image" Target="media/image229.png"/><Relationship Id="rId277" Type="http://schemas.openxmlformats.org/officeDocument/2006/relationships/image" Target="media/image230.png"/><Relationship Id="rId278" Type="http://schemas.openxmlformats.org/officeDocument/2006/relationships/image" Target="media/image231.png"/><Relationship Id="rId279" Type="http://schemas.openxmlformats.org/officeDocument/2006/relationships/image" Target="media/image232.png"/><Relationship Id="rId280" Type="http://schemas.openxmlformats.org/officeDocument/2006/relationships/image" Target="media/image233.png"/><Relationship Id="rId281" Type="http://schemas.openxmlformats.org/officeDocument/2006/relationships/image" Target="media/image234.png"/><Relationship Id="rId282" Type="http://schemas.openxmlformats.org/officeDocument/2006/relationships/image" Target="media/image235.png"/><Relationship Id="rId283" Type="http://schemas.openxmlformats.org/officeDocument/2006/relationships/image" Target="media/image236.png"/><Relationship Id="rId284" Type="http://schemas.openxmlformats.org/officeDocument/2006/relationships/image" Target="media/image237.png"/><Relationship Id="rId285" Type="http://schemas.openxmlformats.org/officeDocument/2006/relationships/image" Target="media/image238.png"/><Relationship Id="rId286" Type="http://schemas.openxmlformats.org/officeDocument/2006/relationships/image" Target="media/image239.png"/><Relationship Id="rId287" Type="http://schemas.openxmlformats.org/officeDocument/2006/relationships/image" Target="media/image240.png"/><Relationship Id="rId288" Type="http://schemas.openxmlformats.org/officeDocument/2006/relationships/image" Target="media/image241.png"/><Relationship Id="rId289" Type="http://schemas.openxmlformats.org/officeDocument/2006/relationships/image" Target="media/image242.png"/><Relationship Id="rId290" Type="http://schemas.openxmlformats.org/officeDocument/2006/relationships/image" Target="media/image243.png"/><Relationship Id="rId291" Type="http://schemas.openxmlformats.org/officeDocument/2006/relationships/image" Target="media/image244.png"/><Relationship Id="rId292" Type="http://schemas.openxmlformats.org/officeDocument/2006/relationships/image" Target="media/image245.png"/><Relationship Id="rId293" Type="http://schemas.openxmlformats.org/officeDocument/2006/relationships/image" Target="media/image246.png"/><Relationship Id="rId294" Type="http://schemas.openxmlformats.org/officeDocument/2006/relationships/image" Target="media/image247.png"/><Relationship Id="rId295" Type="http://schemas.openxmlformats.org/officeDocument/2006/relationships/image" Target="media/image248.png"/><Relationship Id="rId68" Type="http://schemas.openxmlformats.org/officeDocument/2006/relationships/hyperlink" Target="https://www.sec.gov/ix?doc=/Archives/edgar/data/1166691/000116669124000011/cmcsa-20231231.htm" TargetMode="External"/><Relationship Id="rId213" Type="http://schemas.openxmlformats.org/officeDocument/2006/relationships/hyperlink" Target="https://www.sec.gov/Archives/edgar/data/1166691/000095010315009516/dp61838_ex0301.htm" TargetMode="External"/><Relationship Id="rId214" Type="http://schemas.openxmlformats.org/officeDocument/2006/relationships/hyperlink" Target="https://www.sec.gov/Archives/edgar/data/1166691/000116669124000011/exhibit311-pachangeofreg.htm" TargetMode="External"/><Relationship Id="rId215" Type="http://schemas.openxmlformats.org/officeDocument/2006/relationships/hyperlink" Target="https://www.sec.gov/Archives/edgar/data/1166691/000095015903000238/exhibit4-1.txt" TargetMode="External"/><Relationship Id="rId216" Type="http://schemas.openxmlformats.org/officeDocument/2006/relationships/hyperlink" Target="https://www.sec.gov/Archives/edgar/data/1166691/000119312509033975/dex44.htm" TargetMode="External"/><Relationship Id="rId217" Type="http://schemas.openxmlformats.org/officeDocument/2006/relationships/hyperlink" Target="https://www.sec.gov/Archives/edgar/data/1166691/000119312509033975/dex45.htm" TargetMode="External"/><Relationship Id="rId218" Type="http://schemas.openxmlformats.org/officeDocument/2006/relationships/hyperlink" Target="https://www.sec.gov/Archives/edgar/data/1166691/000095010309002175/dp14665_8k-ex0401.htm" TargetMode="External"/><Relationship Id="rId219" Type="http://schemas.openxmlformats.org/officeDocument/2006/relationships/hyperlink" Target="https://www.sec.gov/Archives/edgar/data/1166691/000119312513191930/d525898dex44.htm" TargetMode="External"/><Relationship Id="rId220" Type="http://schemas.openxmlformats.org/officeDocument/2006/relationships/hyperlink" Target="https://www.sec.gov/Archives/edgar/data/902739/000119312515354626/d98958dex41.htm" TargetMode="External"/><Relationship Id="rId221" Type="http://schemas.openxmlformats.org/officeDocument/2006/relationships/hyperlink" Target="https://www.sec.gov/Archives/edgar/data/355069/000119312513370526/d554661dex43.htm" TargetMode="External"/><Relationship Id="rId222" Type="http://schemas.openxmlformats.org/officeDocument/2006/relationships/hyperlink" Target="https://www.sec.gov/Archives/edgar/data/902739/000119312515384253/d60854dex44.htm" TargetMode="External"/><Relationship Id="rId223" Type="http://schemas.openxmlformats.org/officeDocument/2006/relationships/hyperlink" Target="https://www.sec.gov/Archives/edgar/data/1040573/000119312522205728/d278911dex44.htm" TargetMode="External"/><Relationship Id="rId224" Type="http://schemas.openxmlformats.org/officeDocument/2006/relationships/hyperlink" Target="https://www.sec.gov/Archives/edgar/data/902739/000119312511139191/dex4.htm" TargetMode="External"/><Relationship Id="rId227" Type="http://schemas.openxmlformats.org/officeDocument/2006/relationships/hyperlink" Target="https://www.sec.gov/Archives/edgar/data/1166691/000119312513191930/d525898dex43.htm" TargetMode="External"/><Relationship Id="rId228" Type="http://schemas.openxmlformats.org/officeDocument/2006/relationships/hyperlink" Target="https://www.sec.gov/Archives/edgar/data/902739/000119312515354626/d98958dex42.htm" TargetMode="External"/><Relationship Id="rId229" Type="http://schemas.openxmlformats.org/officeDocument/2006/relationships/hyperlink" Target="https://www.sec.gov/Archives/edgar/data/902739/000116669119000005/ex413-12312018.htm" TargetMode="External"/><Relationship Id="rId230" Type="http://schemas.openxmlformats.org/officeDocument/2006/relationships/hyperlink" Target="https://www.sec.gov/Archives/edgar/data/902739/000116669119000005/ex414-12312018.htm" TargetMode="External"/><Relationship Id="rId231" Type="http://schemas.openxmlformats.org/officeDocument/2006/relationships/hyperlink" Target="https://www.sec.gov/Archives/edgar/data/1166691/000095010324006839/dp211362_ex1001.htm" TargetMode="External"/><Relationship Id="rId232" Type="http://schemas.openxmlformats.org/officeDocument/2006/relationships/hyperlink" Target="https://www.sec.gov/Archives/edgar/data/1166691/000116669122000009/ex103-12312021.htm" TargetMode="External"/><Relationship Id="rId233" Type="http://schemas.openxmlformats.org/officeDocument/2006/relationships/hyperlink" Target="https://www.sec.gov/Archives/edgar/data/1166691/000116669120000017/ex104-3312020.htm" TargetMode="External"/><Relationship Id="rId234" Type="http://schemas.openxmlformats.org/officeDocument/2006/relationships/hyperlink" Target="https://www.sec.gov/Archives/edgar/data/0001166691/000116669121000020/ex102-33121.htm" TargetMode="External"/><Relationship Id="rId235" Type="http://schemas.openxmlformats.org/officeDocument/2006/relationships/hyperlink" Target="https://www.sec.gov/Archives/edgar/data/902739/000119312516452423/d49239dex1011.htm" TargetMode="External"/><Relationship Id="rId236" Type="http://schemas.openxmlformats.org/officeDocument/2006/relationships/hyperlink" Target="https://www.sec.gov/Archives/edgar/data/1166691/000116669123000032/ex103-6302023.htm" TargetMode="External"/><Relationship Id="rId237" Type="http://schemas.openxmlformats.org/officeDocument/2006/relationships/hyperlink" Target="https://www.sec.gov/Archives/edgar/data/1166691/000095010323008707/dp195127_ex1001.htm" TargetMode="External"/><Relationship Id="rId238" Type="http://schemas.openxmlformats.org/officeDocument/2006/relationships/hyperlink" Target="https://www.sec.gov/Archives/edgar/data/1166691/000116669117000022/ex102-6302017.htm" TargetMode="External"/><Relationship Id="rId239" Type="http://schemas.openxmlformats.org/officeDocument/2006/relationships/hyperlink" Target="https://www.sec.gov/Archives/edgar/data/902739/000116669120000008/ex1020-12312019.htm" TargetMode="External"/><Relationship Id="rId240" Type="http://schemas.openxmlformats.org/officeDocument/2006/relationships/hyperlink" Target="https://www.sec.gov/Archives/edgar/data/1166691/000116669123000010/ex1015-12312022.htm" TargetMode="External"/><Relationship Id="rId243" Type="http://schemas.openxmlformats.org/officeDocument/2006/relationships/hyperlink" Target="https://www.sec.gov/Archives/edgar/data/1166691/000116669123000010/ex1016-12312022.htm" TargetMode="External"/><Relationship Id="rId244" Type="http://schemas.openxmlformats.org/officeDocument/2006/relationships/hyperlink" Target="https://www.sec.gov/Archives/edgar/data/1166691/000116669124000048/ex102-6302024.htm" TargetMode="External"/><Relationship Id="rId245" Type="http://schemas.openxmlformats.org/officeDocument/2006/relationships/hyperlink" Target="https://www.sec.gov/Archives/edgar/data/1166691/000116669124000048/ex103-6302024.htm" TargetMode="External"/><Relationship Id="rId246" Type="http://schemas.openxmlformats.org/officeDocument/2006/relationships/hyperlink" Target="https://www.sec.gov/Archives/edgar/data/0001166691/000116669121000008/ex1037-1231x20.htm" TargetMode="External"/><Relationship Id="rId247" Type="http://schemas.openxmlformats.org/officeDocument/2006/relationships/hyperlink" Target="https://www.sec.gov/Archives/edgar/data/1166691/000116669123000010/ex1024-12312022.htm" TargetMode="External"/><Relationship Id="rId248" Type="http://schemas.openxmlformats.org/officeDocument/2006/relationships/hyperlink" Target="https://www.sec.gov/Archives/edgar/data/902739/000119312515068526/d817352dex1060.htm" TargetMode="External"/><Relationship Id="rId249" Type="http://schemas.openxmlformats.org/officeDocument/2006/relationships/hyperlink" Target="https://www.sec.gov/Archives/edgar/data/1166691/000119312509166759/dex103.htm" TargetMode="External"/><Relationship Id="rId250" Type="http://schemas.openxmlformats.org/officeDocument/2006/relationships/hyperlink" Target="https://www.sec.gov/Archives/edgar/data/1166691/000116669123000010/ex1027-12312022.htm" TargetMode="External"/><Relationship Id="rId251" Type="http://schemas.openxmlformats.org/officeDocument/2006/relationships/hyperlink" Target="https://www.sec.gov/Archives/edgar/data/1166691/000116669124000011/ex1028-12312023.htm" TargetMode="External"/><Relationship Id="rId252" Type="http://schemas.openxmlformats.org/officeDocument/2006/relationships/hyperlink" Target="https://www.sec.gov/Archives/edgar/data/1262449/000119312510008732/dex1049.htm" TargetMode="External"/><Relationship Id="rId253" Type="http://schemas.openxmlformats.org/officeDocument/2006/relationships/hyperlink" Target="https://www.sec.gov/Archives/edgar/data/1262449/000119312510008732/dex1050.htm" TargetMode="External"/><Relationship Id="rId254" Type="http://schemas.openxmlformats.org/officeDocument/2006/relationships/hyperlink" Target="https://www.sec.gov/Archives/edgar/data/1262449/000119312510008732/dex1052.htm" TargetMode="External"/><Relationship Id="rId255" Type="http://schemas.openxmlformats.org/officeDocument/2006/relationships/hyperlink" Target="https://www.sec.gov/Archives/edgar/data/1262449/000119312510008732/dex10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2025-01-31T15:21:11Z</dcterms:created>
  <dcterms:modified xsi:type="dcterms:W3CDTF">2025-01-31T15:21:11Z</dcterms:modified>
</cp:coreProperties>
</file>