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6"/>
          <w:szCs w:val="16"/>
          <w:color w:val="auto"/>
        </w:rPr>
        <w:t>As filed with the Securities and Exchange Commission on September 22, 1994</w:t>
      </w:r>
    </w:p>
    <w:p>
      <w:pPr>
        <w:spacing w:after="0" w:line="218"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 C. 20549</w:t>
      </w: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8</w:t>
      </w:r>
    </w:p>
    <w:p>
      <w:pPr>
        <w:ind w:left="4020"/>
        <w:spacing w:after="0" w:line="238" w:lineRule="auto"/>
        <w:rPr>
          <w:sz w:val="20"/>
          <w:szCs w:val="20"/>
          <w:color w:val="auto"/>
        </w:rPr>
      </w:pPr>
      <w:r>
        <w:rPr>
          <w:rFonts w:ascii="Courier New" w:cs="Courier New" w:eastAsia="Courier New" w:hAnsi="Courier New"/>
          <w:sz w:val="18"/>
          <w:szCs w:val="18"/>
          <w:color w:val="auto"/>
        </w:rPr>
        <w:t>to</w:t>
      </w:r>
    </w:p>
    <w:p>
      <w:pPr>
        <w:ind w:left="3380"/>
        <w:spacing w:after="0"/>
        <w:rPr>
          <w:sz w:val="20"/>
          <w:szCs w:val="20"/>
          <w:color w:val="auto"/>
        </w:rPr>
      </w:pPr>
      <w:r>
        <w:rPr>
          <w:rFonts w:ascii="Courier New" w:cs="Courier New" w:eastAsia="Courier New" w:hAnsi="Courier New"/>
          <w:sz w:val="18"/>
          <w:szCs w:val="18"/>
          <w:color w:val="auto"/>
        </w:rPr>
        <w:t>SCHEDULE 14D-1(*)</w:t>
      </w:r>
    </w:p>
    <w:p>
      <w:pPr>
        <w:spacing w:after="0" w:line="200"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Tender Offer Statement Pursuant to Section 14(d)(1)</w:t>
      </w:r>
    </w:p>
    <w:p>
      <w:pPr>
        <w:ind w:left="21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QVC,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(Name of Subject Company)</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QVC PROGRAMMING HOLDINGS,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COMCAST CORPORATION</w:t>
      </w:r>
    </w:p>
    <w:p>
      <w:pPr>
        <w:jc w:val="center"/>
        <w:ind w:right="1879"/>
        <w:spacing w:after="0"/>
        <w:rPr>
          <w:sz w:val="20"/>
          <w:szCs w:val="20"/>
          <w:color w:val="auto"/>
        </w:rPr>
      </w:pPr>
      <w:r>
        <w:rPr>
          <w:rFonts w:ascii="Courier New" w:cs="Courier New" w:eastAsia="Courier New" w:hAnsi="Courier New"/>
          <w:sz w:val="18"/>
          <w:szCs w:val="18"/>
          <w:color w:val="auto"/>
        </w:rPr>
        <w:t>TELE-COMMUNICATIONS, INC.</w:t>
      </w:r>
    </w:p>
    <w:p>
      <w:pPr>
        <w:jc w:val="center"/>
        <w:ind w:right="1879"/>
        <w:spacing w:after="0" w:line="237" w:lineRule="auto"/>
        <w:rPr>
          <w:sz w:val="20"/>
          <w:szCs w:val="20"/>
          <w:color w:val="auto"/>
        </w:rPr>
      </w:pPr>
      <w:r>
        <w:rPr>
          <w:rFonts w:ascii="Courier New" w:cs="Courier New" w:eastAsia="Courier New" w:hAnsi="Courier New"/>
          <w:sz w:val="18"/>
          <w:szCs w:val="18"/>
          <w:color w:val="auto"/>
        </w:rPr>
        <w:t>(Bidders)</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19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747262 10 3</w:t>
      </w:r>
    </w:p>
    <w:p>
      <w:pPr>
        <w:jc w:val="center"/>
        <w:ind w:right="18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ectPr>
          <w:pgSz w:w="11900" w:h="16850" w:orient="portrait"/>
          <w:cols w:equalWidth="0" w:num="1">
            <w:col w:w="10219"/>
          </w:cols>
          <w:pgMar w:left="240" w:top="250" w:right="1440" w:bottom="0" w:gutter="0" w:footer="0" w:header="0"/>
        </w:sectPr>
      </w:pPr>
    </w:p>
    <w:p>
      <w:pPr>
        <w:spacing w:after="0" w:line="207" w:lineRule="exact"/>
        <w:rPr>
          <w:sz w:val="24"/>
          <w:szCs w:val="24"/>
          <w:color w:val="auto"/>
        </w:rPr>
      </w:pPr>
    </w:p>
    <w:p>
      <w:pPr>
        <w:jc w:val="center"/>
        <w:ind w:left="740" w:right="540"/>
        <w:spacing w:after="0" w:line="237" w:lineRule="auto"/>
        <w:rPr>
          <w:sz w:val="20"/>
          <w:szCs w:val="20"/>
          <w:color w:val="auto"/>
        </w:rPr>
      </w:pPr>
      <w:r>
        <w:rPr>
          <w:rFonts w:ascii="Courier New" w:cs="Courier New" w:eastAsia="Courier New" w:hAnsi="Courier New"/>
          <w:sz w:val="18"/>
          <w:szCs w:val="18"/>
          <w:color w:val="auto"/>
        </w:rPr>
        <w:t>Stanley L. Wang Comcast Corporation 1500 Market Street Philadelphia, PA 19102 (215) 665-1700</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Stephen M. Brett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Tele-Communications, Inc.</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5619 DTC Parkway</w:t>
      </w:r>
    </w:p>
    <w:p>
      <w:pPr>
        <w:ind w:left="320"/>
        <w:spacing w:after="0" w:line="238" w:lineRule="auto"/>
        <w:rPr>
          <w:sz w:val="20"/>
          <w:szCs w:val="20"/>
          <w:color w:val="auto"/>
        </w:rPr>
      </w:pPr>
      <w:r>
        <w:rPr>
          <w:rFonts w:ascii="Courier New" w:cs="Courier New" w:eastAsia="Courier New" w:hAnsi="Courier New"/>
          <w:sz w:val="18"/>
          <w:szCs w:val="18"/>
          <w:color w:val="auto"/>
        </w:rPr>
        <w:t>Englewood, CO 80111</w:t>
      </w:r>
    </w:p>
    <w:p>
      <w:pPr>
        <w:ind w:left="540"/>
        <w:spacing w:after="0"/>
        <w:rPr>
          <w:sz w:val="20"/>
          <w:szCs w:val="20"/>
          <w:color w:val="auto"/>
        </w:rPr>
      </w:pPr>
      <w:r>
        <w:rPr>
          <w:rFonts w:ascii="Courier New" w:cs="Courier New" w:eastAsia="Courier New" w:hAnsi="Courier New"/>
          <w:sz w:val="18"/>
          <w:szCs w:val="18"/>
          <w:color w:val="auto"/>
        </w:rPr>
        <w:t>(303) 267-5500</w:t>
      </w:r>
    </w:p>
    <w:p>
      <w:pPr>
        <w:spacing w:after="0" w:line="200" w:lineRule="exact"/>
        <w:rPr>
          <w:sz w:val="24"/>
          <w:szCs w:val="24"/>
          <w:color w:val="auto"/>
        </w:rPr>
      </w:pPr>
    </w:p>
    <w:p>
      <w:pPr>
        <w:sectPr>
          <w:pgSz w:w="11900" w:h="16850" w:orient="portrait"/>
          <w:cols w:equalWidth="0" w:num="2">
            <w:col w:w="3600" w:space="720"/>
            <w:col w:w="5899"/>
          </w:cols>
          <w:pgMar w:left="240" w:top="250" w:right="1440" w:bottom="0" w:gutter="0" w:footer="0" w:header="0"/>
          <w:type w:val="continuous"/>
        </w:sectPr>
      </w:pPr>
    </w:p>
    <w:p>
      <w:pPr>
        <w:spacing w:after="0" w:line="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(Name, Address and Telephone Number of Person Authorized to Receive Notices</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 Communications on Behalf of Bidder)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rPr>
          <w:sz w:val="20"/>
          <w:szCs w:val="20"/>
          <w:color w:val="auto"/>
        </w:rPr>
      </w:pPr>
      <w:r>
        <w:rPr>
          <w:rFonts w:ascii="Courier New" w:cs="Courier New" w:eastAsia="Courier New" w:hAnsi="Courier New"/>
          <w:sz w:val="18"/>
          <w:szCs w:val="18"/>
          <w:color w:val="auto"/>
        </w:rPr>
        <w:t>Copies to:</w:t>
      </w:r>
    </w:p>
    <w:p>
      <w:pPr>
        <w:sectPr>
          <w:pgSz w:w="11900" w:h="16850" w:orient="portrait"/>
          <w:cols w:equalWidth="0" w:num="1">
            <w:col w:w="10219"/>
          </w:cols>
          <w:pgMar w:left="240" w:top="250" w:right="1440" w:bottom="0" w:gutter="0" w:footer="0" w:header="0"/>
          <w:type w:val="continuous"/>
        </w:sectPr>
      </w:pPr>
    </w:p>
    <w:p>
      <w:pPr>
        <w:ind w:left="1060"/>
        <w:spacing w:after="0"/>
        <w:rPr>
          <w:sz w:val="20"/>
          <w:szCs w:val="20"/>
          <w:color w:val="auto"/>
        </w:rPr>
      </w:pPr>
      <w:r>
        <w:rPr>
          <w:rFonts w:ascii="Courier New" w:cs="Courier New" w:eastAsia="Courier New" w:hAnsi="Courier New"/>
          <w:sz w:val="18"/>
          <w:szCs w:val="18"/>
          <w:color w:val="auto"/>
        </w:rPr>
        <w:t>Dennis S. Hersch</w:t>
      </w:r>
    </w:p>
    <w:p>
      <w:pPr>
        <w:spacing w:after="0" w:line="3"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Davis Polk &amp; Wardwell</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450 Lexington Avenue</w:t>
      </w:r>
    </w:p>
    <w:p>
      <w:pPr>
        <w:ind w:left="960"/>
        <w:spacing w:after="0" w:line="238" w:lineRule="auto"/>
        <w:rPr>
          <w:sz w:val="20"/>
          <w:szCs w:val="20"/>
          <w:color w:val="auto"/>
        </w:rPr>
      </w:pPr>
      <w:r>
        <w:rPr>
          <w:rFonts w:ascii="Courier New" w:cs="Courier New" w:eastAsia="Courier New" w:hAnsi="Courier New"/>
          <w:sz w:val="18"/>
          <w:szCs w:val="18"/>
          <w:color w:val="auto"/>
        </w:rPr>
        <w:t>New York, NY 10017</w:t>
      </w:r>
    </w:p>
    <w:p>
      <w:pPr>
        <w:ind w:left="1160"/>
        <w:spacing w:after="0"/>
        <w:rPr>
          <w:sz w:val="20"/>
          <w:szCs w:val="20"/>
          <w:color w:val="auto"/>
        </w:rPr>
      </w:pPr>
      <w:r>
        <w:rPr>
          <w:rFonts w:ascii="Courier New" w:cs="Courier New" w:eastAsia="Courier New" w:hAnsi="Courier New"/>
          <w:sz w:val="18"/>
          <w:szCs w:val="18"/>
          <w:color w:val="auto"/>
        </w:rPr>
        <w:t>(212) 450-4000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Frederick H. McGrath</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Baker &amp; Botts, L.L.P.</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885 Third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10022</w:t>
      </w:r>
    </w:p>
    <w:p>
      <w:pPr>
        <w:ind w:left="300"/>
        <w:spacing w:after="0"/>
        <w:rPr>
          <w:sz w:val="20"/>
          <w:szCs w:val="20"/>
          <w:color w:val="auto"/>
        </w:rPr>
      </w:pPr>
      <w:r>
        <w:rPr>
          <w:rFonts w:ascii="Courier New" w:cs="Courier New" w:eastAsia="Courier New" w:hAnsi="Courier New"/>
          <w:sz w:val="18"/>
          <w:szCs w:val="18"/>
          <w:color w:val="auto"/>
        </w:rPr>
        <w:t>(212) 705-5000</w:t>
      </w:r>
    </w:p>
    <w:p>
      <w:pPr>
        <w:spacing w:after="0" w:line="200" w:lineRule="exact"/>
        <w:rPr>
          <w:sz w:val="24"/>
          <w:szCs w:val="24"/>
          <w:color w:val="auto"/>
        </w:rPr>
      </w:pPr>
    </w:p>
    <w:p>
      <w:pPr>
        <w:sectPr>
          <w:pgSz w:w="11900" w:h="16850" w:orient="portrait"/>
          <w:cols w:equalWidth="0" w:num="2">
            <w:col w:w="3720" w:space="720"/>
            <w:col w:w="5779"/>
          </w:cols>
          <w:pgMar w:left="240" w:top="250" w:right="1440" w:bottom="0" w:gutter="0" w:footer="0" w:header="0"/>
          <w:type w:val="continuous"/>
        </w:sectPr>
      </w:pPr>
    </w:p>
    <w:p>
      <w:pPr>
        <w:spacing w:after="0" w:line="6" w:lineRule="exact"/>
        <w:rPr>
          <w:sz w:val="24"/>
          <w:szCs w:val="24"/>
          <w:color w:val="auto"/>
        </w:rPr>
      </w:pPr>
    </w:p>
    <w:p>
      <w:pPr>
        <w:ind w:left="320" w:right="1999" w:hanging="312"/>
        <w:spacing w:after="0" w:line="237"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also constitutes Amendment No. 9 to the Schedule 13D filed by Tele-Communications, Inc. and Amendment No. 30 to the Schedule 13D filed by Comcast Corporation in each case with respect to the securities of the Subject Company.</w:t>
      </w:r>
    </w:p>
    <w:p>
      <w:pPr>
        <w:spacing w:after="0" w:line="207" w:lineRule="exact"/>
        <w:rPr>
          <w:sz w:val="24"/>
          <w:szCs w:val="24"/>
          <w:color w:val="auto"/>
        </w:rPr>
      </w:pPr>
    </w:p>
    <w:p>
      <w:pPr>
        <w:ind w:right="2099" w:firstLine="1264"/>
        <w:spacing w:after="0" w:line="268" w:lineRule="auto"/>
        <w:rPr>
          <w:sz w:val="20"/>
          <w:szCs w:val="20"/>
          <w:color w:val="auto"/>
        </w:rPr>
      </w:pPr>
      <w:r>
        <w:rPr>
          <w:rFonts w:ascii="Courier New" w:cs="Courier New" w:eastAsia="Courier New" w:hAnsi="Courier New"/>
          <w:sz w:val="16"/>
          <w:szCs w:val="16"/>
          <w:color w:val="auto"/>
        </w:rPr>
        <w:t>QVC Programming Holdings, Inc., Comcast Corporation and Tele-Communications, Inc. hereby amend and supplement their Tender Offer Statement on Schedule 14D-1 filed with the Securities and Exchange Commission on August 11, 1994 (as previously amended and supplemented, the "Schedule</w:t>
      </w:r>
    </w:p>
    <w:p>
      <w:pPr>
        <w:spacing w:after="0" w:line="1"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14D-1") with respect to Bidders' Offer to Purchase for cash all outstanding shares of Common Stock and Preferred Stock of the Company.</w:t>
      </w:r>
    </w:p>
    <w:p>
      <w:pPr>
        <w:spacing w:after="0" w:line="200" w:lineRule="exact"/>
        <w:rPr>
          <w:sz w:val="24"/>
          <w:szCs w:val="24"/>
          <w:color w:val="auto"/>
        </w:rPr>
      </w:pPr>
    </w:p>
    <w:p>
      <w:pPr>
        <w:spacing w:after="0" w:line="387" w:lineRule="exact"/>
        <w:rPr>
          <w:sz w:val="24"/>
          <w:szCs w:val="24"/>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Information contained in the Schedule 14D-1 as hereby amended and supplemented with respect to Comcast, Liberty, TCI and the Purchaser and their respective executive officers, directors and controlling persons is given solely by such person, and no other person has responsibility for the accuracy or completeness of information supplied by such other persons.</w:t>
      </w:r>
    </w:p>
    <w:p>
      <w:pPr>
        <w:spacing w:after="0" w:line="209" w:lineRule="exact"/>
        <w:rPr>
          <w:sz w:val="24"/>
          <w:szCs w:val="24"/>
          <w:color w:val="auto"/>
        </w:rPr>
      </w:pPr>
    </w:p>
    <w:p>
      <w:pPr>
        <w:ind w:right="2419" w:firstLine="1264"/>
        <w:spacing w:after="0" w:line="290" w:lineRule="auto"/>
        <w:rPr>
          <w:sz w:val="20"/>
          <w:szCs w:val="20"/>
          <w:color w:val="auto"/>
        </w:rPr>
      </w:pPr>
      <w:r>
        <w:rPr>
          <w:rFonts w:ascii="Courier New" w:cs="Courier New" w:eastAsia="Courier New" w:hAnsi="Courier New"/>
          <w:sz w:val="16"/>
          <w:szCs w:val="16"/>
          <w:color w:val="auto"/>
        </w:rPr>
        <w:t>Capitalized terms used but not defined herein have the meaning assigned to them in the Offer to Purchase and the Schedule 14D-1.</w:t>
      </w:r>
    </w:p>
    <w:p>
      <w:pPr>
        <w:spacing w:after="0" w:line="16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4"/>
          <w:szCs w:val="24"/>
          <w:color w:val="auto"/>
        </w:rPr>
      </w:pPr>
    </w:p>
    <w:p>
      <w:pPr>
        <w:ind w:right="2099" w:firstLine="1272"/>
        <w:spacing w:after="0" w:line="237" w:lineRule="auto"/>
        <w:tabs>
          <w:tab w:leader="none" w:pos="168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(f) The information set forth under "Introduction", "The Tender Offer -- 1. Terms of the Tender Offer", "-- 2. Acceptance for Payment and Payment", "-- 3. Procedure for Tendering Shares", "-- 4. Withdrawal Rights", "-- 10. Certain Conditions of the Offer" and "-- 11. Certain Legal Matters; Regulatory Approvals" in the Offer to Purchase is hereby amended and supplemented to include the following information:</w:t>
      </w:r>
    </w:p>
    <w:p>
      <w:pPr>
        <w:spacing w:after="0" w:line="210" w:lineRule="exact"/>
        <w:rPr>
          <w:sz w:val="24"/>
          <w:szCs w:val="24"/>
          <w:color w:val="auto"/>
        </w:rPr>
      </w:pPr>
    </w:p>
    <w:p>
      <w:pPr>
        <w:ind w:right="1879" w:firstLine="1264"/>
        <w:spacing w:after="0" w:line="273" w:lineRule="auto"/>
        <w:rPr>
          <w:sz w:val="20"/>
          <w:szCs w:val="20"/>
          <w:color w:val="auto"/>
        </w:rPr>
      </w:pPr>
      <w:r>
        <w:rPr>
          <w:rFonts w:ascii="Courier New" w:cs="Courier New" w:eastAsia="Courier New" w:hAnsi="Courier New"/>
          <w:sz w:val="16"/>
          <w:szCs w:val="16"/>
          <w:color w:val="auto"/>
        </w:rPr>
        <w:t>On September 21, 1994, Comcast and TCI issued a press release in which they announced that they do not expect that the waiting periods under the HSR Act relating to the Offer will have expired by September 22, 1994, the date on which the Offer is currently scheduled to expire. As previously disclosed, the Offer may not be consummated until the waiting periods under the</w:t>
      </w:r>
    </w:p>
    <w:p>
      <w:pPr>
        <w:sectPr>
          <w:pgSz w:w="11900" w:h="16850" w:orient="portrait"/>
          <w:cols w:equalWidth="0" w:num="1">
            <w:col w:w="10219"/>
          </w:cols>
          <w:pgMar w:left="240" w:top="250" w:right="1440" w:bottom="0" w:gutter="0" w:footer="0" w:header="0"/>
          <w:type w:val="continuous"/>
        </w:sectPr>
      </w:pPr>
    </w:p>
    <w:bookmarkStart w:id="1" w:name="page2"/>
    <w:bookmarkEnd w:id="1"/>
    <w:p>
      <w:pPr>
        <w:ind w:right="2319"/>
        <w:spacing w:after="0" w:line="236" w:lineRule="auto"/>
        <w:rPr>
          <w:sz w:val="20"/>
          <w:szCs w:val="20"/>
          <w:color w:val="auto"/>
        </w:rPr>
      </w:pPr>
      <w:r>
        <w:rPr>
          <w:rFonts w:ascii="Courier New" w:cs="Courier New" w:eastAsia="Courier New" w:hAnsi="Courier New"/>
          <w:sz w:val="18"/>
          <w:szCs w:val="18"/>
          <w:color w:val="auto"/>
        </w:rPr>
        <w:t>HSR Act applicable to both (i) the purchase of Shares pursuant to the Offer and (ii) the acquisition by the Parent Purchasers of the shares of the Purchaser and the Parent Contribution have expired.</w:t>
      </w:r>
    </w:p>
    <w:p>
      <w:pPr>
        <w:spacing w:after="0" w:line="209"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As a result, the Purchaser has extended the Expiration Date for the Offer until 11:59 P.M., New York City time, on October 21, 1994.</w:t>
      </w:r>
    </w:p>
    <w:p>
      <w:pPr>
        <w:spacing w:after="0" w:line="208"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As of the close of business on September 20, 1994 approximately 12,531,661 shares of QVC Common Stock, 150 shares of QVC Series B Preferred Stock and 33,742 shares of QVC Series C Preferred Stock have been tendered pursuant to the Offer.</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A copy of the press release of Comcast and TCI relating to the foregoing is attached hereto as Exhibit (a)(13) and is hereby incorporated by reference, and the foregoing description is qualified in its entirety by reference to such Exhibit.</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(a)(13) -- Text of Press Release issued by Comcast and TCI on September 21, 1994.</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September 22,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QVC PROGRAMMING HOLDINGS, INC.</w:t>
      </w:r>
    </w:p>
    <w:p>
      <w:pPr>
        <w:sectPr>
          <w:pgSz w:w="11900" w:h="16838" w:orient="portrait"/>
          <w:cols w:equalWidth="0" w:num="1">
            <w:col w:w="10219"/>
          </w:cols>
          <w:pgMar w:left="240" w:top="142" w:right="1440" w:bottom="1440" w:gutter="0" w:footer="0" w:header="0"/>
        </w:sectPr>
      </w:pPr>
    </w:p>
    <w:bookmarkStart w:id="2" w:name="page3"/>
    <w:bookmarkEnd w:id="2"/>
    <w:p>
      <w:pPr>
        <w:ind w:left="3800"/>
        <w:spacing w:after="0"/>
        <w:tabs>
          <w:tab w:leader="none" w:pos="472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JULIAN A. BRODSKY</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tab/>
        <w:t>Julian A. Brodsky</w:t>
      </w:r>
    </w:p>
    <w:p>
      <w:pPr>
        <w:ind w:left="4220"/>
        <w:spacing w:after="0" w:line="238"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COMCAST CORPORATION</w:t>
      </w:r>
    </w:p>
    <w:p>
      <w:pPr>
        <w:sectPr>
          <w:pgSz w:w="11900" w:h="16838" w:orient="portrait"/>
          <w:cols w:equalWidth="0" w:num="1">
            <w:col w:w="9579"/>
          </w:cols>
          <w:pgMar w:left="88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419" w:firstLine="105"/>
        <w:spacing w:after="0" w:line="237" w:lineRule="auto"/>
        <w:rPr>
          <w:sz w:val="20"/>
          <w:szCs w:val="20"/>
          <w:color w:val="auto"/>
        </w:rPr>
      </w:pPr>
      <w:r>
        <w:rPr>
          <w:rFonts w:ascii="Courier New" w:cs="Courier New" w:eastAsia="Courier New" w:hAnsi="Courier New"/>
          <w:sz w:val="18"/>
          <w:szCs w:val="18"/>
          <w:color w:val="auto"/>
        </w:rPr>
        <w:t>/s/ JULIAN A. BRODSKY ---------------------------- Name: Julian A. Brodsky Title: Vice Chairman</w:t>
      </w:r>
    </w:p>
    <w:p>
      <w:pPr>
        <w:spacing w:after="0" w:line="200" w:lineRule="exact"/>
        <w:rPr>
          <w:sz w:val="20"/>
          <w:szCs w:val="20"/>
          <w:color w:val="auto"/>
        </w:rPr>
      </w:pPr>
    </w:p>
    <w:p>
      <w:pPr>
        <w:sectPr>
          <w:pgSz w:w="11900" w:h="16838" w:orient="portrait"/>
          <w:cols w:equalWidth="0" w:num="2">
            <w:col w:w="4100" w:space="120"/>
            <w:col w:w="5359"/>
          </w:cols>
          <w:pgMar w:left="880" w:top="717" w:right="1440" w:bottom="1440" w:gutter="0" w:footer="0" w:header="0"/>
          <w:type w:val="continuous"/>
        </w:sect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TELE-COMMUNICATIONS,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tabs>
          <w:tab w:leader="none" w:pos="472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STEPHEN M. BRETT</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Stephen M. Brett</w:t>
      </w:r>
    </w:p>
    <w:p>
      <w:pPr>
        <w:ind w:left="4220"/>
        <w:spacing w:after="0" w:line="238" w:lineRule="auto"/>
        <w:rPr>
          <w:sz w:val="20"/>
          <w:szCs w:val="20"/>
          <w:color w:val="auto"/>
        </w:rPr>
      </w:pPr>
      <w:r>
        <w:rPr>
          <w:rFonts w:ascii="Courier New" w:cs="Courier New" w:eastAsia="Courier New" w:hAnsi="Courier New"/>
          <w:sz w:val="18"/>
          <w:szCs w:val="18"/>
          <w:color w:val="auto"/>
        </w:rPr>
        <w:t>Title: Executive Vice</w:t>
      </w:r>
    </w:p>
    <w:p>
      <w:pPr>
        <w:ind w:left="49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3"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9579"/>
          </w:cols>
          <w:pgMar w:left="880" w:top="717"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Description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Text of Press Release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issued by Comcast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TCI on September 21,</w:t>
      </w:r>
    </w:p>
    <w:p>
      <w:pPr>
        <w:spacing w:after="0" w:line="238" w:lineRule="auto"/>
        <w:rPr>
          <w:sz w:val="20"/>
          <w:szCs w:val="20"/>
          <w:color w:val="auto"/>
        </w:rPr>
      </w:pPr>
      <w:r>
        <w:rPr>
          <w:rFonts w:ascii="Courier New" w:cs="Courier New" w:eastAsia="Courier New" w:hAnsi="Courier New"/>
          <w:sz w:val="18"/>
          <w:szCs w:val="18"/>
          <w:color w:val="auto"/>
        </w:rPr>
        <w:t>1994.</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_</w:t>
      </w:r>
    </w:p>
    <w:p>
      <w:pPr>
        <w:sectPr>
          <w:pgSz w:w="11900" w:h="16838" w:orient="portrait"/>
          <w:cols w:equalWidth="0" w:num="3">
            <w:col w:w="1380" w:space="720"/>
            <w:col w:w="3180" w:space="720"/>
            <w:col w:w="3579"/>
          </w:cols>
          <w:pgMar w:left="880" w:top="717" w:right="1440" w:bottom="1440" w:gutter="0" w:footer="0" w:header="0"/>
          <w:type w:val="continuous"/>
        </w:sectPr>
      </w:pPr>
    </w:p>
    <w:bookmarkStart w:id="3" w:name="page4"/>
    <w:bookmarkEnd w:id="3"/>
    <w:p>
      <w:pPr>
        <w:spacing w:after="0" w:line="121"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Exhibit (a)(13)</w:t>
      </w:r>
    </w:p>
    <w:p>
      <w:pPr>
        <w:spacing w:after="0" w:line="200" w:lineRule="exact"/>
        <w:rPr>
          <w:sz w:val="20"/>
          <w:szCs w:val="20"/>
          <w:color w:val="auto"/>
        </w:rPr>
      </w:pPr>
    </w:p>
    <w:p>
      <w:pPr>
        <w:spacing w:after="0" w:line="204"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COMCAST AND LIBERTY MEDIA</w:t>
      </w:r>
    </w:p>
    <w:p>
      <w:pPr>
        <w:ind w:left="2960"/>
        <w:spacing w:after="0" w:line="238" w:lineRule="auto"/>
        <w:rPr>
          <w:sz w:val="20"/>
          <w:szCs w:val="20"/>
          <w:color w:val="auto"/>
        </w:rPr>
      </w:pPr>
      <w:r>
        <w:rPr>
          <w:rFonts w:ascii="Courier New" w:cs="Courier New" w:eastAsia="Courier New" w:hAnsi="Courier New"/>
          <w:sz w:val="18"/>
          <w:szCs w:val="18"/>
          <w:color w:val="auto"/>
        </w:rPr>
        <w:t>EXTEND QVC TENDER OFFER</w:t>
      </w:r>
    </w:p>
    <w:p>
      <w:pPr>
        <w:ind w:left="3280"/>
        <w:spacing w:after="0"/>
        <w:rPr>
          <w:sz w:val="20"/>
          <w:szCs w:val="20"/>
          <w:color w:val="auto"/>
        </w:rPr>
      </w:pPr>
      <w:r>
        <w:rPr>
          <w:rFonts w:ascii="Courier New" w:cs="Courier New" w:eastAsia="Courier New" w:hAnsi="Courier New"/>
          <w:sz w:val="18"/>
          <w:szCs w:val="18"/>
          <w:color w:val="auto"/>
        </w:rPr>
        <w:t>UNTIL OCTOBER 21</w:t>
      </w:r>
    </w:p>
    <w:p>
      <w:pPr>
        <w:spacing w:after="0" w:line="200"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____________________________________</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Philadelphia, PA and Englewood, CO -- September 21, 1994: Comcast Corporation and Tele-Communications, Inc. ("TCI") announced today that they do not expect that the applicable waiting periods under the Hart-Scott-Rodino Antitrust Improvements Act relating to the acquisition of QVC, Inc. will have expired by September 22, 1994, the date on which the tender offer for the stock of QVC is currently scheduled to expire.</w:t>
      </w:r>
    </w:p>
    <w:p>
      <w:pPr>
        <w:spacing w:after="0" w:line="210" w:lineRule="exact"/>
        <w:rPr>
          <w:sz w:val="20"/>
          <w:szCs w:val="20"/>
          <w:color w:val="auto"/>
        </w:rPr>
      </w:pPr>
    </w:p>
    <w:p>
      <w:pPr>
        <w:ind w:right="1999" w:firstLine="1264"/>
        <w:spacing w:after="0" w:line="290" w:lineRule="auto"/>
        <w:rPr>
          <w:sz w:val="20"/>
          <w:szCs w:val="20"/>
          <w:color w:val="auto"/>
        </w:rPr>
      </w:pPr>
      <w:r>
        <w:rPr>
          <w:rFonts w:ascii="Courier New" w:cs="Courier New" w:eastAsia="Courier New" w:hAnsi="Courier New"/>
          <w:sz w:val="16"/>
          <w:szCs w:val="16"/>
          <w:color w:val="auto"/>
        </w:rPr>
        <w:t>As a result, QVC Programming Holdings, Inc., an acquisition vehicle jointly owned by Comcast and Liberty Media Corporation, a wholly-owned</w:t>
      </w:r>
    </w:p>
    <w:p>
      <w:pPr>
        <w:spacing w:after="0" w:line="345"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subsidiary of TCI, has extended the expiration date for the tender offer until 11:59 P.M., New York City time, on October 21, 1994. As a consequence of the extension of the expiration date, holders of QVC shares are entitled to tender or withdraw their shares pursuant to the tender offer until 11:59 P.M., New York time, on October 21, 1994, unless the offer is further extended.</w:t>
      </w:r>
    </w:p>
    <w:p>
      <w:pPr>
        <w:spacing w:after="0" w:line="185" w:lineRule="exact"/>
        <w:rPr>
          <w:sz w:val="20"/>
          <w:szCs w:val="20"/>
          <w:color w:val="auto"/>
        </w:rPr>
      </w:pPr>
    </w:p>
    <w:p>
      <w:pPr>
        <w:ind w:right="1999" w:firstLine="1264"/>
        <w:spacing w:after="0" w:line="271" w:lineRule="auto"/>
        <w:rPr>
          <w:sz w:val="20"/>
          <w:szCs w:val="20"/>
          <w:color w:val="auto"/>
        </w:rPr>
      </w:pPr>
      <w:r>
        <w:rPr>
          <w:rFonts w:ascii="Courier New" w:cs="Courier New" w:eastAsia="Courier New" w:hAnsi="Courier New"/>
          <w:sz w:val="16"/>
          <w:szCs w:val="16"/>
          <w:color w:val="auto"/>
        </w:rPr>
        <w:t>If the applicable waiting periods under the Hart-Scott-Rodino Antitrust Improvements Act have not expired or been terminated at such time, QVC Programming Holdings, Inc. may elect to extend the tender offer beyond such time. However, under the terms of the Merger Agreement pursuant to which the tender offer is being made, QVC Programming Holdings, Inc. may not terminate the tender offer prior to December 31, 1994 by reason of the applicable waiting periods under the Hart-Scott-Rodino Antitrust Improvements Act not having expired or been terminated, although the expiration of the applicable waiting periods is a condition to the tender offer.</w:t>
      </w:r>
    </w:p>
    <w:p>
      <w:pPr>
        <w:spacing w:after="0" w:line="388"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As of the close of business on September 20, 1994, approximately 12,531,661 shares of QVC Common Stock, 150 shares of QVC Series B Preferred Stock and 33,742 shares of QVC Series C Preferred Stock had been tendered pursuant to the tender offer.</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Comcast Corporation is principally engaged in the development, management and operation of cable communications networks. Comcast's consolidated and affiliated operations served approximately 3.0 million cable subscribers at June 30, 1994. After completion of the acquisition of Maclean Hunter's United States cable properties, Comcast's consolidated and prorated affiliated operations will serve approximately 3.5 million cable subscribers, making it the third largest cable operator in the country. Comcast provides cellular telephone services in the Northeast United States to markets encompassing a population in excess of 7.4 million. Comcast also has investments in cable programming, telecommunications systems, and international cable and telephony franchises.</w:t>
      </w:r>
    </w:p>
    <w:p>
      <w:pPr>
        <w:spacing w:after="0" w:line="216" w:lineRule="exact"/>
        <w:rPr>
          <w:sz w:val="20"/>
          <w:szCs w:val="20"/>
          <w:color w:val="auto"/>
        </w:rPr>
      </w:pPr>
    </w:p>
    <w:p>
      <w:pPr>
        <w:ind w:right="2199" w:firstLine="1264"/>
        <w:spacing w:after="0" w:line="290" w:lineRule="auto"/>
        <w:rPr>
          <w:sz w:val="20"/>
          <w:szCs w:val="20"/>
          <w:color w:val="auto"/>
        </w:rPr>
      </w:pPr>
      <w:r>
        <w:rPr>
          <w:rFonts w:ascii="Courier New" w:cs="Courier New" w:eastAsia="Courier New" w:hAnsi="Courier New"/>
          <w:sz w:val="16"/>
          <w:szCs w:val="16"/>
          <w:color w:val="auto"/>
        </w:rPr>
        <w:t>Comcast's Class A and Class A Special Common Stock are traded on the Nasdaq Stock Market under the symbols CMCSA and CMCSK, respectively.</w:t>
      </w:r>
    </w:p>
    <w:p>
      <w:pPr>
        <w:spacing w:after="0" w:line="170" w:lineRule="exact"/>
        <w:rPr>
          <w:sz w:val="20"/>
          <w:szCs w:val="20"/>
          <w:color w:val="auto"/>
        </w:rPr>
      </w:pPr>
    </w:p>
    <w:p>
      <w:pPr>
        <w:ind w:right="1999" w:firstLine="1264"/>
        <w:spacing w:after="0" w:line="275" w:lineRule="auto"/>
        <w:rPr>
          <w:sz w:val="20"/>
          <w:szCs w:val="20"/>
          <w:color w:val="auto"/>
        </w:rPr>
      </w:pPr>
      <w:r>
        <w:rPr>
          <w:rFonts w:ascii="Courier New" w:cs="Courier New" w:eastAsia="Courier New" w:hAnsi="Courier New"/>
          <w:sz w:val="16"/>
          <w:szCs w:val="16"/>
          <w:color w:val="auto"/>
        </w:rPr>
        <w:t>Liberty is a wholly-owned subsidiary of Tele-Communications, Inc. TCI is the United States' largest cable television operator, serving 10.9 million customers in 48 states, Puerto Rico and the District of Columbia. The company also holds interests in several national programming cable networks.</w:t>
      </w:r>
    </w:p>
    <w:p>
      <w:pPr>
        <w:spacing w:after="0" w:line="182" w:lineRule="exact"/>
        <w:rPr>
          <w:sz w:val="20"/>
          <w:szCs w:val="20"/>
          <w:color w:val="auto"/>
        </w:rPr>
      </w:pPr>
    </w:p>
    <w:p>
      <w:pPr>
        <w:ind w:right="2099" w:firstLine="1264"/>
        <w:spacing w:after="0" w:line="279" w:lineRule="auto"/>
        <w:rPr>
          <w:sz w:val="20"/>
          <w:szCs w:val="20"/>
          <w:color w:val="auto"/>
        </w:rPr>
      </w:pPr>
      <w:r>
        <w:rPr>
          <w:rFonts w:ascii="Courier New" w:cs="Courier New" w:eastAsia="Courier New" w:hAnsi="Courier New"/>
          <w:sz w:val="16"/>
          <w:szCs w:val="16"/>
          <w:color w:val="auto"/>
        </w:rPr>
        <w:t>Tele-Communications, Inc. is traded in the Nasdaq National Market with Class A and Class B Common Stock and Class B Preferred Stock trading separately under the symbols of TCOMA, TCOMB and TCOMP,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William E. Dordelman</w:t>
      </w:r>
    </w:p>
    <w:p>
      <w:pPr>
        <w:spacing w:after="0"/>
        <w:rPr>
          <w:sz w:val="20"/>
          <w:szCs w:val="20"/>
          <w:color w:val="auto"/>
        </w:rPr>
      </w:pPr>
      <w:r>
        <w:rPr>
          <w:rFonts w:ascii="Courier New" w:cs="Courier New" w:eastAsia="Courier New" w:hAnsi="Courier New"/>
          <w:sz w:val="18"/>
          <w:szCs w:val="18"/>
          <w:color w:val="auto"/>
        </w:rPr>
        <w:t>Assistant Treasurer</w:t>
      </w:r>
    </w:p>
    <w:p>
      <w:pPr>
        <w:spacing w:after="0" w:line="3" w:lineRule="exact"/>
        <w:rPr>
          <w:sz w:val="20"/>
          <w:szCs w:val="20"/>
          <w:color w:val="auto"/>
        </w:rPr>
      </w:pPr>
    </w:p>
    <w:p>
      <w:pPr>
        <w:ind w:right="8319" w:firstLine="8"/>
        <w:spacing w:after="0" w:line="558" w:lineRule="auto"/>
        <w:tabs>
          <w:tab w:leader="none" w:pos="6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981-7550 Kathleen B. Jacoby</w:t>
      </w:r>
    </w:p>
    <w:p>
      <w:pPr>
        <w:sectPr>
          <w:pgSz w:w="11900" w:h="16959" w:orient="portrait"/>
          <w:cols w:equalWidth="0" w:num="1">
            <w:col w:w="10219"/>
          </w:cols>
          <w:pgMar w:left="240" w:top="541"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Director of 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(215) 981-7392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Tele-Communications, Inc.</w:t>
      </w:r>
    </w:p>
    <w:p>
      <w:pPr>
        <w:spacing w:after="0" w:line="238" w:lineRule="auto"/>
        <w:rPr>
          <w:sz w:val="20"/>
          <w:szCs w:val="20"/>
          <w:color w:val="auto"/>
        </w:rPr>
      </w:pPr>
      <w:r>
        <w:rPr>
          <w:rFonts w:ascii="Courier New" w:cs="Courier New" w:eastAsia="Courier New" w:hAnsi="Courier New"/>
          <w:sz w:val="18"/>
          <w:szCs w:val="18"/>
          <w:color w:val="auto"/>
        </w:rPr>
        <w:t>Steve Smith</w:t>
      </w:r>
    </w:p>
    <w:p>
      <w:pPr>
        <w:spacing w:after="0"/>
        <w:rPr>
          <w:sz w:val="20"/>
          <w:szCs w:val="20"/>
          <w:color w:val="auto"/>
        </w:rPr>
      </w:pPr>
      <w:r>
        <w:rPr>
          <w:rFonts w:ascii="Courier New" w:cs="Courier New" w:eastAsia="Courier New" w:hAnsi="Courier New"/>
          <w:sz w:val="18"/>
          <w:szCs w:val="18"/>
          <w:color w:val="auto"/>
        </w:rPr>
        <w:t>Investor Relations</w:t>
      </w:r>
    </w:p>
    <w:p>
      <w:pPr>
        <w:spacing w:after="0" w:line="237" w:lineRule="auto"/>
        <w:rPr>
          <w:sz w:val="20"/>
          <w:szCs w:val="20"/>
          <w:color w:val="auto"/>
        </w:rPr>
      </w:pPr>
      <w:r>
        <w:rPr>
          <w:rFonts w:ascii="Courier New" w:cs="Courier New" w:eastAsia="Courier New" w:hAnsi="Courier New"/>
          <w:sz w:val="18"/>
          <w:szCs w:val="18"/>
          <w:color w:val="auto"/>
        </w:rPr>
        <w:t>(303) 267-5048</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decimal"/>
      <w:start w:val="21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2019-12-16T13:42:48Z</dcterms:created>
  <dcterms:modified xsi:type="dcterms:W3CDTF">2019-12-16T13:42:48Z</dcterms:modified>
</cp:coreProperties>
</file>