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5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5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57785</wp:posOffset>
            </wp:positionV>
            <wp:extent cx="127635" cy="127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88265</wp:posOffset>
            </wp:positionV>
            <wp:extent cx="127635" cy="127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4 Transactions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UNITED STATES SECURITIES AND EXCHANGE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4085590</wp:posOffset>
            </wp:positionH>
            <wp:positionV relativeFrom="paragraph">
              <wp:posOffset>-23495</wp:posOffset>
            </wp:positionV>
            <wp:extent cx="1317625" cy="598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6440" w:type="dxa"/>
            <w:vAlign w:val="bottom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  <w:bottom w:val="single" w:sz="8" w:color="808080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ANNUAL 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3235-0362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40" w:type="dxa"/>
            <w:vAlign w:val="bottom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-1535430</wp:posOffset>
            </wp:positionH>
            <wp:positionV relativeFrom="paragraph">
              <wp:posOffset>73025</wp:posOffset>
            </wp:positionV>
            <wp:extent cx="6971665" cy="1572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20"/>
            <w:col w:w="8660"/>
          </w:cols>
          <w:pgMar w:left="460" w:top="219" w:right="359" w:bottom="834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Cavanagh Michael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COMCAST CORP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12/31/2020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CFO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-2437130</wp:posOffset>
            </wp:positionH>
            <wp:positionV relativeFrom="paragraph">
              <wp:posOffset>144780</wp:posOffset>
            </wp:positionV>
            <wp:extent cx="6971665" cy="1477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477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83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Class A 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11/27/2020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12,125</w:t>
            </w:r>
          </w:p>
        </w:tc>
        <w:tc>
          <w:tcPr>
            <w:tcW w:w="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210,238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Class A 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12/29/2020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100,000</w:t>
            </w:r>
          </w:p>
        </w:tc>
        <w:tc>
          <w:tcPr>
            <w:tcW w:w="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110,238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Class A 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12/29/2020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100,000</w:t>
            </w:r>
          </w:p>
        </w:tc>
        <w:tc>
          <w:tcPr>
            <w:tcW w:w="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35.83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167,910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03/15/2028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167,910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391,790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3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37.46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258,615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03/16/2027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258,615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316,085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3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29.88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419,520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419,520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279,680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3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28.32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321,732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321,732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393,228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3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35.83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167,910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03/15/2028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167,910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167,910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33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37.46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258,615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03/16/2027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258,615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258,615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33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29.88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419,520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419,520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419,520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33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28.32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321,732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321,732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321,732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33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-4079240</wp:posOffset>
            </wp:positionV>
            <wp:extent cx="7035165" cy="41205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412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hanging="2"/>
        <w:spacing w:after="0" w:line="275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date of grant of these options was ten years before the expiration date and the options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Elizabeth Wideman,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02/11/2021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2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83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044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2021-02-12T15:38:06Z</dcterms:created>
  <dcterms:modified xsi:type="dcterms:W3CDTF">2021-02-12T15:38:06Z</dcterms:modified>
</cp:coreProperties>
</file>