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225425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330"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Pursuant to Section 13 or 15(d) of the</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Securities Exchange Act of 1934</w:t>
      </w:r>
    </w:p>
    <w:p>
      <w:pPr>
        <w:spacing w:after="0" w:line="200" w:lineRule="exact"/>
        <w:rPr>
          <w:sz w:val="24"/>
          <w:szCs w:val="24"/>
          <w:color w:val="auto"/>
        </w:rPr>
      </w:pPr>
    </w:p>
    <w:p>
      <w:pPr>
        <w:spacing w:after="0" w:line="222"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Date of report (Date of earliest event reported): December 8, 2014</w:t>
      </w:r>
    </w:p>
    <w:p>
      <w:pPr>
        <w:spacing w:after="0" w:line="207"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Comcast Corporation</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19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color w:val="auto"/>
        </w:rPr>
        <w:t>(State or Other Jurisdiction of Incorporation)</w:t>
      </w:r>
    </w:p>
    <w:p>
      <w:pPr>
        <w:spacing w:after="0" w:line="219"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4140" w:type="dxa"/>
            <w:vAlign w:val="bottom"/>
          </w:tcPr>
          <w:p>
            <w:pPr>
              <w:jc w:val="center"/>
              <w:ind w:right="1717"/>
              <w:spacing w:after="0"/>
              <w:rPr>
                <w:sz w:val="20"/>
                <w:szCs w:val="20"/>
                <w:color w:val="auto"/>
              </w:rPr>
            </w:pPr>
            <w:r>
              <w:rPr>
                <w:rFonts w:ascii="Arial" w:cs="Arial" w:eastAsia="Arial" w:hAnsi="Arial"/>
                <w:sz w:val="18"/>
                <w:szCs w:val="18"/>
                <w:b w:val="1"/>
                <w:bCs w:val="1"/>
                <w:color w:val="auto"/>
                <w:w w:val="90"/>
              </w:rPr>
              <w:t>001-32871</w:t>
            </w:r>
          </w:p>
        </w:tc>
        <w:tc>
          <w:tcPr>
            <w:tcW w:w="3780" w:type="dxa"/>
            <w:vAlign w:val="bottom"/>
          </w:tcPr>
          <w:p>
            <w:pPr>
              <w:jc w:val="center"/>
              <w:ind w:left="1719"/>
              <w:spacing w:after="0"/>
              <w:rPr>
                <w:sz w:val="20"/>
                <w:szCs w:val="20"/>
                <w:color w:val="auto"/>
              </w:rPr>
            </w:pPr>
            <w:r>
              <w:rPr>
                <w:rFonts w:ascii="Arial" w:cs="Arial" w:eastAsia="Arial" w:hAnsi="Arial"/>
                <w:sz w:val="18"/>
                <w:szCs w:val="18"/>
                <w:b w:val="1"/>
                <w:bCs w:val="1"/>
                <w:color w:val="auto"/>
                <w:w w:val="89"/>
              </w:rPr>
              <w:t>27-0000798</w:t>
            </w:r>
          </w:p>
        </w:tc>
      </w:tr>
      <w:tr>
        <w:trPr>
          <w:trHeight w:val="182"/>
        </w:trPr>
        <w:tc>
          <w:tcPr>
            <w:tcW w:w="4140" w:type="dxa"/>
            <w:vAlign w:val="bottom"/>
          </w:tcPr>
          <w:p>
            <w:pPr>
              <w:jc w:val="center"/>
              <w:ind w:right="1717"/>
              <w:spacing w:after="0"/>
              <w:rPr>
                <w:sz w:val="20"/>
                <w:szCs w:val="20"/>
                <w:color w:val="auto"/>
              </w:rPr>
            </w:pPr>
            <w:r>
              <w:rPr>
                <w:rFonts w:ascii="Arial" w:cs="Arial" w:eastAsia="Arial" w:hAnsi="Arial"/>
                <w:sz w:val="14"/>
                <w:szCs w:val="14"/>
                <w:color w:val="auto"/>
                <w:w w:val="94"/>
              </w:rPr>
              <w:t>(Commission File Number)</w:t>
            </w:r>
          </w:p>
        </w:tc>
        <w:tc>
          <w:tcPr>
            <w:tcW w:w="3780" w:type="dxa"/>
            <w:vAlign w:val="bottom"/>
          </w:tcPr>
          <w:p>
            <w:pPr>
              <w:jc w:val="center"/>
              <w:ind w:left="1719"/>
              <w:spacing w:after="0"/>
              <w:rPr>
                <w:sz w:val="20"/>
                <w:szCs w:val="20"/>
                <w:color w:val="auto"/>
              </w:rPr>
            </w:pPr>
            <w:r>
              <w:rPr>
                <w:rFonts w:ascii="Arial" w:cs="Arial" w:eastAsia="Arial" w:hAnsi="Arial"/>
                <w:sz w:val="14"/>
                <w:szCs w:val="14"/>
                <w:color w:val="auto"/>
                <w:w w:val="97"/>
              </w:rPr>
              <w:t>(IRS Employer Identification No.)</w:t>
            </w:r>
          </w:p>
        </w:tc>
      </w:tr>
      <w:tr>
        <w:trPr>
          <w:trHeight w:val="399"/>
        </w:trPr>
        <w:tc>
          <w:tcPr>
            <w:tcW w:w="4140" w:type="dxa"/>
            <w:vAlign w:val="bottom"/>
          </w:tcPr>
          <w:p>
            <w:pPr>
              <w:jc w:val="center"/>
              <w:ind w:right="1717"/>
              <w:spacing w:after="0"/>
              <w:rPr>
                <w:sz w:val="20"/>
                <w:szCs w:val="20"/>
                <w:color w:val="auto"/>
              </w:rPr>
            </w:pPr>
            <w:r>
              <w:rPr>
                <w:rFonts w:ascii="Arial" w:cs="Arial" w:eastAsia="Arial" w:hAnsi="Arial"/>
                <w:sz w:val="18"/>
                <w:szCs w:val="18"/>
                <w:b w:val="1"/>
                <w:bCs w:val="1"/>
                <w:color w:val="auto"/>
                <w:w w:val="90"/>
              </w:rPr>
              <w:t>One Comcast Center</w:t>
            </w:r>
          </w:p>
        </w:tc>
        <w:tc>
          <w:tcPr>
            <w:tcW w:w="3780" w:type="dxa"/>
            <w:vAlign w:val="bottom"/>
          </w:tcPr>
          <w:p>
            <w:pPr>
              <w:spacing w:after="0"/>
              <w:rPr>
                <w:sz w:val="24"/>
                <w:szCs w:val="24"/>
                <w:color w:val="auto"/>
              </w:rPr>
            </w:pPr>
          </w:p>
        </w:tc>
      </w:tr>
      <w:tr>
        <w:trPr>
          <w:trHeight w:val="229"/>
        </w:trPr>
        <w:tc>
          <w:tcPr>
            <w:tcW w:w="4140" w:type="dxa"/>
            <w:vAlign w:val="bottom"/>
          </w:tcPr>
          <w:p>
            <w:pPr>
              <w:jc w:val="center"/>
              <w:ind w:right="1717"/>
              <w:spacing w:after="0"/>
              <w:rPr>
                <w:sz w:val="20"/>
                <w:szCs w:val="20"/>
                <w:color w:val="auto"/>
              </w:rPr>
            </w:pPr>
            <w:r>
              <w:rPr>
                <w:rFonts w:ascii="Arial" w:cs="Arial" w:eastAsia="Arial" w:hAnsi="Arial"/>
                <w:sz w:val="18"/>
                <w:szCs w:val="18"/>
                <w:b w:val="1"/>
                <w:bCs w:val="1"/>
                <w:color w:val="auto"/>
                <w:w w:val="92"/>
              </w:rPr>
              <w:t>Philadelphia, PA</w:t>
            </w:r>
          </w:p>
        </w:tc>
        <w:tc>
          <w:tcPr>
            <w:tcW w:w="3780" w:type="dxa"/>
            <w:vAlign w:val="bottom"/>
          </w:tcPr>
          <w:p>
            <w:pPr>
              <w:jc w:val="center"/>
              <w:ind w:left="1719"/>
              <w:spacing w:after="0"/>
              <w:rPr>
                <w:sz w:val="20"/>
                <w:szCs w:val="20"/>
                <w:color w:val="auto"/>
              </w:rPr>
            </w:pPr>
            <w:r>
              <w:rPr>
                <w:rFonts w:ascii="Arial" w:cs="Arial" w:eastAsia="Arial" w:hAnsi="Arial"/>
                <w:sz w:val="18"/>
                <w:szCs w:val="18"/>
                <w:b w:val="1"/>
                <w:bCs w:val="1"/>
                <w:color w:val="auto"/>
                <w:w w:val="89"/>
              </w:rPr>
              <w:t>19103-2838</w:t>
            </w:r>
          </w:p>
        </w:tc>
      </w:tr>
      <w:tr>
        <w:trPr>
          <w:trHeight w:val="182"/>
        </w:trPr>
        <w:tc>
          <w:tcPr>
            <w:tcW w:w="4140" w:type="dxa"/>
            <w:vAlign w:val="bottom"/>
          </w:tcPr>
          <w:p>
            <w:pPr>
              <w:jc w:val="center"/>
              <w:ind w:right="1717"/>
              <w:spacing w:after="0"/>
              <w:rPr>
                <w:sz w:val="20"/>
                <w:szCs w:val="20"/>
                <w:color w:val="auto"/>
              </w:rPr>
            </w:pPr>
            <w:r>
              <w:rPr>
                <w:rFonts w:ascii="Arial" w:cs="Arial" w:eastAsia="Arial" w:hAnsi="Arial"/>
                <w:sz w:val="14"/>
                <w:szCs w:val="14"/>
                <w:color w:val="auto"/>
                <w:w w:val="95"/>
              </w:rPr>
              <w:t>(Address of Principal Executive Offices)</w:t>
            </w:r>
          </w:p>
        </w:tc>
        <w:tc>
          <w:tcPr>
            <w:tcW w:w="3780" w:type="dxa"/>
            <w:vAlign w:val="bottom"/>
          </w:tcPr>
          <w:p>
            <w:pPr>
              <w:jc w:val="center"/>
              <w:ind w:left="1719"/>
              <w:spacing w:after="0"/>
              <w:rPr>
                <w:sz w:val="20"/>
                <w:szCs w:val="20"/>
                <w:color w:val="auto"/>
              </w:rPr>
            </w:pPr>
            <w:r>
              <w:rPr>
                <w:rFonts w:ascii="Arial" w:cs="Arial" w:eastAsia="Arial" w:hAnsi="Arial"/>
                <w:sz w:val="14"/>
                <w:szCs w:val="14"/>
                <w:color w:val="auto"/>
                <w:w w:val="93"/>
              </w:rPr>
              <w:t>(Zip Code)</w:t>
            </w:r>
          </w:p>
        </w:tc>
      </w:tr>
    </w:tbl>
    <w:p>
      <w:pPr>
        <w:spacing w:after="0" w:line="291" w:lineRule="exact"/>
        <w:rPr>
          <w:sz w:val="24"/>
          <w:szCs w:val="24"/>
          <w:color w:val="auto"/>
        </w:rPr>
      </w:pPr>
    </w:p>
    <w:p>
      <w:pPr>
        <w:ind w:left="364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333" w:lineRule="exact"/>
        <w:rPr>
          <w:sz w:val="24"/>
          <w:szCs w:val="24"/>
          <w:color w:val="auto"/>
        </w:rPr>
      </w:pPr>
    </w:p>
    <w:p>
      <w:pPr>
        <w:jc w:val="center"/>
        <w:ind w:right="-4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81"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020"/>
          </w:cols>
          <w:pgMar w:left="240" w:top="742"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Charter Communications, Inc. (“Charter”) intends to file a Registration Statement on Form S-4 with the Securities and Exchange Commission relating to the transactions agreement dated April 25, 2014 between Comcast Corporation (“Comcast”) and Charter that will include certain historical combined financial statements for the Comcast Cable Systems to be Contributed to Midwest Cable, Inc., or SpinCo, which is a newly formed entity that Comcast intends to spin-off to its shareholders. Accordingly, Comcast is furnishing the unaudited condensed combined financial statements of Comcast Cable Systems to be Contributed to Midwest Cable, Inc. as of September 30, 2014 and for the nine months ended September 30, 2014 and 2013 attached hereto as Exhibit 99.1.</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Comcast does not intend for this Item 7.01 or Exhibit 99.1 to be treated as “filed” under the Securities Exchange Act of 1934, as amended, or incorporated by reference into its filings under the Securities Act of 1933, as amended.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0" w:type="dxa"/>
            <w:vAlign w:val="bottom"/>
          </w:tcPr>
          <w:p>
            <w:pPr>
              <w:spacing w:after="0"/>
              <w:rPr>
                <w:sz w:val="18"/>
                <w:szCs w:val="18"/>
                <w:color w:val="auto"/>
              </w:rPr>
            </w:pPr>
          </w:p>
        </w:tc>
      </w:t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680" w:type="dxa"/>
            <w:vAlign w:val="bottom"/>
            <w:gridSpan w:val="3"/>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303"/>
        </w:trPr>
        <w:tc>
          <w:tcPr>
            <w:tcW w:w="640" w:type="dxa"/>
            <w:vAlign w:val="bottom"/>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w w:val="90"/>
              </w:rPr>
              <w:t>Unaudited Condensed Combined Financial Statements of Comcast Cable Systems to be Contributed to Midwest Cable, Inc. as of</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80" w:type="dxa"/>
            <w:vAlign w:val="bottom"/>
            <w:gridSpan w:val="3"/>
          </w:tcPr>
          <w:p>
            <w:pPr>
              <w:ind w:left="380"/>
              <w:spacing w:after="0"/>
              <w:rPr>
                <w:sz w:val="20"/>
                <w:szCs w:val="20"/>
                <w:color w:val="auto"/>
              </w:rPr>
            </w:pPr>
            <w:r>
              <w:rPr>
                <w:rFonts w:ascii="Arial" w:cs="Arial" w:eastAsia="Arial" w:hAnsi="Arial"/>
                <w:sz w:val="18"/>
                <w:szCs w:val="18"/>
                <w:color w:val="auto"/>
              </w:rPr>
              <w:t>September 30, 2014 and for the Nine Months Ended September 30, 2014 and 2013</w:t>
            </w:r>
          </w:p>
        </w:tc>
      </w:tr>
    </w:tbl>
    <w:p>
      <w:pPr>
        <w:sectPr>
          <w:pgSz w:w="11900" w:h="16838" w:orient="portrait"/>
          <w:cols w:equalWidth="0" w:num="1">
            <w:col w:w="11360"/>
          </w:cols>
          <w:pgMar w:left="240" w:top="270" w:right="29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0"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COMCAST CORPORATION</w:t>
      </w:r>
    </w:p>
    <w:p>
      <w:pPr>
        <w:spacing w:after="0" w:line="270"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December 8, 2014</w:t>
      </w:r>
      <w:r>
        <w:rPr>
          <w:sz w:val="20"/>
          <w:szCs w:val="20"/>
          <w:color w:val="auto"/>
        </w:rPr>
        <w:tab/>
      </w:r>
      <w:r>
        <w:rPr>
          <w:rFonts w:ascii="Arial" w:cs="Arial" w:eastAsia="Arial" w:hAnsi="Arial"/>
          <w:sz w:val="16"/>
          <w:szCs w:val="16"/>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14605</wp:posOffset>
            </wp:positionV>
            <wp:extent cx="31216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0" w:lineRule="exact"/>
        <w:rPr>
          <w:sz w:val="20"/>
          <w:szCs w:val="20"/>
          <w:color w:val="auto"/>
        </w:rPr>
      </w:pPr>
    </w:p>
    <w:p>
      <w:pPr>
        <w:ind w:left="6500"/>
        <w:spacing w:after="0"/>
        <w:tabs>
          <w:tab w:leader="none" w:pos="7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Lawrence J. Salva</w:t>
      </w:r>
    </w:p>
    <w:p>
      <w:pPr>
        <w:spacing w:after="0" w:line="9" w:lineRule="exact"/>
        <w:rPr>
          <w:sz w:val="20"/>
          <w:szCs w:val="20"/>
          <w:color w:val="auto"/>
        </w:rPr>
      </w:pPr>
    </w:p>
    <w:p>
      <w:pPr>
        <w:ind w:left="6500"/>
        <w:spacing w:after="0"/>
        <w:tabs>
          <w:tab w:leader="none" w:pos="7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 Chief Accounting</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Officer and Controller</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Cable Systems to be Contributed to Midwest Cable, Inc.</w:t>
      </w:r>
    </w:p>
    <w:p>
      <w:pPr>
        <w:spacing w:after="0" w:line="212" w:lineRule="exact"/>
        <w:rPr>
          <w:sz w:val="20"/>
          <w:szCs w:val="20"/>
          <w:color w:val="auto"/>
        </w:rPr>
      </w:pPr>
    </w:p>
    <w:p>
      <w:pPr>
        <w:ind w:right="5020"/>
        <w:spacing w:after="0"/>
        <w:rPr>
          <w:sz w:val="20"/>
          <w:szCs w:val="20"/>
          <w:color w:val="auto"/>
        </w:rPr>
      </w:pPr>
      <w:r>
        <w:rPr>
          <w:rFonts w:ascii="Arial" w:cs="Arial" w:eastAsia="Arial" w:hAnsi="Arial"/>
          <w:sz w:val="22"/>
          <w:szCs w:val="22"/>
          <w:color w:val="auto"/>
        </w:rPr>
        <w:t>Condensed Combined Financial Statements as of September 30, 2014 and for the Nine Months Ended September 30, 2014 and 2013 (Unaudited)</w:t>
      </w:r>
    </w:p>
    <w:p>
      <w:pPr>
        <w:sectPr>
          <w:pgSz w:w="11900" w:h="16838" w:orient="portrait"/>
          <w:cols w:equalWidth="0" w:num="1">
            <w:col w:w="11420"/>
          </w:cols>
          <w:pgMar w:left="240" w:top="121" w:right="239" w:bottom="1440" w:gutter="0" w:footer="0" w:header="0"/>
        </w:sectPr>
      </w:pPr>
    </w:p>
    <w:bookmarkStart w:id="4" w:name="page5"/>
    <w:bookmarkEnd w:id="4"/>
    <w:p>
      <w:pPr>
        <w:ind w:right="5280"/>
        <w:spacing w:after="0" w:line="243"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Comcast Cable Systems to be Contributed to Midwest Cable, Inc. </w:t>
      </w:r>
      <w:r>
        <w:rPr>
          <w:rFonts w:ascii="Arial" w:cs="Arial" w:eastAsia="Arial" w:hAnsi="Arial"/>
          <w:sz w:val="22"/>
          <w:szCs w:val="22"/>
          <w:color w:val="auto"/>
        </w:rPr>
        <w:t>Index to Condensed Combined Financial Statements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980" w:type="dxa"/>
            <w:vAlign w:val="bottom"/>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6"/>
              </w:rPr>
              <w:t>Page</w:t>
            </w:r>
          </w:p>
        </w:tc>
      </w:tr>
      <w:tr>
        <w:trPr>
          <w:trHeight w:val="290"/>
        </w:trPr>
        <w:tc>
          <w:tcPr>
            <w:tcW w:w="10980" w:type="dxa"/>
            <w:vAlign w:val="bottom"/>
          </w:tcPr>
          <w:p>
            <w:pPr>
              <w:spacing w:after="0"/>
              <w:rPr>
                <w:sz w:val="20"/>
                <w:szCs w:val="20"/>
                <w:color w:val="auto"/>
              </w:rPr>
            </w:pPr>
            <w:r>
              <w:rPr>
                <w:rFonts w:ascii="Arial" w:cs="Arial" w:eastAsia="Arial" w:hAnsi="Arial"/>
                <w:sz w:val="18"/>
                <w:szCs w:val="18"/>
                <w:color w:val="auto"/>
              </w:rPr>
              <w:t>Condensed Combined Financial Statements:</w:t>
            </w:r>
          </w:p>
        </w:tc>
        <w:tc>
          <w:tcPr>
            <w:tcW w:w="340" w:type="dxa"/>
            <w:vAlign w:val="bottom"/>
          </w:tcPr>
          <w:p>
            <w:pPr>
              <w:spacing w:after="0"/>
              <w:rPr>
                <w:sz w:val="24"/>
                <w:szCs w:val="24"/>
                <w:color w:val="auto"/>
              </w:rPr>
            </w:pPr>
          </w:p>
        </w:tc>
      </w:tr>
      <w:tr>
        <w:trPr>
          <w:trHeight w:val="216"/>
        </w:trPr>
        <w:tc>
          <w:tcPr>
            <w:tcW w:w="10980" w:type="dxa"/>
            <w:vAlign w:val="bottom"/>
          </w:tcPr>
          <w:p>
            <w:pPr>
              <w:ind w:left="180"/>
              <w:spacing w:after="0"/>
              <w:rPr>
                <w:sz w:val="20"/>
                <w:szCs w:val="20"/>
                <w:color w:val="auto"/>
              </w:rPr>
            </w:pPr>
            <w:r>
              <w:rPr>
                <w:rFonts w:ascii="Arial" w:cs="Arial" w:eastAsia="Arial" w:hAnsi="Arial"/>
                <w:sz w:val="18"/>
                <w:szCs w:val="18"/>
                <w:color w:val="auto"/>
              </w:rPr>
              <w:t>Condensed Combined Balance Sheet</w:t>
            </w:r>
          </w:p>
        </w:tc>
        <w:tc>
          <w:tcPr>
            <w:tcW w:w="3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16"/>
        </w:trPr>
        <w:tc>
          <w:tcPr>
            <w:tcW w:w="10980" w:type="dxa"/>
            <w:vAlign w:val="bottom"/>
          </w:tcPr>
          <w:p>
            <w:pPr>
              <w:ind w:left="180"/>
              <w:spacing w:after="0"/>
              <w:rPr>
                <w:sz w:val="20"/>
                <w:szCs w:val="20"/>
                <w:color w:val="auto"/>
              </w:rPr>
            </w:pPr>
            <w:r>
              <w:rPr>
                <w:rFonts w:ascii="Arial" w:cs="Arial" w:eastAsia="Arial" w:hAnsi="Arial"/>
                <w:sz w:val="18"/>
                <w:szCs w:val="18"/>
                <w:color w:val="auto"/>
              </w:rPr>
              <w:t>Condensed Combined Statement of Income</w:t>
            </w:r>
          </w:p>
        </w:tc>
        <w:tc>
          <w:tcPr>
            <w:tcW w:w="3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980" w:type="dxa"/>
            <w:vAlign w:val="bottom"/>
          </w:tcPr>
          <w:p>
            <w:pPr>
              <w:ind w:left="180"/>
              <w:spacing w:after="0"/>
              <w:rPr>
                <w:sz w:val="20"/>
                <w:szCs w:val="20"/>
                <w:color w:val="auto"/>
              </w:rPr>
            </w:pPr>
            <w:r>
              <w:rPr>
                <w:rFonts w:ascii="Arial" w:cs="Arial" w:eastAsia="Arial" w:hAnsi="Arial"/>
                <w:sz w:val="18"/>
                <w:szCs w:val="18"/>
                <w:color w:val="auto"/>
              </w:rPr>
              <w:t>Condensed Combined Statement of Cash Flows</w:t>
            </w:r>
          </w:p>
        </w:tc>
        <w:tc>
          <w:tcPr>
            <w:tcW w:w="3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980" w:type="dxa"/>
            <w:vAlign w:val="bottom"/>
          </w:tcPr>
          <w:p>
            <w:pPr>
              <w:ind w:left="180"/>
              <w:spacing w:after="0"/>
              <w:rPr>
                <w:sz w:val="20"/>
                <w:szCs w:val="20"/>
                <w:color w:val="auto"/>
              </w:rPr>
            </w:pPr>
            <w:r>
              <w:rPr>
                <w:rFonts w:ascii="Arial" w:cs="Arial" w:eastAsia="Arial" w:hAnsi="Arial"/>
                <w:sz w:val="18"/>
                <w:szCs w:val="18"/>
                <w:color w:val="auto"/>
              </w:rPr>
              <w:t>Condensed Combined Statement of Changes in Parent Company Net Investment</w:t>
            </w:r>
          </w:p>
        </w:tc>
        <w:tc>
          <w:tcPr>
            <w:tcW w:w="3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30"/>
        </w:trPr>
        <w:tc>
          <w:tcPr>
            <w:tcW w:w="10980" w:type="dxa"/>
            <w:vAlign w:val="bottom"/>
          </w:tcPr>
          <w:p>
            <w:pPr>
              <w:ind w:left="180"/>
              <w:spacing w:after="0"/>
              <w:rPr>
                <w:sz w:val="20"/>
                <w:szCs w:val="20"/>
                <w:color w:val="auto"/>
              </w:rPr>
            </w:pPr>
            <w:r>
              <w:rPr>
                <w:rFonts w:ascii="Arial" w:cs="Arial" w:eastAsia="Arial" w:hAnsi="Arial"/>
                <w:sz w:val="18"/>
                <w:szCs w:val="18"/>
                <w:color w:val="auto"/>
              </w:rPr>
              <w:t>Notes to Condensed Combined Financial Statements</w:t>
            </w:r>
          </w:p>
        </w:tc>
        <w:tc>
          <w:tcPr>
            <w:tcW w:w="340" w:type="dxa"/>
            <w:vAlign w:val="bottom"/>
          </w:tcPr>
          <w:p>
            <w:pPr>
              <w:jc w:val="right"/>
              <w:spacing w:after="0"/>
              <w:rPr>
                <w:sz w:val="20"/>
                <w:szCs w:val="20"/>
                <w:color w:val="auto"/>
              </w:rPr>
            </w:pPr>
            <w:r>
              <w:rPr>
                <w:rFonts w:ascii="Arial" w:cs="Arial" w:eastAsia="Arial" w:hAnsi="Arial"/>
                <w:sz w:val="18"/>
                <w:szCs w:val="18"/>
                <w:color w:val="auto"/>
              </w:rPr>
              <w:t>F-5</w:t>
            </w:r>
          </w:p>
        </w:tc>
      </w:tr>
    </w:tbl>
    <w:p>
      <w:pPr>
        <w:sectPr>
          <w:pgSz w:w="11900" w:h="16838" w:orient="portrait"/>
          <w:cols w:equalWidth="0" w:num="1">
            <w:col w:w="11320"/>
          </w:cols>
          <w:pgMar w:left="240" w:top="261" w:right="339" w:bottom="1440" w:gutter="0" w:footer="0" w:header="0"/>
        </w:sectPr>
      </w:pPr>
    </w:p>
    <w:bookmarkStart w:id="5" w:name="page6"/>
    <w:bookmarkEnd w:id="5"/>
    <w:p>
      <w:pPr>
        <w:ind w:right="5380"/>
        <w:spacing w:after="0" w:line="243"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Comcast Cable Systems to be Contributed to Midwest Cable, Inc. </w:t>
      </w:r>
      <w:r>
        <w:rPr>
          <w:rFonts w:ascii="Arial" w:cs="Arial" w:eastAsia="Arial" w:hAnsi="Arial"/>
          <w:sz w:val="22"/>
          <w:szCs w:val="22"/>
          <w:color w:val="auto"/>
        </w:rPr>
        <w:t>Condensed Combined Balance Sheet (Unaudited)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4920" w:type="dxa"/>
            <w:vAlign w:val="bottom"/>
            <w:gridSpan w:val="2"/>
          </w:tcPr>
          <w:p>
            <w:pPr>
              <w:ind w:left="3720"/>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jc w:val="right"/>
              <w:ind w:right="31"/>
              <w:spacing w:after="0"/>
              <w:rPr>
                <w:sz w:val="20"/>
                <w:szCs w:val="20"/>
                <w:color w:val="auto"/>
              </w:rPr>
            </w:pPr>
            <w:r>
              <w:rPr>
                <w:rFonts w:ascii="Arial" w:cs="Arial" w:eastAsia="Arial" w:hAnsi="Arial"/>
                <w:sz w:val="14"/>
                <w:szCs w:val="14"/>
                <w:color w:val="auto"/>
              </w:rPr>
              <w:t>December 31,</w:t>
            </w:r>
          </w:p>
        </w:tc>
      </w:tr>
      <w:tr>
        <w:trPr>
          <w:trHeight w:val="171"/>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9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2013</w:t>
            </w: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Current Assets:</w:t>
            </w:r>
          </w:p>
        </w:tc>
        <w:tc>
          <w:tcPr>
            <w:tcW w:w="3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920" w:type="dxa"/>
            <w:vAlign w:val="bottom"/>
            <w:shd w:val="clear" w:color="auto" w:fill="CCEEFF"/>
          </w:tcPr>
          <w:p>
            <w:pPr>
              <w:ind w:left="37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3920" w:type="dxa"/>
            <w:vAlign w:val="bottom"/>
          </w:tcPr>
          <w:p>
            <w:pPr>
              <w:spacing w:after="0"/>
              <w:rPr>
                <w:sz w:val="18"/>
                <w:szCs w:val="18"/>
                <w:color w:val="auto"/>
              </w:rPr>
            </w:pPr>
          </w:p>
        </w:tc>
        <w:tc>
          <w:tcPr>
            <w:tcW w:w="1000" w:type="dxa"/>
            <w:vAlign w:val="bottom"/>
          </w:tcPr>
          <w:p>
            <w:pPr>
              <w:jc w:val="right"/>
              <w:ind w:right="231"/>
              <w:spacing w:after="0"/>
              <w:rPr>
                <w:sz w:val="20"/>
                <w:szCs w:val="20"/>
                <w:color w:val="auto"/>
              </w:rPr>
            </w:pPr>
            <w:r>
              <w:rPr>
                <w:rFonts w:ascii="Arial" w:cs="Arial" w:eastAsia="Arial" w:hAnsi="Arial"/>
                <w:sz w:val="18"/>
                <w:szCs w:val="18"/>
                <w:b w:val="1"/>
                <w:bCs w:val="1"/>
                <w:color w:val="auto"/>
              </w:rPr>
              <w:t>129</w:t>
            </w:r>
          </w:p>
        </w:tc>
        <w:tc>
          <w:tcPr>
            <w:tcW w:w="5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150</w:t>
            </w: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Programming receivables</w:t>
            </w:r>
          </w:p>
        </w:tc>
        <w:tc>
          <w:tcPr>
            <w:tcW w:w="3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11</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16"/>
        </w:trPr>
        <w:tc>
          <w:tcPr>
            <w:tcW w:w="52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current assets</w:t>
            </w:r>
          </w:p>
        </w:tc>
        <w:tc>
          <w:tcPr>
            <w:tcW w:w="39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14</w:t>
            </w: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154</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920" w:type="dxa"/>
            <w:vAlign w:val="bottom"/>
          </w:tcPr>
          <w:p>
            <w:pPr>
              <w:spacing w:after="0"/>
              <w:rPr>
                <w:sz w:val="18"/>
                <w:szCs w:val="18"/>
                <w:color w:val="auto"/>
              </w:rPr>
            </w:pPr>
          </w:p>
        </w:tc>
        <w:tc>
          <w:tcPr>
            <w:tcW w:w="1000" w:type="dxa"/>
            <w:vAlign w:val="bottom"/>
          </w:tcPr>
          <w:p>
            <w:pPr>
              <w:jc w:val="right"/>
              <w:ind w:right="231"/>
              <w:spacing w:after="0"/>
              <w:rPr>
                <w:sz w:val="20"/>
                <w:szCs w:val="20"/>
                <w:color w:val="auto"/>
              </w:rPr>
            </w:pPr>
            <w:r>
              <w:rPr>
                <w:rFonts w:ascii="Arial" w:cs="Arial" w:eastAsia="Arial" w:hAnsi="Arial"/>
                <w:sz w:val="18"/>
                <w:szCs w:val="18"/>
                <w:b w:val="1"/>
                <w:bCs w:val="1"/>
                <w:color w:val="auto"/>
              </w:rPr>
              <w:t>1,927</w:t>
            </w:r>
          </w:p>
        </w:tc>
        <w:tc>
          <w:tcPr>
            <w:tcW w:w="5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1,944</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Franchise rights</w:t>
            </w:r>
          </w:p>
        </w:tc>
        <w:tc>
          <w:tcPr>
            <w:tcW w:w="3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5,561</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5,561</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Goodwill</w:t>
            </w:r>
          </w:p>
        </w:tc>
        <w:tc>
          <w:tcPr>
            <w:tcW w:w="3920" w:type="dxa"/>
            <w:vAlign w:val="bottom"/>
          </w:tcPr>
          <w:p>
            <w:pPr>
              <w:spacing w:after="0"/>
              <w:rPr>
                <w:sz w:val="18"/>
                <w:szCs w:val="18"/>
                <w:color w:val="auto"/>
              </w:rPr>
            </w:pPr>
          </w:p>
        </w:tc>
        <w:tc>
          <w:tcPr>
            <w:tcW w:w="1000" w:type="dxa"/>
            <w:vAlign w:val="bottom"/>
          </w:tcPr>
          <w:p>
            <w:pPr>
              <w:jc w:val="right"/>
              <w:ind w:right="231"/>
              <w:spacing w:after="0"/>
              <w:rPr>
                <w:sz w:val="20"/>
                <w:szCs w:val="20"/>
                <w:color w:val="auto"/>
              </w:rPr>
            </w:pPr>
            <w:r>
              <w:rPr>
                <w:rFonts w:ascii="Arial" w:cs="Arial" w:eastAsia="Arial" w:hAnsi="Arial"/>
                <w:sz w:val="18"/>
                <w:szCs w:val="18"/>
                <w:b w:val="1"/>
                <w:bCs w:val="1"/>
                <w:color w:val="auto"/>
              </w:rPr>
              <w:t>1,241</w:t>
            </w:r>
          </w:p>
        </w:tc>
        <w:tc>
          <w:tcPr>
            <w:tcW w:w="5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1,241</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72</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16"/>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w:t>
            </w:r>
          </w:p>
        </w:tc>
        <w:tc>
          <w:tcPr>
            <w:tcW w:w="39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w:t>
            </w: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r>
      <w:tr>
        <w:trPr>
          <w:trHeight w:val="217"/>
        </w:trPr>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920" w:type="dxa"/>
            <w:vAlign w:val="bottom"/>
            <w:tcBorders>
              <w:bottom w:val="single" w:sz="8" w:color="auto"/>
            </w:tcBorders>
            <w:shd w:val="clear" w:color="auto" w:fill="CCEEFF"/>
          </w:tcPr>
          <w:p>
            <w:pPr>
              <w:ind w:left="37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8,957</w:t>
            </w: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8,999</w:t>
            </w: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color w:val="auto"/>
              </w:rPr>
              <w:t>Liabilities and Parent Company net investment</w:t>
            </w:r>
          </w:p>
        </w:tc>
        <w:tc>
          <w:tcPr>
            <w:tcW w:w="3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w w:val="95"/>
              </w:rPr>
              <w:t>Accounts payable and accrued expenses related to trade creditors</w:t>
            </w:r>
          </w:p>
        </w:tc>
        <w:tc>
          <w:tcPr>
            <w:tcW w:w="3920" w:type="dxa"/>
            <w:vAlign w:val="bottom"/>
          </w:tcPr>
          <w:p>
            <w:pPr>
              <w:ind w:left="37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231"/>
              <w:spacing w:after="0"/>
              <w:rPr>
                <w:sz w:val="20"/>
                <w:szCs w:val="20"/>
                <w:color w:val="auto"/>
              </w:rPr>
            </w:pPr>
            <w:r>
              <w:rPr>
                <w:rFonts w:ascii="Arial" w:cs="Arial" w:eastAsia="Arial" w:hAnsi="Arial"/>
                <w:sz w:val="18"/>
                <w:szCs w:val="18"/>
                <w:b w:val="1"/>
                <w:bCs w:val="1"/>
                <w:color w:val="auto"/>
              </w:rPr>
              <w:t>295</w:t>
            </w: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283</w:t>
            </w: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employee benefits</w:t>
            </w:r>
          </w:p>
        </w:tc>
        <w:tc>
          <w:tcPr>
            <w:tcW w:w="3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62</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Subscriber advance payments</w:t>
            </w:r>
          </w:p>
        </w:tc>
        <w:tc>
          <w:tcPr>
            <w:tcW w:w="3920" w:type="dxa"/>
            <w:vAlign w:val="bottom"/>
          </w:tcPr>
          <w:p>
            <w:pPr>
              <w:spacing w:after="0"/>
              <w:rPr>
                <w:sz w:val="18"/>
                <w:szCs w:val="18"/>
                <w:color w:val="auto"/>
              </w:rPr>
            </w:pPr>
          </w:p>
        </w:tc>
        <w:tc>
          <w:tcPr>
            <w:tcW w:w="1000" w:type="dxa"/>
            <w:vAlign w:val="bottom"/>
          </w:tcPr>
          <w:p>
            <w:pPr>
              <w:jc w:val="right"/>
              <w:ind w:right="231"/>
              <w:spacing w:after="0"/>
              <w:rPr>
                <w:sz w:val="20"/>
                <w:szCs w:val="20"/>
                <w:color w:val="auto"/>
              </w:rPr>
            </w:pPr>
            <w:r>
              <w:rPr>
                <w:rFonts w:ascii="Arial" w:cs="Arial" w:eastAsia="Arial" w:hAnsi="Arial"/>
                <w:sz w:val="18"/>
                <w:szCs w:val="18"/>
                <w:b w:val="1"/>
                <w:bCs w:val="1"/>
                <w:color w:val="auto"/>
              </w:rPr>
              <w:t>19</w:t>
            </w:r>
          </w:p>
        </w:tc>
        <w:tc>
          <w:tcPr>
            <w:tcW w:w="5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16"/>
        </w:trPr>
        <w:tc>
          <w:tcPr>
            <w:tcW w:w="52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9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65</w:t>
            </w:r>
          </w:p>
        </w:tc>
        <w:tc>
          <w:tcPr>
            <w:tcW w:w="5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920" w:type="dxa"/>
            <w:vAlign w:val="bottom"/>
          </w:tcPr>
          <w:p>
            <w:pPr>
              <w:spacing w:after="0"/>
              <w:rPr>
                <w:sz w:val="18"/>
                <w:szCs w:val="18"/>
                <w:color w:val="auto"/>
              </w:rPr>
            </w:pPr>
          </w:p>
        </w:tc>
        <w:tc>
          <w:tcPr>
            <w:tcW w:w="1000" w:type="dxa"/>
            <w:vAlign w:val="bottom"/>
          </w:tcPr>
          <w:p>
            <w:pPr>
              <w:jc w:val="right"/>
              <w:ind w:right="231"/>
              <w:spacing w:after="0"/>
              <w:rPr>
                <w:sz w:val="20"/>
                <w:szCs w:val="20"/>
                <w:color w:val="auto"/>
              </w:rPr>
            </w:pPr>
            <w:r>
              <w:rPr>
                <w:rFonts w:ascii="Arial" w:cs="Arial" w:eastAsia="Arial" w:hAnsi="Arial"/>
                <w:sz w:val="18"/>
                <w:szCs w:val="18"/>
                <w:b w:val="1"/>
                <w:bCs w:val="1"/>
                <w:color w:val="auto"/>
              </w:rPr>
              <w:t>441</w:t>
            </w:r>
          </w:p>
        </w:tc>
        <w:tc>
          <w:tcPr>
            <w:tcW w:w="5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379</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2,838</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920" w:type="dxa"/>
            <w:vAlign w:val="bottom"/>
          </w:tcPr>
          <w:p>
            <w:pPr>
              <w:spacing w:after="0"/>
              <w:rPr>
                <w:sz w:val="18"/>
                <w:szCs w:val="18"/>
                <w:color w:val="auto"/>
              </w:rPr>
            </w:pPr>
          </w:p>
        </w:tc>
        <w:tc>
          <w:tcPr>
            <w:tcW w:w="1000" w:type="dxa"/>
            <w:vAlign w:val="bottom"/>
          </w:tcPr>
          <w:p>
            <w:pPr>
              <w:jc w:val="right"/>
              <w:ind w:right="231"/>
              <w:spacing w:after="0"/>
              <w:rPr>
                <w:sz w:val="20"/>
                <w:szCs w:val="20"/>
                <w:color w:val="auto"/>
              </w:rPr>
            </w:pPr>
            <w:r>
              <w:rPr>
                <w:rFonts w:ascii="Arial" w:cs="Arial" w:eastAsia="Arial" w:hAnsi="Arial"/>
                <w:sz w:val="18"/>
                <w:szCs w:val="18"/>
                <w:b w:val="1"/>
                <w:bCs w:val="1"/>
                <w:color w:val="auto"/>
              </w:rPr>
              <w:t>52</w:t>
            </w:r>
          </w:p>
        </w:tc>
        <w:tc>
          <w:tcPr>
            <w:tcW w:w="5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4)</w:t>
            </w:r>
          </w:p>
        </w:tc>
        <w:tc>
          <w:tcPr>
            <w:tcW w:w="3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Parent Company net investment</w:t>
            </w:r>
          </w:p>
        </w:tc>
        <w:tc>
          <w:tcPr>
            <w:tcW w:w="39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5,626</w:t>
            </w: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5,724</w:t>
            </w:r>
          </w:p>
        </w:tc>
      </w:tr>
      <w:tr>
        <w:trPr>
          <w:trHeight w:val="217"/>
        </w:trPr>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Parent Company net investment</w:t>
            </w:r>
          </w:p>
        </w:tc>
        <w:tc>
          <w:tcPr>
            <w:tcW w:w="3920" w:type="dxa"/>
            <w:vAlign w:val="bottom"/>
            <w:tcBorders>
              <w:bottom w:val="single" w:sz="8" w:color="auto"/>
            </w:tcBorders>
            <w:shd w:val="clear" w:color="auto" w:fill="CCEEFF"/>
          </w:tcPr>
          <w:p>
            <w:pPr>
              <w:ind w:left="37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8,957</w:t>
            </w: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8,999</w:t>
            </w:r>
          </w:p>
        </w:tc>
      </w:tr>
      <w:tr>
        <w:trPr>
          <w:trHeight w:val="182"/>
        </w:trPr>
        <w:tc>
          <w:tcPr>
            <w:tcW w:w="5240" w:type="dxa"/>
            <w:vAlign w:val="bottom"/>
          </w:tcPr>
          <w:p>
            <w:pPr>
              <w:spacing w:after="0"/>
              <w:rPr>
                <w:sz w:val="20"/>
                <w:szCs w:val="20"/>
                <w:color w:val="auto"/>
              </w:rPr>
            </w:pPr>
            <w:r>
              <w:rPr>
                <w:rFonts w:ascii="Arial" w:cs="Arial" w:eastAsia="Arial" w:hAnsi="Arial"/>
                <w:sz w:val="14"/>
                <w:szCs w:val="14"/>
                <w:color w:val="auto"/>
              </w:rPr>
              <w:t>See accompanying notes to condensed combined financial statements.</w:t>
            </w:r>
          </w:p>
        </w:tc>
        <w:tc>
          <w:tcPr>
            <w:tcW w:w="3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31"/>
        </w:trPr>
        <w:tc>
          <w:tcPr>
            <w:tcW w:w="5240" w:type="dxa"/>
            <w:vAlign w:val="bottom"/>
          </w:tcPr>
          <w:p>
            <w:pPr>
              <w:spacing w:after="0"/>
              <w:rPr>
                <w:sz w:val="24"/>
                <w:szCs w:val="24"/>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F-1</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261" w:right="239" w:bottom="1440" w:gutter="0" w:footer="0" w:header="0"/>
        </w:sectPr>
      </w:pPr>
    </w:p>
    <w:bookmarkStart w:id="6" w:name="page7"/>
    <w:bookmarkEnd w:id="6"/>
    <w:p>
      <w:pPr>
        <w:ind w:right="5380"/>
        <w:spacing w:after="0" w:line="243"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Comcast Cable Systems to be Contributed to Midwest Cable, Inc. </w:t>
      </w:r>
      <w:r>
        <w:rPr>
          <w:rFonts w:ascii="Arial" w:cs="Arial" w:eastAsia="Arial" w:hAnsi="Arial"/>
          <w:sz w:val="22"/>
          <w:szCs w:val="22"/>
          <w:color w:val="auto"/>
        </w:rPr>
        <w:t>Condensed Combined Statement of Income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Nine months ended September 30 (in millions)</w:t>
            </w:r>
          </w:p>
        </w:tc>
        <w:tc>
          <w:tcPr>
            <w:tcW w:w="49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2013</w:t>
            </w: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3,459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Costs and Expenses:</w:t>
            </w:r>
          </w:p>
        </w:tc>
        <w:tc>
          <w:tcPr>
            <w:tcW w:w="4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Programming</w:t>
            </w:r>
          </w:p>
        </w:tc>
        <w:tc>
          <w:tcPr>
            <w:tcW w:w="49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774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728</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4940" w:type="dxa"/>
            <w:vAlign w:val="bottom"/>
          </w:tcPr>
          <w:p>
            <w:pPr>
              <w:spacing w:after="0"/>
              <w:rPr>
                <w:sz w:val="18"/>
                <w:szCs w:val="18"/>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b w:val="1"/>
                <w:bCs w:val="1"/>
                <w:color w:val="auto"/>
              </w:rPr>
              <w:t>1,132</w:t>
            </w:r>
          </w:p>
        </w:tc>
        <w:tc>
          <w:tcPr>
            <w:tcW w:w="2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1,073</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marketing and promotion</w:t>
            </w:r>
          </w:p>
        </w:tc>
        <w:tc>
          <w:tcPr>
            <w:tcW w:w="49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261</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Share asset usage charge</w:t>
            </w:r>
          </w:p>
        </w:tc>
        <w:tc>
          <w:tcPr>
            <w:tcW w:w="4940" w:type="dxa"/>
            <w:vAlign w:val="bottom"/>
          </w:tcPr>
          <w:p>
            <w:pPr>
              <w:spacing w:after="0"/>
              <w:rPr>
                <w:sz w:val="18"/>
                <w:szCs w:val="18"/>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b w:val="1"/>
                <w:bCs w:val="1"/>
                <w:color w:val="auto"/>
              </w:rPr>
              <w:t>92</w:t>
            </w:r>
          </w:p>
        </w:tc>
        <w:tc>
          <w:tcPr>
            <w:tcW w:w="2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49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384</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r>
      <w:tr>
        <w:trPr>
          <w:trHeight w:val="216"/>
        </w:trPr>
        <w:tc>
          <w:tcPr>
            <w:tcW w:w="4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Amortization</w:t>
            </w:r>
          </w:p>
        </w:tc>
        <w:tc>
          <w:tcPr>
            <w:tcW w:w="4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14</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r>
      <w:tr>
        <w:trPr>
          <w:trHeight w:val="210"/>
        </w:trPr>
        <w:tc>
          <w:tcPr>
            <w:tcW w:w="4820" w:type="dxa"/>
            <w:vAlign w:val="bottom"/>
            <w:tcBorders>
              <w:bottom w:val="single" w:sz="8" w:color="auto"/>
            </w:tcBorders>
            <w:shd w:val="clear" w:color="auto" w:fill="CCEEFF"/>
          </w:tcPr>
          <w:p>
            <w:pPr>
              <w:spacing w:after="0"/>
              <w:rPr>
                <w:sz w:val="18"/>
                <w:szCs w:val="18"/>
                <w:color w:val="auto"/>
              </w:rPr>
            </w:pPr>
          </w:p>
        </w:tc>
        <w:tc>
          <w:tcPr>
            <w:tcW w:w="49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2,657</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2,554</w:t>
            </w:r>
          </w:p>
        </w:tc>
      </w:tr>
      <w:tr>
        <w:trPr>
          <w:trHeight w:val="210"/>
        </w:trPr>
        <w:tc>
          <w:tcPr>
            <w:tcW w:w="48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940" w:type="dxa"/>
            <w:vAlign w:val="bottom"/>
          </w:tcPr>
          <w:p>
            <w:pPr>
              <w:spacing w:after="0"/>
              <w:rPr>
                <w:sz w:val="18"/>
                <w:szCs w:val="18"/>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b w:val="1"/>
                <w:bCs w:val="1"/>
                <w:color w:val="auto"/>
              </w:rPr>
              <w:t>802</w:t>
            </w:r>
          </w:p>
        </w:tc>
        <w:tc>
          <w:tcPr>
            <w:tcW w:w="2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790</w:t>
            </w:r>
          </w:p>
        </w:tc>
      </w:tr>
      <w:tr>
        <w:trPr>
          <w:trHeight w:val="216"/>
        </w:trPr>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9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940" w:type="dxa"/>
            <w:vAlign w:val="bottom"/>
          </w:tcPr>
          <w:p>
            <w:pPr>
              <w:spacing w:after="0"/>
              <w:rPr>
                <w:sz w:val="18"/>
                <w:szCs w:val="18"/>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b w:val="1"/>
                <w:bCs w:val="1"/>
                <w:color w:val="auto"/>
              </w:rPr>
              <w:t>796</w:t>
            </w:r>
          </w:p>
        </w:tc>
        <w:tc>
          <w:tcPr>
            <w:tcW w:w="2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790</w:t>
            </w:r>
          </w:p>
        </w:tc>
      </w:tr>
      <w:tr>
        <w:trPr>
          <w:trHeight w:val="216"/>
        </w:trPr>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9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(312)</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r>
      <w:tr>
        <w:trPr>
          <w:trHeight w:val="217"/>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4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484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480</w:t>
            </w:r>
          </w:p>
        </w:tc>
      </w:tr>
      <w:tr>
        <w:trPr>
          <w:trHeight w:val="182"/>
        </w:trPr>
        <w:tc>
          <w:tcPr>
            <w:tcW w:w="4820" w:type="dxa"/>
            <w:vAlign w:val="bottom"/>
          </w:tcPr>
          <w:p>
            <w:pPr>
              <w:spacing w:after="0"/>
              <w:rPr>
                <w:sz w:val="20"/>
                <w:szCs w:val="20"/>
                <w:color w:val="auto"/>
              </w:rPr>
            </w:pPr>
            <w:r>
              <w:rPr>
                <w:rFonts w:ascii="Arial" w:cs="Arial" w:eastAsia="Arial" w:hAnsi="Arial"/>
                <w:sz w:val="14"/>
                <w:szCs w:val="14"/>
                <w:color w:val="auto"/>
              </w:rPr>
              <w:t>See accompanying notes to condensed combined financial statements.</w:t>
            </w:r>
          </w:p>
        </w:tc>
        <w:tc>
          <w:tcPr>
            <w:tcW w:w="4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31"/>
        </w:trPr>
        <w:tc>
          <w:tcPr>
            <w:tcW w:w="4820" w:type="dxa"/>
            <w:vAlign w:val="bottom"/>
          </w:tcPr>
          <w:p>
            <w:pPr>
              <w:spacing w:after="0"/>
              <w:rPr>
                <w:sz w:val="24"/>
                <w:szCs w:val="24"/>
                <w:color w:val="auto"/>
              </w:rPr>
            </w:pPr>
          </w:p>
        </w:tc>
        <w:tc>
          <w:tcPr>
            <w:tcW w:w="4940" w:type="dxa"/>
            <w:vAlign w:val="bottom"/>
          </w:tcPr>
          <w:p>
            <w:pPr>
              <w:jc w:val="right"/>
              <w:ind w:right="3830"/>
              <w:spacing w:after="0"/>
              <w:rPr>
                <w:sz w:val="20"/>
                <w:szCs w:val="20"/>
                <w:color w:val="auto"/>
              </w:rPr>
            </w:pPr>
            <w:r>
              <w:rPr>
                <w:rFonts w:ascii="Arial" w:cs="Arial" w:eastAsia="Arial" w:hAnsi="Arial"/>
                <w:sz w:val="18"/>
                <w:szCs w:val="18"/>
                <w:color w:val="auto"/>
              </w:rPr>
              <w:t>F-2</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261" w:right="239" w:bottom="1440" w:gutter="0" w:footer="0" w:header="0"/>
        </w:sectPr>
      </w:pPr>
    </w:p>
    <w:bookmarkStart w:id="7" w:name="page8"/>
    <w:bookmarkEnd w:id="7"/>
    <w:p>
      <w:pPr>
        <w:ind w:right="5380"/>
        <w:spacing w:after="0" w:line="243"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Comcast Cable Systems to be Contributed to Midwest Cable, Inc. </w:t>
      </w:r>
      <w:r>
        <w:rPr>
          <w:rFonts w:ascii="Arial" w:cs="Arial" w:eastAsia="Arial" w:hAnsi="Arial"/>
          <w:sz w:val="22"/>
          <w:szCs w:val="22"/>
          <w:color w:val="auto"/>
        </w:rPr>
        <w:t>Condensed Combined Statement of Cash Flows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Nine months ended September 30 (in millions)</w:t>
            </w:r>
          </w:p>
        </w:tc>
        <w:tc>
          <w:tcPr>
            <w:tcW w:w="20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2013</w:t>
            </w: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income</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1"/>
              <w:spacing w:after="0"/>
              <w:rPr>
                <w:sz w:val="20"/>
                <w:szCs w:val="20"/>
                <w:color w:val="auto"/>
              </w:rPr>
            </w:pPr>
            <w:r>
              <w:rPr>
                <w:rFonts w:ascii="Arial" w:cs="Arial" w:eastAsia="Arial" w:hAnsi="Arial"/>
                <w:sz w:val="18"/>
                <w:szCs w:val="18"/>
                <w:b w:val="1"/>
                <w:bCs w:val="1"/>
                <w:color w:val="auto"/>
              </w:rPr>
              <w:t>484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480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2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b w:val="1"/>
                <w:bCs w:val="1"/>
                <w:color w:val="auto"/>
              </w:rPr>
              <w:t>398</w:t>
            </w:r>
          </w:p>
        </w:tc>
        <w:tc>
          <w:tcPr>
            <w:tcW w:w="32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408</w:t>
            </w: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Shared asset usage charge</w:t>
            </w: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92</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02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b w:val="1"/>
                <w:bCs w:val="1"/>
                <w:color w:val="auto"/>
              </w:rPr>
              <w:t>4</w:t>
            </w:r>
          </w:p>
        </w:tc>
        <w:tc>
          <w:tcPr>
            <w:tcW w:w="32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receivables, net</w:t>
            </w: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21</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202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16"/>
        </w:trPr>
        <w:tc>
          <w:tcPr>
            <w:tcW w:w="7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Change in other operating assets and liabilities</w:t>
            </w:r>
          </w:p>
        </w:tc>
        <w:tc>
          <w:tcPr>
            <w:tcW w:w="20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47</w:t>
            </w: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10"/>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1,040</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987</w:t>
            </w: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02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b w:val="1"/>
                <w:bCs w:val="1"/>
                <w:color w:val="auto"/>
              </w:rPr>
              <w:t>(338)</w:t>
            </w:r>
          </w:p>
        </w:tc>
        <w:tc>
          <w:tcPr>
            <w:tcW w:w="32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(330)</w:t>
            </w:r>
          </w:p>
        </w:tc>
      </w:tr>
      <w:tr>
        <w:trPr>
          <w:trHeight w:val="216"/>
        </w:trPr>
        <w:tc>
          <w:tcPr>
            <w:tcW w:w="7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Cash paid for intangible assets</w:t>
            </w:r>
          </w:p>
        </w:tc>
        <w:tc>
          <w:tcPr>
            <w:tcW w:w="20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w:t>
            </w: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10"/>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(348)</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(340)</w:t>
            </w: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7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Change in Parent Company net investment</w:t>
            </w:r>
          </w:p>
        </w:tc>
        <w:tc>
          <w:tcPr>
            <w:tcW w:w="20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(692)</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(647)</w:t>
            </w:r>
          </w:p>
        </w:tc>
      </w:tr>
      <w:tr>
        <w:trPr>
          <w:trHeight w:val="210"/>
        </w:trPr>
        <w:tc>
          <w:tcPr>
            <w:tcW w:w="7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0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(692)</w:t>
            </w: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(647)</w:t>
            </w: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02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7"/>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182"/>
        </w:trPr>
        <w:tc>
          <w:tcPr>
            <w:tcW w:w="7700" w:type="dxa"/>
            <w:vAlign w:val="bottom"/>
          </w:tcPr>
          <w:p>
            <w:pPr>
              <w:spacing w:after="0"/>
              <w:rPr>
                <w:sz w:val="20"/>
                <w:szCs w:val="20"/>
                <w:color w:val="auto"/>
              </w:rPr>
            </w:pPr>
            <w:r>
              <w:rPr>
                <w:rFonts w:ascii="Arial" w:cs="Arial" w:eastAsia="Arial" w:hAnsi="Arial"/>
                <w:sz w:val="14"/>
                <w:szCs w:val="14"/>
                <w:color w:val="auto"/>
              </w:rPr>
              <w:t>See accompanying notes to condensed combined financial statements.</w:t>
            </w:r>
          </w:p>
        </w:tc>
        <w:tc>
          <w:tcPr>
            <w:tcW w:w="2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31"/>
        </w:trPr>
        <w:tc>
          <w:tcPr>
            <w:tcW w:w="7700" w:type="dxa"/>
            <w:vAlign w:val="bottom"/>
          </w:tcPr>
          <w:p>
            <w:pPr>
              <w:ind w:left="5580"/>
              <w:spacing w:after="0"/>
              <w:rPr>
                <w:sz w:val="20"/>
                <w:szCs w:val="20"/>
                <w:color w:val="auto"/>
              </w:rPr>
            </w:pPr>
            <w:r>
              <w:rPr>
                <w:rFonts w:ascii="Arial" w:cs="Arial" w:eastAsia="Arial" w:hAnsi="Arial"/>
                <w:sz w:val="18"/>
                <w:szCs w:val="18"/>
                <w:color w:val="auto"/>
              </w:rPr>
              <w:t>F-3</w:t>
            </w:r>
          </w:p>
        </w:tc>
        <w:tc>
          <w:tcPr>
            <w:tcW w:w="2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261" w:right="239" w:bottom="1440" w:gutter="0" w:footer="0" w:header="0"/>
        </w:sectPr>
      </w:pPr>
    </w:p>
    <w:bookmarkStart w:id="8" w:name="page9"/>
    <w:bookmarkEnd w:id="8"/>
    <w:p>
      <w:pPr>
        <w:ind w:right="2760"/>
        <w:spacing w:after="0" w:line="243"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Comcast Cable Systems to be Contributed to Midwest Cable, Inc. </w:t>
      </w:r>
      <w:r>
        <w:rPr>
          <w:rFonts w:ascii="Arial" w:cs="Arial" w:eastAsia="Arial" w:hAnsi="Arial"/>
          <w:sz w:val="22"/>
          <w:szCs w:val="22"/>
          <w:color w:val="auto"/>
        </w:rPr>
        <w:t>Condensed Combined Statement of Changes in Parent Company Net Investment (Unaudited)</w:t>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Balance, January 1, 2013</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Parent Company,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Balance,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Balance, January 1,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Parent Company,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Balance,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combined financial statements.</w:t>
      </w:r>
    </w:p>
    <w:p>
      <w:pPr>
        <w:spacing w:after="0" w:line="1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2"/>
          <w:szCs w:val="12"/>
          <w:color w:val="auto"/>
        </w:rPr>
        <w:t>Parent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Investment</w:t>
      </w:r>
    </w:p>
    <w:p>
      <w:pPr>
        <w:spacing w:after="0" w:line="21"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$5,753</w:t>
      </w:r>
    </w:p>
    <w:p>
      <w:pPr>
        <w:spacing w:after="0" w:line="8"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(530)</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480</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$5,703</w:t>
      </w:r>
    </w:p>
    <w:p>
      <w:pPr>
        <w:spacing w:after="0" w:line="35"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$5,724</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(582)</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484</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$5,626</w:t>
      </w:r>
    </w:p>
    <w:p>
      <w:pPr>
        <w:sectPr>
          <w:pgSz w:w="11900" w:h="16838" w:orient="portrait"/>
          <w:cols w:equalWidth="0" w:num="2">
            <w:col w:w="9740" w:space="720"/>
            <w:col w:w="960"/>
          </w:cols>
          <w:pgMar w:left="240" w:top="261" w:right="239" w:bottom="1440" w:gutter="0" w:footer="0" w:header="0"/>
        </w:sectPr>
      </w:pPr>
    </w:p>
    <w:bookmarkStart w:id="9" w:name="page10"/>
    <w:bookmarkEnd w:id="9"/>
    <w:p>
      <w:pPr>
        <w:ind w:right="5380"/>
        <w:spacing w:after="0" w:line="243"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Comcast Cable Systems to be Contributed to Midwest Cable, Inc. </w:t>
      </w:r>
      <w:r>
        <w:rPr>
          <w:rFonts w:ascii="Arial" w:cs="Arial" w:eastAsia="Arial" w:hAnsi="Arial"/>
          <w:sz w:val="22"/>
          <w:szCs w:val="22"/>
          <w:color w:val="auto"/>
        </w:rPr>
        <w:t>Notes to Condensed Combined Financial Statements (Unaudited)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April 25, 2014, Comcast Corporation (“Comcast”) entered into a transactions agreement with Charter Communications, Inc. (“Charter”) to satisfy its undertaking in the merger agreement with Time Warner Cable Inc. (“TWC”) with respect to the divestiture of subscribers. Among other things, the transactions agreement contemplates a spin-off of cable systems serving approximately 2.5 million existing Comcast video subscribers into Midwest Cable, Inc., a newly formed entity and currently a wholly-owned subsidiary of Comcast (“Midwest Cable,” “SpinCo,” “we,” “us,” “our”). Midwest Cable, LLC was formed in the state of Delaware as a limited liability company in May 2014 and converted to Midwest Cable, Inc., a Delaware corporation, in September 2014.</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Following the closing date of the Comcast/TWC merger, Comcast will distribute all of the shares of our common stock on a pro rata basis to holders of Comcast Class A common stock, Class A Special common stock and Class B common stock (“Comcast common stock”) as of the record date (the “spin-off”). Immediately prior to the spin-off, Comcast will contribute to us systems currently owned by Comcast serving approximately 2.5 million video subscribers in the Midwestern and Southeastern United States (the “SpinCo systems”), together with the related subscribers, the assets and liabilities primarily related to the SpinCo systems and certain other assets and liabilities, including certain bank debt and/or term loans, a portion of the proceeds of which will have been distributed to Comcast prior to such contribution. In connection with such contribution and prior to the spin-off, we will issue notes and stock to Comcast. The consummation of the spin-off is subject to a number of closing conditions, including, among others, completion of the Comcast/TWC merger, the receipt of certain regulatory approvals, approval by Charter’s stockholders in connection with the SpinCo merger (as described below) and certain conditions relating to the financing for the spin-off.</w:t>
      </w:r>
    </w:p>
    <w:p>
      <w:pPr>
        <w:spacing w:after="0" w:line="18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Following the spin-off, Charter will reorganize such that a new publicly-traded entity, New Charter, will become the parent of Charter. Another newly formed, wholly-owned subsidiary of New Charter will merge with and into us, with us being the surviving entity (the “SpinCo merger”). Upon consummation of the SpinCo merger, we expect to change our legal name to GreatLand Connections Inc. It is intended that the spin-off, together with the related transactions described in the preceding paragraph, will qualify as a tax-free reorganization and a tax-free distribution and that the SpinCo merger will qualify as a tax-free transaction. Following consummation of the SpinCo merger, holders of Comcast common stock (as of the record date) will own approximately 67% of our common stock, New Charter will own the remaining approximately 33% and Comcast will have no remaining interest in us.</w:t>
      </w:r>
    </w:p>
    <w:p>
      <w:pPr>
        <w:spacing w:after="0" w:line="16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offer a variety of video, high-speed Internet and voice services (“cable services”) over our geographically-aligned cable distribution system to residential and commercial customers located in the Midwestern and Southeastern United States. As of September 30, 2014, we served 2.5 million video customers, 2.3 million high-speed Internet customers and 1.1 million voice customers.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currently part of Comcast’s Cable Communications (“Comcast Cable”) reportable segment, and our assets and liabilities consist of those that Comcast considers to be primarily related to the cable systems that comprise our operations. Comcast may also transfer certain other assets or liabilities in connection with the closing of the transactions that are not primarily related to our operations, which are not reflected in our condensed combined balance sheet. Our operations are conducted by various indirect subsidiaries of Comcast. The accompanying condensed combined financial statements have been derived from Comcast’s historical accounting records.</w:t>
      </w:r>
    </w:p>
    <w:p>
      <w:pPr>
        <w:spacing w:after="0" w:line="188"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condensed combined statement of income includes all revenue and expenses directly attributable to our business. Expenses include costs for facilities, functions and services that we use at shared sites and costs for certain functions and services performed by centralized Comcast operations and directly charged to us based on usage. The condensed combined statement of income also includes allocations of costs for administrative functions and services performed on our behalf by other centralized functions within Comcast. These costs were primarily allocated based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261" w:right="239" w:bottom="1440" w:gutter="0" w:footer="0" w:header="0"/>
        </w:sectPr>
      </w:pPr>
    </w:p>
    <w:bookmarkStart w:id="10" w:name="page11"/>
    <w:bookmarkEnd w:id="1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relative proportion of our video customer relationships to total Comcast Cable video customer relationships. All of the allocations and estimates reflected in the condensed combined financial statements are based on assumptions that management believes are reasonable. However, these allocations and estimates are not necessarily indicative of the costs and expenses that would have resulted if we had been operated as a separate entity. Following the spin-off, we will incur costs to replace Comcast support and to allow us to function as an independent, publicly-traded company. In particular, we will be required to obtain new programming arrangements, primarily through Charter, as well as through some direct relationships with programmers. See Note 3 for additional information on our allocations. For the nine months ended September 30, 2014 and 2013, 2.9% and 3.2% of our revenue was derived from franchise and other regulatory fees, respectively.</w:t>
      </w:r>
    </w:p>
    <w:p>
      <w:pPr>
        <w:spacing w:after="0" w:line="18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present our operations in one reportable business segment as management has historically evaluated our performance and allocated resources on a combined basis as a part of Comcast Cable.</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have prepared the condensed combined financial statements based on Securities and Exchange Commission rules that permit reduced disclosure for interim periods. These financial statements include all adjustments that are necessary for a fair presentation of the combined results of operations, financial condition and cash flows for the periods shown, including normal, recurring accruals and other items. The combined results of operations for the interim periods presented are not necessarily indicative of results for the full year.</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year-end condensed combined balance sheet was derived from audited financial statements but does not include all disclosures required by generally accepted accounting principles in the United States of America.</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May 2014, the Financial Accounting Standards Board and the International Accounting Standards Board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entities have to refer. The updated accounting guidance will be effective for us on January 1, 2017, and early adoption is not permitted. The updated accounting guidance allows for either a full retrospective adoption or modified retrospective adoption. We are currently in the process of determining the impact that the updated accounting guidance will have on the combined financial statements and our method of adoption.</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Asset Usage Charge</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share certain operating and administrative sites with Comcast, such as its national backbone. These shared assets are not included in the condensed combined balance sheet; however, the shared asset usage charge represents the depreciation of these sites that has been allocated to us based on our relative usage of the respective facilities.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Services and Other Allocated Costs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condensed combined financial statements include transactions involving shared services (including expenses primarily related to personnel, logistics, advertising and marketing, other overhead functions, IT support, and network communications support) and certain corporate administrative services (including charges for services such as accounting matters, investor relations, tax, treasury and cash management, insurance, legal, and risk management) that were provided to us by Comcast. These allocated costs are included in other operating and administrative expenses and advertising, marketing and promotion costs in the condensed combined statement of income, and are presented in the condensed combined balance sheet as a reduction in Parent Company net investment. These costs were primarily allocated based on the relative proportion of our video customer relationships to total Comcast Cable video customer relationships and represent management’s reasonable estimate of the costs incurred. However, these amounts are not necessarily representative of the costs required for us to operate as an independent, publicly-traded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274" w:right="239" w:bottom="1440" w:gutter="0" w:footer="0" w:header="0"/>
        </w:sectPr>
      </w:pPr>
    </w:p>
    <w:bookmarkStart w:id="11" w:name="page12"/>
    <w:bookmarkEnd w:id="11"/>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recorded in other operating and administrative expenses for these services during the nine months ended September 30, 2014 and 2013 were $165 million and $128 million, respectively. This includes $25 million of transaction-related costs for the nine months ended September 30, 2014. Amounts recorded in advertising, marketing and promotion costs for these services during the nine months ended September 30, 2014 and 2013 were $83 million and $73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NBCUniversal and Other Affiliates</w:t>
      </w:r>
    </w:p>
    <w:p>
      <w:pPr>
        <w:spacing w:after="0" w:line="121"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We enter into transactions in the ordinary course of our operations, including purchases of programming and purchases and sales of advertising, with NBCUniversal Media, LLC (“NBCUniversal”), a consolidated subsidiary of Comcast, and other affiliates of Comcast. The following tables present transactions with NBCUniversal and its consolidated subsidiaries and other affiliates of Comcast that are included in the condensed combined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Condensed Combined Balance Sheet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6760" w:type="dxa"/>
            <w:vAlign w:val="bottom"/>
            <w:tcBorders>
              <w:top w:val="single" w:sz="8" w:color="auto"/>
            </w:tcBorders>
          </w:tcPr>
          <w:p>
            <w:pPr>
              <w:spacing w:after="0"/>
              <w:rPr>
                <w:sz w:val="10"/>
                <w:szCs w:val="10"/>
                <w:color w:val="auto"/>
              </w:rPr>
            </w:pPr>
          </w:p>
        </w:tc>
        <w:tc>
          <w:tcPr>
            <w:tcW w:w="29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1720" w:type="dxa"/>
            <w:vAlign w:val="bottom"/>
            <w:tcBorders>
              <w:top w:val="single" w:sz="8" w:color="auto"/>
            </w:tcBorders>
            <w:gridSpan w:val="3"/>
          </w:tcPr>
          <w:p>
            <w:pPr>
              <w:ind w:left="820"/>
              <w:spacing w:after="0" w:line="119" w:lineRule="exact"/>
              <w:rPr>
                <w:sz w:val="20"/>
                <w:szCs w:val="20"/>
                <w:color w:val="auto"/>
              </w:rPr>
            </w:pPr>
            <w:r>
              <w:rPr>
                <w:rFonts w:ascii="Arial" w:cs="Arial" w:eastAsia="Arial" w:hAnsi="Arial"/>
                <w:sz w:val="13"/>
                <w:szCs w:val="13"/>
                <w:color w:val="auto"/>
              </w:rPr>
              <w:t>December 31,</w:t>
            </w:r>
          </w:p>
        </w:tc>
      </w:tr>
      <w:tr>
        <w:trPr>
          <w:trHeight w:val="171"/>
        </w:trPr>
        <w:tc>
          <w:tcPr>
            <w:tcW w:w="6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9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2013</w:t>
            </w: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26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9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r>
      <w:tr>
        <w:trPr>
          <w:trHeight w:val="216"/>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Accounts payable and accrued expenses related to trade creditors</w:t>
            </w:r>
          </w:p>
        </w:tc>
        <w:tc>
          <w:tcPr>
            <w:tcW w:w="2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w:t>
            </w:r>
          </w:p>
        </w:tc>
      </w:tr>
      <w:tr>
        <w:trPr>
          <w:trHeight w:val="534"/>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Condensed Combined Statement of Income</w:t>
            </w:r>
          </w:p>
        </w:tc>
        <w:tc>
          <w:tcPr>
            <w:tcW w:w="2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142"/>
        </w:trPr>
        <w:tc>
          <w:tcPr>
            <w:tcW w:w="6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Nine months ended September 30 (in millions)</w:t>
            </w:r>
          </w:p>
        </w:tc>
        <w:tc>
          <w:tcPr>
            <w:tcW w:w="2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w w:val="96"/>
              </w:rPr>
              <w:t>2013</w:t>
            </w: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6"/>
              <w:spacing w:after="0"/>
              <w:rPr>
                <w:sz w:val="20"/>
                <w:szCs w:val="20"/>
                <w:color w:val="auto"/>
              </w:rPr>
            </w:pPr>
            <w:r>
              <w:rPr>
                <w:rFonts w:ascii="Arial" w:cs="Arial" w:eastAsia="Arial" w:hAnsi="Arial"/>
                <w:sz w:val="18"/>
                <w:szCs w:val="18"/>
                <w:b w:val="1"/>
                <w:bCs w:val="1"/>
                <w:color w:val="auto"/>
              </w:rPr>
              <w:t>$  57</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Costs and Expenses:</w:t>
            </w:r>
          </w:p>
        </w:tc>
        <w:tc>
          <w:tcPr>
            <w:tcW w:w="2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Programming</w:t>
            </w:r>
          </w:p>
        </w:tc>
        <w:tc>
          <w:tcPr>
            <w:tcW w:w="2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6"/>
              <w:spacing w:after="0"/>
              <w:rPr>
                <w:sz w:val="20"/>
                <w:szCs w:val="20"/>
                <w:color w:val="auto"/>
              </w:rPr>
            </w:pPr>
            <w:r>
              <w:rPr>
                <w:rFonts w:ascii="Arial" w:cs="Arial" w:eastAsia="Arial" w:hAnsi="Arial"/>
                <w:sz w:val="18"/>
                <w:szCs w:val="18"/>
                <w:b w:val="1"/>
                <w:bCs w:val="1"/>
                <w:color w:val="auto"/>
              </w:rPr>
              <w:t>94</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Other operating and administrative</w:t>
            </w:r>
          </w:p>
        </w:tc>
        <w:tc>
          <w:tcPr>
            <w:tcW w:w="2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jc w:val="right"/>
              <w:ind w:right="436"/>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16"/>
        </w:trPr>
        <w:tc>
          <w:tcPr>
            <w:tcW w:w="67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Advertising, marketing and promotion</w:t>
            </w:r>
          </w:p>
        </w:tc>
        <w:tc>
          <w:tcPr>
            <w:tcW w:w="2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b w:val="1"/>
                <w:bCs w:val="1"/>
                <w:color w:val="auto"/>
              </w:rPr>
              <w:t>5</w:t>
            </w: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June 2010, the City of Detroit (the “City”) initiated an action against us in the U.S. District Court for the Eastern District of Michigan in which the City sought a ruling that certain aspects of the Michigan Uniform Video Services Local Franchise Act were unlawful under the Federal Cable Communications Policy Act of 1984 and the Constitution of the State of Michigan. The City also sought declaratory relief as to our applicable cable franchise obligations and monetary relief for our alleged non-compliance. We appealed the U.S. District Court’s ruling on summary judgment in favor of the City to the U.S. Court of Appeals for the Sixth Circuit in July 2013, and in October 2014 we resolved this action through mediation with the City. As a result of the resolution of this action, we recorded $16 million in other operating and administrative expenses and $6 million in interest expense for the nine months ended September 30, 2014.</w:t>
      </w:r>
    </w:p>
    <w:p>
      <w:pPr>
        <w:spacing w:after="0" w:line="18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 consuming and injure our reputation.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5: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evaluated all subsequent event activity through December 8, 2014, which is the issue date of these condensed combined financial statements, and concluded that no additional subsequent events have occurred that would require recognition in the condensed combined financial statements or disclosure in the notes to the condensed combined financial statements.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sectPr>
      <w:pgSz w:w="11900" w:h="16838" w:orient="portrait"/>
      <w:cols w:equalWidth="0" w:num="1">
        <w:col w:w="11340"/>
      </w:cols>
      <w:pgMar w:left="240" w:top="26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2019-12-07T03:08:46Z</dcterms:created>
  <dcterms:modified xsi:type="dcterms:W3CDTF">2019-12-07T03:08:46Z</dcterms:modified>
</cp:coreProperties>
</file>