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Securities Exchange Act of 1934</w:t>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24, 2015</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001-32871</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4"/>
              </w:rPr>
              <w:t>(Commission File Number)</w:t>
            </w:r>
          </w:p>
        </w:tc>
        <w:tc>
          <w:tcPr>
            <w:tcW w:w="4320" w:type="dxa"/>
            <w:vAlign w:val="bottom"/>
          </w:tcPr>
          <w:p>
            <w:pPr>
              <w:jc w:val="center"/>
              <w:ind w:left="2259"/>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One Comcast Center</w:t>
            </w:r>
          </w:p>
        </w:tc>
        <w:tc>
          <w:tcPr>
            <w:tcW w:w="4320" w:type="dxa"/>
            <w:vAlign w:val="bottom"/>
          </w:tcPr>
          <w:p>
            <w:pPr>
              <w:spacing w:after="0"/>
              <w:rPr>
                <w:sz w:val="24"/>
                <w:szCs w:val="24"/>
                <w:color w:val="auto"/>
              </w:rPr>
            </w:pPr>
          </w:p>
        </w:tc>
      </w:t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2"/>
              </w:rPr>
              <w:t>Philadelphia, PA</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279"/>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February 24, 2015, Comcast Corporation (“Comcast”) issued a press release reporting the results of its operations for the three and twelve months ended December 31, 2014.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3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Comcast Corporation press release dated February 24, 2015.</w:t>
      </w:r>
    </w:p>
    <w:p>
      <w:pPr>
        <w:spacing w:after="0" w:line="23"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ectPr>
          <w:pgSz w:w="11900" w:h="16838" w:orient="portrait"/>
          <w:cols w:equalWidth="0" w:num="1">
            <w:col w:w="11420"/>
          </w:cols>
          <w:pgMar w:left="240" w:top="55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February 24, 2015</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c>
          <w:tcPr>
            <w:tcW w:w="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780" w:type="dxa"/>
            <w:vAlign w:val="bottom"/>
            <w:tcBorders>
              <w:bottom w:val="single" w:sz="8" w:color="010101"/>
            </w:tcBorders>
          </w:tcPr>
          <w:p>
            <w:pPr>
              <w:spacing w:after="0"/>
              <w:rPr>
                <w:sz w:val="24"/>
                <w:szCs w:val="24"/>
                <w:color w:val="auto"/>
              </w:rPr>
            </w:pPr>
          </w:p>
        </w:tc>
        <w:tc>
          <w:tcPr>
            <w:tcW w:w="240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29"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3119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910" cy="5575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w:t>
      </w:r>
      <w:r>
        <w:rPr>
          <w:rFonts w:ascii="Arial" w:cs="Arial" w:eastAsia="Arial" w:hAnsi="Arial"/>
          <w:sz w:val="22"/>
          <w:szCs w:val="22"/>
          <w:b w:val="1"/>
          <w:bCs w:val="1"/>
          <w:color w:val="auto"/>
          <w:vertAlign w:val="superscript"/>
        </w:rPr>
        <w:t>th</w:t>
      </w:r>
      <w:r>
        <w:rPr>
          <w:rFonts w:ascii="Arial" w:cs="Arial" w:eastAsia="Arial" w:hAnsi="Arial"/>
          <w:sz w:val="22"/>
          <w:szCs w:val="22"/>
          <w:b w:val="1"/>
          <w:bCs w:val="1"/>
          <w:color w:val="auto"/>
        </w:rPr>
        <w:t xml:space="preserve"> QUARTER AND YEAR END 2014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2014 Highlights:</w:t>
      </w:r>
    </w:p>
    <w:p>
      <w:pPr>
        <w:spacing w:after="0" w:line="139" w:lineRule="exact"/>
        <w:rPr>
          <w:sz w:val="20"/>
          <w:szCs w:val="20"/>
          <w:color w:val="auto"/>
        </w:rPr>
      </w:pPr>
    </w:p>
    <w:p>
      <w:pPr>
        <w:ind w:left="660" w:right="4540" w:hanging="328"/>
        <w:spacing w:after="0" w:line="291"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Consolidated Revenue Increased 6.4%, Operating Cash Flow Increased 6.9%, Operating Income Increased 9.9% and Free Cash Flow Exceeded $8 Billion</w:t>
      </w:r>
    </w:p>
    <w:p>
      <w:pPr>
        <w:spacing w:after="0" w:line="66" w:lineRule="exact"/>
        <w:rPr>
          <w:rFonts w:ascii="Arial" w:cs="Arial" w:eastAsia="Arial" w:hAnsi="Arial"/>
          <w:sz w:val="17"/>
          <w:szCs w:val="17"/>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25.0% to $3.20; Excluding Adjustments, EPS Increased 18.6% to $2.93</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Revenue Increased 5.5% and Operating Cash Flow Increased 5.3%</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Relationships Increased by 358,000, a 67% Improvement Compared to 2013</w:t>
      </w:r>
    </w:p>
    <w:p>
      <w:pPr>
        <w:spacing w:after="0" w:line="13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 Revenue Increased 7.5% and Operating Cash Flow Increased 18.1%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8"/>
          <w:szCs w:val="8"/>
          <w:b w:val="1"/>
          <w:bCs w:val="1"/>
          <w:color w:val="auto"/>
        </w:rPr>
        <w:t>th</w:t>
      </w:r>
      <w:r>
        <w:rPr>
          <w:rFonts w:ascii="Arial" w:cs="Arial" w:eastAsia="Arial" w:hAnsi="Arial"/>
          <w:sz w:val="18"/>
          <w:szCs w:val="18"/>
          <w:b w:val="1"/>
          <w:bCs w:val="1"/>
          <w:color w:val="auto"/>
        </w:rPr>
        <w:t xml:space="preserve"> Quarter 2014 Highlights:</w:t>
      </w:r>
    </w:p>
    <w:p>
      <w:pPr>
        <w:spacing w:after="0" w:line="112"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 Increased 4.8%, Operating Cash Flow Increased 4.1% and Operating Income Increased 3.8%</w:t>
      </w:r>
    </w:p>
    <w:p>
      <w:pPr>
        <w:spacing w:after="0" w:line="10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 Increased 2.8% to $0.74; Excluding Adjustments, EPS Increased 16.7% to $0.77</w:t>
      </w:r>
    </w:p>
    <w:p>
      <w:pPr>
        <w:spacing w:after="0" w:line="10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6.1% and Operating Cash Flow Increased 6.3%</w:t>
      </w:r>
    </w:p>
    <w:p>
      <w:pPr>
        <w:spacing w:after="0" w:line="10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Relationships Increased by 178,000, a 47% Increase from the Fourth Quarter of 2013</w:t>
      </w:r>
    </w:p>
    <w:p>
      <w:pPr>
        <w:spacing w:after="0" w:line="10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 Revenue Increased 2.3% and Operating Cash Flow Increased 6.6%</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Share Repurchase:</w:t>
      </w:r>
    </w:p>
    <w:p>
      <w:pPr>
        <w:spacing w:after="0" w:line="139"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and Share Repurchases Increased 64.1% to $6.5 Billion in 2014</w:t>
      </w:r>
    </w:p>
    <w:p>
      <w:pPr>
        <w:spacing w:after="0" w:line="130" w:lineRule="exact"/>
        <w:rPr>
          <w:rFonts w:ascii="Arial" w:cs="Arial" w:eastAsia="Arial" w:hAnsi="Arial"/>
          <w:sz w:val="18"/>
          <w:szCs w:val="18"/>
          <w:color w:val="auto"/>
        </w:rPr>
      </w:pPr>
    </w:p>
    <w:p>
      <w:pPr>
        <w:ind w:left="660" w:right="36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 to Increase 11% to $1.00 per Share on an Annualized Basis; Share Repurchase Authorization to Increase to $10.0 Billion, with $4.25 Billion to be Repurchased in 2015</w:t>
      </w:r>
    </w:p>
    <w:p>
      <w:pPr>
        <w:spacing w:after="0" w:line="88" w:lineRule="exact"/>
        <w:rPr>
          <w:rFonts w:ascii="Arial" w:cs="Arial" w:eastAsia="Arial" w:hAnsi="Arial"/>
          <w:sz w:val="18"/>
          <w:szCs w:val="18"/>
          <w:color w:val="auto"/>
        </w:rPr>
      </w:pPr>
    </w:p>
    <w:p>
      <w:pPr>
        <w:ind w:left="660" w:right="48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Share Repurchases Above the $4.25 Billion Plan in 2015 will be Determined by the Closing of the TWC Merger and the Subsequent Divestiture Transactions</w:t>
      </w:r>
    </w:p>
    <w:p>
      <w:pPr>
        <w:spacing w:after="0" w:line="200" w:lineRule="exact"/>
        <w:rPr>
          <w:sz w:val="20"/>
          <w:szCs w:val="20"/>
          <w:color w:val="auto"/>
        </w:rPr>
      </w:pPr>
    </w:p>
    <w:p>
      <w:pPr>
        <w:spacing w:after="0" w:line="37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February 24, 2015… Comcast Corporation (NASDAQ: CMCSA, CMCSK) today reported results for the quarter and year ended December 31, 2014.</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Brian L. Roberts, Chairman and Chief Executive Officer of Comcast Corporation, said, “2014 was a great year financially, operationally, and strategically for Comcast NBCUniversal. We continued to execute incredibly well as we accelerated our innovation, launched new products, and brought amazing films, shows and theme park attractions to consumers. Cable’s results, driven by High-Speed Internet and Business Services, demonstrate our focus on driving profitable growth and technology innovations, including our transformative X1 platform. This is bearing fruit in our operating performance, as we added 358,000 customer relationships, while video subscriber trends were the best in 7 years and in broadband we added over 1 million subscribers for the ninth year in a row. NBCUniversal also had a standout performance in 2014, with 18% growth in operating cash flow, driven by a successful Sochi Olympics, continued momentum at NBC Broadcast, the successful opening of </w:t>
      </w:r>
      <w:r>
        <w:rPr>
          <w:rFonts w:ascii="Arial" w:cs="Arial" w:eastAsia="Arial" w:hAnsi="Arial"/>
          <w:sz w:val="18"/>
          <w:szCs w:val="18"/>
          <w:i w:val="1"/>
          <w:iCs w:val="1"/>
          <w:color w:val="auto"/>
        </w:rPr>
        <w:t>The Wizarding World of Harry Potter ™- Diagon Alley ™</w:t>
      </w:r>
      <w:r>
        <w:rPr>
          <w:rFonts w:ascii="Arial" w:cs="Arial" w:eastAsia="Arial" w:hAnsi="Arial"/>
          <w:sz w:val="18"/>
          <w:szCs w:val="18"/>
          <w:color w:val="auto"/>
        </w:rPr>
        <w:t xml:space="preserve"> in Orlando, and strong box office performance from Universal Pictures. We enter 2015 with great momentum and significant opportunities ahead, and we look forward to receiving regulatory approval for the Time Warner Cable merger. Underscoring our confidence in the continued success of our company, we are increasing our dividend to $1.00 per share on an annualized basis, marking the seventh consecutive annual increase, and plan to repurchase at least $4.25 billion of our stock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4th Quarter</w:t>
            </w: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Full Year</w:t>
            </w:r>
          </w:p>
        </w:tc>
        <w:tc>
          <w:tcPr>
            <w:tcW w:w="680" w:type="dxa"/>
            <w:vAlign w:val="bottom"/>
          </w:tcPr>
          <w:p>
            <w:pPr>
              <w:spacing w:after="0"/>
              <w:rPr>
                <w:sz w:val="14"/>
                <w:szCs w:val="14"/>
                <w:color w:val="auto"/>
              </w:rPr>
            </w:pPr>
          </w:p>
        </w:tc>
      </w:tr>
      <w:tr>
        <w:trPr>
          <w:trHeight w:val="195"/>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Growth</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2013</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18"/>
        </w:trPr>
        <w:tc>
          <w:tcPr>
            <w:tcW w:w="4600" w:type="dxa"/>
            <w:vAlign w:val="bottom"/>
          </w:tcPr>
          <w:p>
            <w:pPr>
              <w:ind w:left="40"/>
              <w:spacing w:after="0"/>
              <w:rPr>
                <w:sz w:val="20"/>
                <w:szCs w:val="20"/>
                <w:color w:val="auto"/>
              </w:rPr>
            </w:pPr>
            <w:r>
              <w:rPr>
                <w:rFonts w:ascii="Arial" w:cs="Arial" w:eastAsia="Arial" w:hAnsi="Arial"/>
                <w:sz w:val="14"/>
                <w:szCs w:val="14"/>
                <w:color w:val="auto"/>
              </w:rPr>
              <w:t>Revenue</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$16,926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$17,732</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4.8%</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$64,657</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$68,775</w:t>
            </w:r>
          </w:p>
        </w:tc>
        <w:tc>
          <w:tcPr>
            <w:tcW w:w="6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8"/>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w:t>
            </w:r>
          </w:p>
        </w:tc>
        <w:tc>
          <w:tcPr>
            <w:tcW w:w="10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$64,657</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$67,672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4.7%</w:t>
            </w:r>
          </w:p>
        </w:tc>
      </w:tr>
      <w:tr>
        <w:trPr>
          <w:trHeight w:val="219"/>
        </w:trPr>
        <w:tc>
          <w:tcPr>
            <w:tcW w:w="460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$5,645</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$5,877</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4.1%</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$21,434</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$22,923</w:t>
            </w:r>
          </w:p>
        </w:tc>
        <w:tc>
          <w:tcPr>
            <w:tcW w:w="6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79"/>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 Olympics &amp; Pension Costs</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$5,645</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$5,976</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i w:val="1"/>
                <w:iCs w:val="1"/>
                <w:color w:val="auto"/>
              </w:rPr>
              <w:t>5.9%</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$21,508</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$23,055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7.2%</w:t>
            </w:r>
          </w:p>
        </w:tc>
      </w:tr>
      <w:tr>
        <w:trPr>
          <w:trHeight w:val="196"/>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$3,647</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$3,787</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3.8%</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$13,563</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$14,904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219"/>
        </w:trPr>
        <w:tc>
          <w:tcPr>
            <w:tcW w:w="460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$0.72</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$0.74</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2.8%</w:t>
            </w:r>
          </w:p>
        </w:tc>
        <w:tc>
          <w:tcPr>
            <w:tcW w:w="1560" w:type="dxa"/>
            <w:vAlign w:val="bottom"/>
          </w:tcPr>
          <w:p>
            <w:pPr>
              <w:jc w:val="right"/>
              <w:ind w:right="128"/>
              <w:spacing w:after="0"/>
              <w:rPr>
                <w:sz w:val="20"/>
                <w:szCs w:val="20"/>
                <w:color w:val="auto"/>
              </w:rPr>
            </w:pPr>
            <w:r>
              <w:rPr>
                <w:rFonts w:ascii="Arial" w:cs="Arial" w:eastAsia="Arial" w:hAnsi="Arial"/>
                <w:sz w:val="14"/>
                <w:szCs w:val="14"/>
                <w:color w:val="auto"/>
              </w:rPr>
              <w:t>$2.56</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$3.20</w:t>
            </w:r>
          </w:p>
        </w:tc>
        <w:tc>
          <w:tcPr>
            <w:tcW w:w="6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179"/>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4)</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$0.66</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$0.77</w:t>
            </w:r>
          </w:p>
        </w:tc>
        <w:tc>
          <w:tcPr>
            <w:tcW w:w="15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i w:val="1"/>
                <w:iCs w:val="1"/>
                <w:color w:val="auto"/>
              </w:rPr>
              <w:t>16.7%</w:t>
            </w:r>
          </w:p>
        </w:tc>
        <w:tc>
          <w:tcPr>
            <w:tcW w:w="1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$2.47</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$2.93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18.6%</w:t>
            </w:r>
          </w:p>
        </w:tc>
      </w:tr>
      <w:tr>
        <w:trPr>
          <w:trHeight w:val="179"/>
        </w:trPr>
        <w:tc>
          <w:tcPr>
            <w:tcW w:w="460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$1,435</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$1,694</w:t>
            </w:r>
          </w:p>
        </w:tc>
        <w:tc>
          <w:tcPr>
            <w:tcW w:w="1520" w:type="dxa"/>
            <w:vAlign w:val="bottom"/>
          </w:tcPr>
          <w:p>
            <w:pPr>
              <w:jc w:val="right"/>
              <w:ind w:right="768"/>
              <w:spacing w:after="0"/>
              <w:rPr>
                <w:sz w:val="20"/>
                <w:szCs w:val="20"/>
                <w:color w:val="auto"/>
              </w:rPr>
            </w:pPr>
            <w:r>
              <w:rPr>
                <w:rFonts w:ascii="Arial" w:cs="Arial" w:eastAsia="Arial" w:hAnsi="Arial"/>
                <w:sz w:val="14"/>
                <w:szCs w:val="14"/>
                <w:color w:val="auto"/>
              </w:rPr>
              <w:t>18.0%</w:t>
            </w: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$8,489</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$8,167</w:t>
            </w: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r>
    </w:tbl>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fourth quarter of 2014 increased 4.8% to $17.7 billion.</w:t>
      </w:r>
      <w:r>
        <w:rPr>
          <w:rFonts w:ascii="Arial" w:cs="Arial" w:eastAsia="Arial" w:hAnsi="Arial"/>
          <w:sz w:val="18"/>
          <w:szCs w:val="18"/>
          <w:b w:val="1"/>
          <w:bCs w:val="1"/>
          <w:i w:val="1"/>
          <w:iCs w:val="1"/>
          <w:color w:val="auto"/>
        </w:rPr>
        <w:t xml:space="preserve"> Consolidated Operating Cash Flow </w:t>
      </w:r>
      <w:r>
        <w:rPr>
          <w:rFonts w:ascii="Arial" w:cs="Arial" w:eastAsia="Arial" w:hAnsi="Arial"/>
          <w:sz w:val="18"/>
          <w:szCs w:val="18"/>
          <w:color w:val="auto"/>
        </w:rPr>
        <w:t>increased 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$5.9 billion. Excluding $99 million of Time Warner Cable and Charter transaction-related costs in the fourth quarter of 2014, consolidated operating cash flow increased 5.9% (See Table 5).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3.8% to $3.8 billion.</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year ended December 31, 2014, consolidated revenue increased 6.4% to $68.8 billion. Excluding $1.1 billion of revenue generated by the Sochi Olympics in the first quarter of 2014, consolidated revenue increased 4.7%. Consolidated operating cash flow increased 6.9% to $22.9 billion. Excluding $105 million of operating cash flow generated by the Olympics in the first quarter of 2014, $237 million of transaction-</w:t>
      </w:r>
    </w:p>
    <w:p>
      <w:pPr>
        <w:sectPr>
          <w:pgSz w:w="11900" w:h="16838" w:orient="portrait"/>
          <w:cols w:equalWidth="0" w:num="1">
            <w:col w:w="11420"/>
          </w:cols>
          <w:pgMar w:left="240" w:top="118" w:right="239" w:bottom="0" w:gutter="0" w:footer="0" w:header="0"/>
        </w:sectPr>
      </w:pPr>
    </w:p>
    <w:bookmarkStart w:id="3" w:name="page4"/>
    <w:bookmarkEnd w:id="3"/>
    <w:p>
      <w:pPr>
        <w:jc w:val="both"/>
        <w:spacing w:after="0" w:line="245" w:lineRule="auto"/>
        <w:rPr>
          <w:sz w:val="20"/>
          <w:szCs w:val="20"/>
          <w:color w:val="auto"/>
        </w:rPr>
      </w:pPr>
      <w:r>
        <w:rPr>
          <w:rFonts w:ascii="Arial" w:cs="Arial" w:eastAsia="Arial" w:hAnsi="Arial"/>
          <w:sz w:val="18"/>
          <w:szCs w:val="18"/>
          <w:color w:val="auto"/>
        </w:rPr>
        <w:t>related costs in 2014, and pension termination costs in the third quarter of 2013, consolidated operating cash flow increased 7.2% (See Table 5). Consolidated operating income increased 9.9% to $14.9 billion.</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2014 was $0.74, a 2.8% increase from the $0.72 reported in the fourth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transaction-related costs in the fourth quarter of 2014, as well as income tax adjustments in the fourth quarter of 2013, EPS increased 16.7% to $0.77 (see Table 4).</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EPS for the year ended December 31, 2014 was $3.20, a 25.0% increase from the $2.56 reported in the prior year. Excluding the impact from income tax adjustments in 2013 and 2014, gains on the sales of investments, a resolution of a prior acquisition contingency and transaction-related costs in 2014, as well as a gain on the sale of wireless spectrum licenses in the first quarter of 2013, EPS increased 18.6% to $2.93 (see Table 4).</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11.0% to $2.2 billion in the fourth quarter of 2014 compared to the fourth quarter of 2013.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$235 million, or 14.3%, to $1.9 billion in the fourth quarter of 2014, primarily reflecting our ongoing investment in network infrastructure to increase capacity and higher spending on customer premise equipment related to the deployment of the X1 platform. Cable capital expenditures represented 16.5% of Cable revenue in the fourth quarter of 2014 compared to 15.4% in last year’s fourth quarter. NBCUniversal’s capital expenditures decreased $16 million, or 4.3%, to $337 million in the fourth quarter of 2014, primarily reflecting decreased investments in facilities, partially offset by increased spending at Theme Parks.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2014, capital expenditures increased 12.5% to $7.4 billion compared to the prior year. Cable Communications’ capital expenditures increased $751 million, or 13.9%, to $6.2 billion, primarily reflecting increased spending related to the deployment of the X1 platform, as well as continued investment in our network. For the year, Cable capital expenditures represented 13.9% of Cable revenue compared to 12.9% in 2013. NBCUniversal’s capital expenditures increased $61 million, or 5.3%, to $1.2 billion in 2014, primarily reflecting increased investments in Theme Parks.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increased 18.0% to $1.7 billion in the fourth quarter of 2014 compared to $1.4 billion in the fourth quarter of 2013,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in working capital and growth in consolidated operating cash flow, partially offset by increased capital expenditures and cash taxes on operating items.</w:t>
      </w:r>
    </w:p>
    <w:p>
      <w:pPr>
        <w:spacing w:after="0" w:line="17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Free cash flow for the year ended December 31, 2014 decreased 3.8% to $8.2 billion compared to $8.5 billion in 2013, reflecting increased capital expenditures and cash taxes on operating items, as well as increased working capital, mainly driven by higher film and TV production spend, partially offset by growth in consolidated operating cash flow.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4th Quarter</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Arial" w:cs="Arial" w:eastAsia="Arial" w:hAnsi="Arial"/>
                <w:sz w:val="14"/>
                <w:szCs w:val="14"/>
                <w:color w:val="auto"/>
              </w:rPr>
              <w:t>Full Year</w:t>
            </w:r>
          </w:p>
        </w:tc>
        <w:tc>
          <w:tcPr>
            <w:tcW w:w="820" w:type="dxa"/>
            <w:vAlign w:val="bottom"/>
          </w:tcPr>
          <w:p>
            <w:pPr>
              <w:spacing w:after="0"/>
              <w:rPr>
                <w:sz w:val="14"/>
                <w:szCs w:val="14"/>
                <w:color w:val="auto"/>
              </w:rPr>
            </w:pPr>
          </w:p>
        </w:tc>
      </w:tr>
      <w:tr>
        <w:trPr>
          <w:trHeight w:val="270"/>
        </w:trPr>
        <w:tc>
          <w:tcPr>
            <w:tcW w:w="484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1220" w:type="dxa"/>
            <w:vAlign w:val="bottom"/>
          </w:tcPr>
          <w:p>
            <w:pPr>
              <w:jc w:val="right"/>
              <w:spacing w:after="0"/>
              <w:rPr>
                <w:sz w:val="20"/>
                <w:szCs w:val="20"/>
                <w:color w:val="auto"/>
              </w:rPr>
            </w:pPr>
            <w:r>
              <w:rPr>
                <w:rFonts w:ascii="Arial" w:cs="Arial" w:eastAsia="Arial" w:hAnsi="Arial"/>
                <w:sz w:val="14"/>
                <w:szCs w:val="14"/>
                <w:color w:val="auto"/>
              </w:rPr>
              <w:t>2013</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2014</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Growth</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2014</w:t>
            </w:r>
          </w:p>
        </w:tc>
        <w:tc>
          <w:tcPr>
            <w:tcW w:w="820" w:type="dxa"/>
            <w:vAlign w:val="bottom"/>
          </w:tcPr>
          <w:p>
            <w:pPr>
              <w:jc w:val="right"/>
              <w:spacing w:after="0"/>
              <w:rPr>
                <w:sz w:val="20"/>
                <w:szCs w:val="20"/>
                <w:color w:val="auto"/>
              </w:rPr>
            </w:pPr>
            <w:r>
              <w:rPr>
                <w:rFonts w:ascii="Arial" w:cs="Arial" w:eastAsia="Arial" w:hAnsi="Arial"/>
                <w:sz w:val="14"/>
                <w:szCs w:val="14"/>
                <w:color w:val="auto"/>
              </w:rPr>
              <w:t>Growth</w:t>
            </w:r>
          </w:p>
        </w:tc>
      </w:tr>
      <w:tr>
        <w:trPr>
          <w:trHeight w:val="33"/>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4"/>
        </w:trPr>
        <w:tc>
          <w:tcPr>
            <w:tcW w:w="4840" w:type="dxa"/>
            <w:vAlign w:val="bottom"/>
          </w:tcPr>
          <w:p>
            <w:pPr>
              <w:ind w:left="40"/>
              <w:spacing w:after="0"/>
              <w:rPr>
                <w:sz w:val="20"/>
                <w:szCs w:val="20"/>
                <w:color w:val="auto"/>
              </w:rPr>
            </w:pPr>
            <w:r>
              <w:rPr>
                <w:rFonts w:ascii="Arial" w:cs="Arial" w:eastAsia="Arial" w:hAnsi="Arial"/>
                <w:sz w:val="14"/>
                <w:szCs w:val="14"/>
                <w:color w:val="auto"/>
              </w:rPr>
              <w:t>Operating Cash Flow</w:t>
            </w:r>
          </w:p>
        </w:tc>
        <w:tc>
          <w:tcPr>
            <w:tcW w:w="1220" w:type="dxa"/>
            <w:vAlign w:val="bottom"/>
          </w:tcPr>
          <w:p>
            <w:pPr>
              <w:jc w:val="right"/>
              <w:spacing w:after="0"/>
              <w:rPr>
                <w:sz w:val="20"/>
                <w:szCs w:val="20"/>
                <w:color w:val="auto"/>
              </w:rPr>
            </w:pPr>
            <w:r>
              <w:rPr>
                <w:rFonts w:ascii="Arial" w:cs="Arial" w:eastAsia="Arial" w:hAnsi="Arial"/>
                <w:sz w:val="14"/>
                <w:szCs w:val="14"/>
                <w:color w:val="auto"/>
              </w:rPr>
              <w:t>$5,645</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$5,877</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4.1%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$21,434</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$22,923</w:t>
            </w: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1220" w:type="dxa"/>
            <w:vAlign w:val="bottom"/>
          </w:tcPr>
          <w:p>
            <w:pPr>
              <w:jc w:val="right"/>
              <w:spacing w:after="0"/>
              <w:rPr>
                <w:sz w:val="20"/>
                <w:szCs w:val="20"/>
                <w:color w:val="auto"/>
              </w:rPr>
            </w:pPr>
            <w:r>
              <w:rPr>
                <w:rFonts w:ascii="Arial" w:cs="Arial" w:eastAsia="Arial" w:hAnsi="Arial"/>
                <w:sz w:val="14"/>
                <w:szCs w:val="14"/>
                <w:color w:val="auto"/>
              </w:rPr>
              <w:t>(2,003)</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(2,224)</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11.0%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(6,596)</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(7,420)</w:t>
            </w: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1220" w:type="dxa"/>
            <w:vAlign w:val="bottom"/>
          </w:tcPr>
          <w:p>
            <w:pPr>
              <w:jc w:val="right"/>
              <w:spacing w:after="0"/>
              <w:rPr>
                <w:sz w:val="20"/>
                <w:szCs w:val="20"/>
                <w:color w:val="auto"/>
              </w:rPr>
            </w:pPr>
            <w:r>
              <w:rPr>
                <w:rFonts w:ascii="Arial" w:cs="Arial" w:eastAsia="Arial" w:hAnsi="Arial"/>
                <w:sz w:val="14"/>
                <w:szCs w:val="14"/>
                <w:color w:val="auto"/>
              </w:rPr>
              <w:t>(315)</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(387)</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22.9%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(1,009)</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(1,122)</w:t>
            </w:r>
          </w:p>
        </w:tc>
        <w:tc>
          <w:tcPr>
            <w:tcW w:w="8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Cash Interest Expense</w:t>
            </w:r>
          </w:p>
        </w:tc>
        <w:tc>
          <w:tcPr>
            <w:tcW w:w="1220" w:type="dxa"/>
            <w:vAlign w:val="bottom"/>
          </w:tcPr>
          <w:p>
            <w:pPr>
              <w:jc w:val="right"/>
              <w:spacing w:after="0"/>
              <w:rPr>
                <w:sz w:val="20"/>
                <w:szCs w:val="20"/>
                <w:color w:val="auto"/>
              </w:rPr>
            </w:pPr>
            <w:r>
              <w:rPr>
                <w:rFonts w:ascii="Arial" w:cs="Arial" w:eastAsia="Arial" w:hAnsi="Arial"/>
                <w:sz w:val="14"/>
                <w:szCs w:val="14"/>
                <w:color w:val="auto"/>
              </w:rPr>
              <w:t>(587)</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(569)</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(3.1%)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(2,355)</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(2,389)</w:t>
            </w: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Cash Taxes on Operating Items</w:t>
            </w:r>
          </w:p>
        </w:tc>
        <w:tc>
          <w:tcPr>
            <w:tcW w:w="1220" w:type="dxa"/>
            <w:vAlign w:val="bottom"/>
          </w:tcPr>
          <w:p>
            <w:pPr>
              <w:jc w:val="right"/>
              <w:spacing w:after="0"/>
              <w:rPr>
                <w:sz w:val="20"/>
                <w:szCs w:val="20"/>
                <w:color w:val="auto"/>
              </w:rPr>
            </w:pPr>
            <w:r>
              <w:rPr>
                <w:rFonts w:ascii="Arial" w:cs="Arial" w:eastAsia="Arial" w:hAnsi="Arial"/>
                <w:sz w:val="14"/>
                <w:szCs w:val="14"/>
                <w:color w:val="auto"/>
              </w:rPr>
              <w:t>(914)</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(1,105)</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20.9%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(3,499)</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(3,801)</w:t>
            </w: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220" w:type="dxa"/>
            <w:vAlign w:val="bottom"/>
          </w:tcPr>
          <w:p>
            <w:pPr>
              <w:jc w:val="right"/>
              <w:spacing w:after="0"/>
              <w:rPr>
                <w:sz w:val="20"/>
                <w:szCs w:val="20"/>
                <w:color w:val="auto"/>
              </w:rPr>
            </w:pPr>
            <w:r>
              <w:rPr>
                <w:rFonts w:ascii="Arial" w:cs="Arial" w:eastAsia="Arial" w:hAnsi="Arial"/>
                <w:sz w:val="14"/>
                <w:szCs w:val="14"/>
                <w:color w:val="auto"/>
              </w:rPr>
              <w:t>(490)</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(14)</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97.1%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(507)</w:t>
            </w:r>
          </w:p>
        </w:tc>
        <w:tc>
          <w:tcPr>
            <w:tcW w:w="82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Noncash 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107</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127</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18.7%</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419</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513</w:t>
            </w:r>
          </w:p>
        </w:tc>
        <w:tc>
          <w:tcPr>
            <w:tcW w:w="82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(50)</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(2.0%)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(220)</w:t>
            </w: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30"/>
        </w:trPr>
        <w:tc>
          <w:tcPr>
            <w:tcW w:w="4840" w:type="dxa"/>
            <w:vAlign w:val="bottom"/>
          </w:tcPr>
          <w:p>
            <w:pPr>
              <w:ind w:left="40"/>
              <w:spacing w:after="0"/>
              <w:rPr>
                <w:sz w:val="20"/>
                <w:szCs w:val="20"/>
                <w:color w:val="auto"/>
              </w:rPr>
            </w:pPr>
            <w:r>
              <w:rPr>
                <w:rFonts w:ascii="Arial" w:cs="Arial" w:eastAsia="Arial" w:hAnsi="Arial"/>
                <w:sz w:val="14"/>
                <w:szCs w:val="14"/>
                <w:color w:val="auto"/>
              </w:rPr>
              <w:t>Redeemable Subsidiary Preferred Stock</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Other</w:t>
            </w:r>
          </w:p>
        </w:tc>
        <w:tc>
          <w:tcPr>
            <w:tcW w:w="1220" w:type="dxa"/>
            <w:vAlign w:val="bottom"/>
          </w:tcPr>
          <w:p>
            <w:pPr>
              <w:jc w:val="right"/>
              <w:spacing w:after="0"/>
              <w:rPr>
                <w:sz w:val="20"/>
                <w:szCs w:val="20"/>
                <w:color w:val="auto"/>
              </w:rPr>
            </w:pPr>
            <w:r>
              <w:rPr>
                <w:rFonts w:ascii="Arial" w:cs="Arial" w:eastAsia="Arial" w:hAnsi="Arial"/>
                <w:sz w:val="14"/>
                <w:szCs w:val="14"/>
                <w:color w:val="auto"/>
              </w:rPr>
              <w:t>43</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39</w:t>
            </w:r>
          </w:p>
        </w:tc>
        <w:tc>
          <w:tcPr>
            <w:tcW w:w="1180" w:type="dxa"/>
            <w:vAlign w:val="bottom"/>
          </w:tcPr>
          <w:p>
            <w:pPr>
              <w:jc w:val="right"/>
              <w:ind w:right="408"/>
              <w:spacing w:after="0"/>
              <w:rPr>
                <w:sz w:val="20"/>
                <w:szCs w:val="20"/>
                <w:color w:val="auto"/>
              </w:rPr>
            </w:pPr>
            <w:r>
              <w:rPr>
                <w:rFonts w:ascii="Arial" w:cs="Arial" w:eastAsia="Arial" w:hAnsi="Arial"/>
                <w:sz w:val="14"/>
                <w:szCs w:val="14"/>
                <w:color w:val="auto"/>
              </w:rPr>
              <w:t>(9.3%)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190</w:t>
            </w:r>
          </w:p>
        </w:tc>
        <w:tc>
          <w:tcPr>
            <w:tcW w:w="8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33"/>
        </w:trPr>
        <w:tc>
          <w:tcPr>
            <w:tcW w:w="4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$1,435</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$1,694</w:t>
            </w: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18.0%</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$8,489</w:t>
            </w: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$8,167</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39"/>
        </w:trPr>
        <w:tc>
          <w:tcPr>
            <w:tcW w:w="4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98"/>
        </w:trPr>
        <w:tc>
          <w:tcPr>
            <w:tcW w:w="484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fourth quarter of 2014, Comcast paid dividends totaling $580 million and repurchased 36.8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$2.0 billion. For the full year, Comcast repurchased 80.6 million of its common shares for $4.25 billion and made four cash dividend payments totaling $2.3 billion, resulting in a total return of capital to shareholders of $6.5 billion for 2014.</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Today, Comcast announced that its Board of Directors has increased its stock repurchase program authorization to $10.0 billion. At this time, Comcast plans to repurchase $4.25 billion during 2015, subject to market conditions. Additional stock repurchases will be determined after the closing of the Time Warner Cable merger and the subsequent divestiture transactions.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Comcast announced that it increased its dividend by 11.1% to $ 1.00 per share on an annualized basis. In accordance with the increase, the Board of Directors declared a quarterly cash dividend of $0.25 a share on the company’s common stock, payable on April 22, 2015 to shareholders of record as of the close of business on April 1, 2015.</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Borders>
              <w:top w:val="single" w:sz="8" w:color="C9C9C9"/>
            </w:tcBorders>
          </w:tcPr>
          <w:p>
            <w:pPr>
              <w:spacing w:after="0"/>
              <w:rPr>
                <w:sz w:val="17"/>
                <w:szCs w:val="17"/>
                <w:color w:val="auto"/>
              </w:rPr>
            </w:pPr>
          </w:p>
        </w:tc>
        <w:tc>
          <w:tcPr>
            <w:tcW w:w="2080" w:type="dxa"/>
            <w:vAlign w:val="bottom"/>
            <w:tcBorders>
              <w:top w:val="single" w:sz="8" w:color="C9C9C9"/>
            </w:tcBorders>
          </w:tcPr>
          <w:p>
            <w:pPr>
              <w:spacing w:after="0"/>
              <w:rPr>
                <w:sz w:val="17"/>
                <w:szCs w:val="17"/>
                <w:color w:val="auto"/>
              </w:rPr>
            </w:pPr>
          </w:p>
        </w:tc>
        <w:tc>
          <w:tcPr>
            <w:tcW w:w="1180" w:type="dxa"/>
            <w:vAlign w:val="bottom"/>
            <w:tcBorders>
              <w:top w:val="single" w:sz="8" w:color="C9C9C9"/>
            </w:tcBorders>
          </w:tcPr>
          <w:p>
            <w:pPr>
              <w:jc w:val="right"/>
              <w:ind w:right="268"/>
              <w:spacing w:after="0"/>
              <w:rPr>
                <w:sz w:val="20"/>
                <w:szCs w:val="20"/>
                <w:color w:val="auto"/>
              </w:rPr>
            </w:pPr>
            <w:r>
              <w:rPr>
                <w:rFonts w:ascii="Arial" w:cs="Arial" w:eastAsia="Arial" w:hAnsi="Arial"/>
                <w:sz w:val="14"/>
                <w:szCs w:val="14"/>
                <w:color w:val="auto"/>
              </w:rPr>
              <w:t>4th Quarter</w:t>
            </w:r>
          </w:p>
        </w:tc>
        <w:tc>
          <w:tcPr>
            <w:tcW w:w="1300" w:type="dxa"/>
            <w:vAlign w:val="bottom"/>
            <w:tcBorders>
              <w:top w:val="single" w:sz="8" w:color="C9C9C9"/>
            </w:tcBorders>
          </w:tcPr>
          <w:p>
            <w:pPr>
              <w:spacing w:after="0"/>
              <w:rPr>
                <w:sz w:val="17"/>
                <w:szCs w:val="17"/>
                <w:color w:val="auto"/>
              </w:rPr>
            </w:pPr>
          </w:p>
        </w:tc>
        <w:tc>
          <w:tcPr>
            <w:tcW w:w="1120" w:type="dxa"/>
            <w:vAlign w:val="bottom"/>
            <w:tcBorders>
              <w:top w:val="single" w:sz="8" w:color="C9C9C9"/>
            </w:tcBorders>
          </w:tcPr>
          <w:p>
            <w:pPr>
              <w:spacing w:after="0"/>
              <w:rPr>
                <w:sz w:val="17"/>
                <w:szCs w:val="17"/>
                <w:color w:val="auto"/>
              </w:rPr>
            </w:pPr>
          </w:p>
        </w:tc>
        <w:tc>
          <w:tcPr>
            <w:tcW w:w="1180" w:type="dxa"/>
            <w:vAlign w:val="bottom"/>
            <w:tcBorders>
              <w:top w:val="single" w:sz="8" w:color="C9C9C9"/>
            </w:tcBorders>
          </w:tcPr>
          <w:p>
            <w:pPr>
              <w:jc w:val="right"/>
              <w:ind w:right="448"/>
              <w:spacing w:after="0"/>
              <w:rPr>
                <w:sz w:val="20"/>
                <w:szCs w:val="20"/>
                <w:color w:val="auto"/>
              </w:rPr>
            </w:pPr>
            <w:r>
              <w:rPr>
                <w:rFonts w:ascii="Arial" w:cs="Arial" w:eastAsia="Arial" w:hAnsi="Arial"/>
                <w:sz w:val="14"/>
                <w:szCs w:val="14"/>
                <w:color w:val="auto"/>
              </w:rPr>
              <w:t>Full Year</w:t>
            </w:r>
          </w:p>
        </w:tc>
        <w:tc>
          <w:tcPr>
            <w:tcW w:w="820" w:type="dxa"/>
            <w:vAlign w:val="bottom"/>
            <w:tcBorders>
              <w:top w:val="single" w:sz="8" w:color="C9C9C9"/>
            </w:tcBorders>
          </w:tcPr>
          <w:p>
            <w:pPr>
              <w:spacing w:after="0"/>
              <w:rPr>
                <w:sz w:val="17"/>
                <w:szCs w:val="17"/>
                <w:color w:val="auto"/>
              </w:rPr>
            </w:pPr>
          </w:p>
        </w:tc>
      </w:tr>
      <w:tr>
        <w:trPr>
          <w:trHeight w:val="208"/>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2014</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Growth</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$5,120</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$5,187</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1.3%</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$20,535</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$20,783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2,650</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2,912</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9.9%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10,334</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11,321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928</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916</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(1.4%)</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3,657</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3,671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876</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1,058</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20.8%</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3,241</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3,951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r>
      <w:tr>
        <w:trPr>
          <w:trHeight w:val="210"/>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717</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18.9%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2,189</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2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523</w:t>
            </w: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8.3%</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1,880</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1,972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04"/>
        </w:trPr>
        <w:tc>
          <w:tcPr>
            <w:tcW w:w="374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2080" w:type="dxa"/>
            <w:vAlign w:val="bottom"/>
          </w:tcPr>
          <w:p>
            <w:pPr>
              <w:jc w:val="right"/>
              <w:ind w:right="28"/>
              <w:spacing w:after="0"/>
              <w:rPr>
                <w:sz w:val="20"/>
                <w:szCs w:val="20"/>
                <w:color w:val="auto"/>
              </w:rPr>
            </w:pPr>
            <w:r>
              <w:rPr>
                <w:rFonts w:ascii="Arial" w:cs="Arial" w:eastAsia="Arial" w:hAnsi="Arial"/>
                <w:sz w:val="14"/>
                <w:szCs w:val="14"/>
                <w:b w:val="1"/>
                <w:bCs w:val="1"/>
                <w:color w:val="auto"/>
              </w:rPr>
              <w:t>$10,661</w:t>
            </w: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$11,313</w:t>
            </w:r>
          </w:p>
        </w:tc>
        <w:tc>
          <w:tcPr>
            <w:tcW w:w="1300" w:type="dxa"/>
            <w:vAlign w:val="bottom"/>
          </w:tcPr>
          <w:p>
            <w:pPr>
              <w:jc w:val="right"/>
              <w:ind w:right="428"/>
              <w:spacing w:after="0"/>
              <w:rPr>
                <w:sz w:val="20"/>
                <w:szCs w:val="20"/>
                <w:color w:val="auto"/>
              </w:rPr>
            </w:pPr>
            <w:r>
              <w:rPr>
                <w:rFonts w:ascii="Arial" w:cs="Arial" w:eastAsia="Arial" w:hAnsi="Arial"/>
                <w:sz w:val="14"/>
                <w:szCs w:val="14"/>
                <w:b w:val="1"/>
                <w:bCs w:val="1"/>
                <w:color w:val="auto"/>
              </w:rPr>
              <w:t>6.1%</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$41,836</w:t>
            </w: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$44,140</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114"/>
        </w:trPr>
        <w:tc>
          <w:tcPr>
            <w:tcW w:w="37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1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$4,405</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$4,684</w:t>
            </w: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6.3%</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$17,205</w:t>
            </w: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$18,112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1760" w:type="dxa"/>
            <w:vAlign w:val="bottom"/>
          </w:tcPr>
          <w:p>
            <w:pPr>
              <w:jc w:val="right"/>
              <w:ind w:right="168"/>
              <w:spacing w:after="0"/>
              <w:rPr>
                <w:sz w:val="20"/>
                <w:szCs w:val="20"/>
                <w:color w:val="auto"/>
              </w:rPr>
            </w:pPr>
            <w:r>
              <w:rPr>
                <w:rFonts w:ascii="Arial" w:cs="Arial" w:eastAsia="Arial" w:hAnsi="Arial"/>
                <w:sz w:val="14"/>
                <w:szCs w:val="14"/>
                <w:i w:val="1"/>
                <w:iCs w:val="1"/>
                <w:color w:val="auto"/>
              </w:rPr>
              <w:t>41.3%</w:t>
            </w:r>
          </w:p>
        </w:tc>
        <w:tc>
          <w:tcPr>
            <w:tcW w:w="1060" w:type="dxa"/>
            <w:vAlign w:val="bottom"/>
          </w:tcPr>
          <w:p>
            <w:pPr>
              <w:jc w:val="right"/>
              <w:ind w:right="288"/>
              <w:spacing w:after="0"/>
              <w:rPr>
                <w:sz w:val="20"/>
                <w:szCs w:val="20"/>
                <w:color w:val="auto"/>
              </w:rPr>
            </w:pPr>
            <w:r>
              <w:rPr>
                <w:rFonts w:ascii="Arial" w:cs="Arial" w:eastAsia="Arial" w:hAnsi="Arial"/>
                <w:sz w:val="14"/>
                <w:szCs w:val="14"/>
                <w:i w:val="1"/>
                <w:iCs w:val="1"/>
                <w:color w:val="auto"/>
              </w:rPr>
              <w:t>41.4%</w:t>
            </w:r>
          </w:p>
        </w:tc>
        <w:tc>
          <w:tcPr>
            <w:tcW w:w="1280" w:type="dxa"/>
            <w:vAlign w:val="bottom"/>
          </w:tcPr>
          <w:p>
            <w:pPr>
              <w:spacing w:after="0"/>
              <w:rPr>
                <w:sz w:val="17"/>
                <w:szCs w:val="17"/>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i w:val="1"/>
                <w:iCs w:val="1"/>
                <w:color w:val="auto"/>
              </w:rPr>
              <w:t>41.1%</w:t>
            </w:r>
          </w:p>
        </w:tc>
        <w:tc>
          <w:tcPr>
            <w:tcW w:w="1100" w:type="dxa"/>
            <w:vAlign w:val="bottom"/>
          </w:tcPr>
          <w:p>
            <w:pPr>
              <w:jc w:val="right"/>
              <w:ind w:right="268"/>
              <w:spacing w:after="0"/>
              <w:rPr>
                <w:sz w:val="20"/>
                <w:szCs w:val="20"/>
                <w:color w:val="auto"/>
              </w:rPr>
            </w:pPr>
            <w:r>
              <w:rPr>
                <w:rFonts w:ascii="Arial" w:cs="Arial" w:eastAsia="Arial" w:hAnsi="Arial"/>
                <w:sz w:val="14"/>
                <w:szCs w:val="14"/>
                <w:i w:val="1"/>
                <w:iCs w:val="1"/>
                <w:color w:val="auto"/>
              </w:rPr>
              <w:t>41.0%</w:t>
            </w:r>
          </w:p>
        </w:tc>
        <w:tc>
          <w:tcPr>
            <w:tcW w:w="780" w:type="dxa"/>
            <w:vAlign w:val="bottom"/>
          </w:tcPr>
          <w:p>
            <w:pPr>
              <w:spacing w:after="0"/>
              <w:rPr>
                <w:sz w:val="17"/>
                <w:szCs w:val="17"/>
                <w:color w:val="auto"/>
              </w:rPr>
            </w:pPr>
          </w:p>
        </w:tc>
      </w:tr>
      <w:tr>
        <w:trPr>
          <w:trHeight w:val="235"/>
        </w:trPr>
        <w:tc>
          <w:tcPr>
            <w:tcW w:w="4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10"/>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$1,637</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$1,872</w:t>
            </w: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14.3%</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$5,403</w:t>
            </w: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$6,154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r>
      <w:tr>
        <w:trPr>
          <w:trHeight w:val="210"/>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15.4%</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i w:val="1"/>
                <w:iCs w:val="1"/>
                <w:color w:val="auto"/>
              </w:rPr>
              <w:t>16.5%</w:t>
            </w:r>
          </w:p>
        </w:tc>
        <w:tc>
          <w:tcPr>
            <w:tcW w:w="1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12.9%</w:t>
            </w: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13.9%</w:t>
            </w:r>
          </w:p>
        </w:tc>
        <w:tc>
          <w:tcPr>
            <w:tcW w:w="780" w:type="dxa"/>
            <w:vAlign w:val="bottom"/>
            <w:tcBorders>
              <w:bottom w:val="single" w:sz="8" w:color="auto"/>
            </w:tcBorders>
          </w:tcPr>
          <w:p>
            <w:pPr>
              <w:spacing w:after="0"/>
              <w:rPr>
                <w:sz w:val="18"/>
                <w:szCs w:val="18"/>
                <w:color w:val="auto"/>
              </w:rPr>
            </w:pPr>
          </w:p>
        </w:tc>
      </w:tr>
    </w:tbl>
    <w:p>
      <w:pPr>
        <w:spacing w:after="0" w:line="180"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6.1% to $11.3 billion in the fourth quarter of 2014 compared to $10.7 billion in the fourth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2013, driven by increases of 9.9% in high-speed Internet and 20.8% in business services. Advertising revenue increased 18.9%, reflecting higher political advertising in the fourth quarter of 2014. The increase in Cable revenue reflects increased customer relationships (see below), customers receiving higher levels of service, customers taking additional services, as well as rate adjustments.</w:t>
      </w:r>
    </w:p>
    <w:p>
      <w:pPr>
        <w:spacing w:after="0" w:line="183"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For the year ended December 31, 2014, Cable revenue increased 5.5% to $44.1 billion compared to $41.8 billion in 2013, driven by growth in high-speed Internet, business services and advertising.</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178,000 to 27.0 million during the fourth quarter of 2014, a 47% improvement compared to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121,000 in the fourth quarter of 2013. At the end of the fourth quarter, our triple product customers increased to 37% of our total customer relationships compared to 35% in the fourth quarter of 2013. In addition, video, high-speed Internet and voice customers increased in the fourth quarter of 2014.</w:t>
      </w:r>
    </w:p>
    <w:p>
      <w:pPr>
        <w:spacing w:after="0" w:line="183"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year ended December 31, 2014, customer relationships increased by 358,000, a 67% improvement compared to net additions of 215,000 in 2013. Video customer net losses improved year-over-year and were the best result in seven years. High-speed Internet customer net additions of 1.3 million marked the ninth consecutive year of more than one million net additions. Voice net additions slowed, reflecting X1 availability that was more focused on triple play customers last year, making for a difficult comparison.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ind w:left="380"/>
              <w:spacing w:after="0"/>
              <w:rPr>
                <w:sz w:val="20"/>
                <w:szCs w:val="20"/>
                <w:color w:val="auto"/>
              </w:rPr>
            </w:pPr>
            <w:r>
              <w:rPr>
                <w:rFonts w:ascii="Arial" w:cs="Arial" w:eastAsia="Arial" w:hAnsi="Arial"/>
                <w:sz w:val="14"/>
                <w:szCs w:val="14"/>
                <w:color w:val="auto"/>
              </w:rPr>
              <w:t>Net Additions</w:t>
            </w: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Billable Customers Method</w:t>
            </w:r>
            <w:r>
              <w:rPr>
                <w:rFonts w:ascii="Arial" w:cs="Arial" w:eastAsia="Arial" w:hAnsi="Arial"/>
                <w:sz w:val="14"/>
                <w:szCs w:val="14"/>
                <w:i w:val="1"/>
                <w:iCs w:val="1"/>
                <w:color w:val="auto"/>
                <w:vertAlign w:val="superscript"/>
              </w:rPr>
              <w:t>4</w:t>
            </w:r>
            <w:r>
              <w:rPr>
                <w:rFonts w:ascii="Arial" w:cs="Arial" w:eastAsia="Arial" w:hAnsi="Arial"/>
                <w:sz w:val="14"/>
                <w:szCs w:val="14"/>
                <w:i w:val="1"/>
                <w:iCs w:val="1"/>
                <w:color w:val="auto"/>
              </w:rPr>
              <w:t xml:space="preserve"> (in thousands)</w:t>
            </w:r>
          </w:p>
        </w:tc>
        <w:tc>
          <w:tcPr>
            <w:tcW w:w="2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YE13</w:t>
            </w:r>
          </w:p>
        </w:tc>
        <w:tc>
          <w:tcPr>
            <w:tcW w:w="11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YE14</w:t>
            </w: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4Q13</w:t>
            </w:r>
          </w:p>
        </w:tc>
        <w:tc>
          <w:tcPr>
            <w:tcW w:w="10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color w:val="auto"/>
              </w:rPr>
              <w:t>4Q14</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04"/>
        </w:trPr>
        <w:tc>
          <w:tcPr>
            <w:tcW w:w="4080" w:type="dxa"/>
            <w:vAlign w:val="bottom"/>
          </w:tcPr>
          <w:p>
            <w:pPr>
              <w:ind w:left="40"/>
              <w:spacing w:after="0"/>
              <w:rPr>
                <w:sz w:val="20"/>
                <w:szCs w:val="20"/>
                <w:color w:val="auto"/>
              </w:rPr>
            </w:pPr>
            <w:r>
              <w:rPr>
                <w:rFonts w:ascii="Arial" w:cs="Arial" w:eastAsia="Arial" w:hAnsi="Arial"/>
                <w:sz w:val="14"/>
                <w:szCs w:val="14"/>
                <w:color w:val="auto"/>
              </w:rPr>
              <w:t>Video Customers</w:t>
            </w:r>
          </w:p>
        </w:tc>
        <w:tc>
          <w:tcPr>
            <w:tcW w:w="2140" w:type="dxa"/>
            <w:vAlign w:val="bottom"/>
          </w:tcPr>
          <w:p>
            <w:pPr>
              <w:jc w:val="right"/>
              <w:ind w:right="308"/>
              <w:spacing w:after="0"/>
              <w:rPr>
                <w:sz w:val="20"/>
                <w:szCs w:val="20"/>
                <w:color w:val="auto"/>
              </w:rPr>
            </w:pPr>
            <w:r>
              <w:rPr>
                <w:rFonts w:ascii="Arial" w:cs="Arial" w:eastAsia="Arial" w:hAnsi="Arial"/>
                <w:sz w:val="14"/>
                <w:szCs w:val="14"/>
                <w:color w:val="auto"/>
              </w:rPr>
              <w:t>22,577</w:t>
            </w:r>
          </w:p>
        </w:tc>
        <w:tc>
          <w:tcPr>
            <w:tcW w:w="1160" w:type="dxa"/>
            <w:vAlign w:val="bottom"/>
          </w:tcPr>
          <w:p>
            <w:pPr>
              <w:jc w:val="right"/>
              <w:ind w:right="608"/>
              <w:spacing w:after="0"/>
              <w:rPr>
                <w:sz w:val="20"/>
                <w:szCs w:val="20"/>
                <w:color w:val="auto"/>
              </w:rPr>
            </w:pPr>
            <w:r>
              <w:rPr>
                <w:rFonts w:ascii="Arial" w:cs="Arial" w:eastAsia="Arial" w:hAnsi="Arial"/>
                <w:sz w:val="14"/>
                <w:szCs w:val="14"/>
                <w:color w:val="auto"/>
              </w:rPr>
              <w:t>22,383</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46</w:t>
            </w:r>
          </w:p>
        </w:tc>
        <w:tc>
          <w:tcPr>
            <w:tcW w:w="10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(267)</w:t>
            </w:r>
          </w:p>
        </w:tc>
        <w:tc>
          <w:tcPr>
            <w:tcW w:w="62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6"/>
        </w:trPr>
        <w:tc>
          <w:tcPr>
            <w:tcW w:w="40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40"/>
              <w:spacing w:after="0"/>
              <w:rPr>
                <w:sz w:val="20"/>
                <w:szCs w:val="20"/>
                <w:color w:val="auto"/>
              </w:rPr>
            </w:pPr>
            <w:r>
              <w:rPr>
                <w:rFonts w:ascii="Arial" w:cs="Arial" w:eastAsia="Arial" w:hAnsi="Arial"/>
                <w:sz w:val="14"/>
                <w:szCs w:val="14"/>
                <w:color w:val="auto"/>
              </w:rPr>
              <w:t>High-Speed Internet Customers</w:t>
            </w:r>
          </w:p>
        </w:tc>
        <w:tc>
          <w:tcPr>
            <w:tcW w:w="2140" w:type="dxa"/>
            <w:vAlign w:val="bottom"/>
          </w:tcPr>
          <w:p>
            <w:pPr>
              <w:jc w:val="right"/>
              <w:ind w:right="308"/>
              <w:spacing w:after="0"/>
              <w:rPr>
                <w:sz w:val="20"/>
                <w:szCs w:val="20"/>
                <w:color w:val="auto"/>
              </w:rPr>
            </w:pPr>
            <w:r>
              <w:rPr>
                <w:rFonts w:ascii="Arial" w:cs="Arial" w:eastAsia="Arial" w:hAnsi="Arial"/>
                <w:sz w:val="14"/>
                <w:szCs w:val="14"/>
                <w:color w:val="auto"/>
              </w:rPr>
              <w:t>20,685</w:t>
            </w:r>
          </w:p>
        </w:tc>
        <w:tc>
          <w:tcPr>
            <w:tcW w:w="1160" w:type="dxa"/>
            <w:vAlign w:val="bottom"/>
          </w:tcPr>
          <w:p>
            <w:pPr>
              <w:jc w:val="right"/>
              <w:ind w:right="608"/>
              <w:spacing w:after="0"/>
              <w:rPr>
                <w:sz w:val="20"/>
                <w:szCs w:val="20"/>
                <w:color w:val="auto"/>
              </w:rPr>
            </w:pPr>
            <w:r>
              <w:rPr>
                <w:rFonts w:ascii="Arial" w:cs="Arial" w:eastAsia="Arial" w:hAnsi="Arial"/>
                <w:sz w:val="14"/>
                <w:szCs w:val="14"/>
                <w:color w:val="auto"/>
              </w:rPr>
              <w:t>21,962</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379</w:t>
            </w:r>
          </w:p>
        </w:tc>
        <w:tc>
          <w:tcPr>
            <w:tcW w:w="10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375</w:t>
            </w:r>
          </w:p>
        </w:tc>
        <w:tc>
          <w:tcPr>
            <w:tcW w:w="3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1,296</w:t>
            </w:r>
          </w:p>
        </w:tc>
        <w:tc>
          <w:tcPr>
            <w:tcW w:w="620" w:type="dxa"/>
            <w:vAlign w:val="bottom"/>
          </w:tcPr>
          <w:p>
            <w:pPr>
              <w:jc w:val="right"/>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26"/>
        </w:trPr>
        <w:tc>
          <w:tcPr>
            <w:tcW w:w="40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40"/>
              <w:spacing w:after="0"/>
              <w:rPr>
                <w:sz w:val="20"/>
                <w:szCs w:val="20"/>
                <w:color w:val="auto"/>
              </w:rPr>
            </w:pPr>
            <w:r>
              <w:rPr>
                <w:rFonts w:ascii="Arial" w:cs="Arial" w:eastAsia="Arial" w:hAnsi="Arial"/>
                <w:sz w:val="14"/>
                <w:szCs w:val="14"/>
                <w:color w:val="auto"/>
              </w:rPr>
              <w:t>Voice Customers</w:t>
            </w:r>
          </w:p>
        </w:tc>
        <w:tc>
          <w:tcPr>
            <w:tcW w:w="2140" w:type="dxa"/>
            <w:vAlign w:val="bottom"/>
          </w:tcPr>
          <w:p>
            <w:pPr>
              <w:jc w:val="right"/>
              <w:ind w:right="308"/>
              <w:spacing w:after="0"/>
              <w:rPr>
                <w:sz w:val="20"/>
                <w:szCs w:val="20"/>
                <w:color w:val="auto"/>
              </w:rPr>
            </w:pPr>
            <w:r>
              <w:rPr>
                <w:rFonts w:ascii="Arial" w:cs="Arial" w:eastAsia="Arial" w:hAnsi="Arial"/>
                <w:sz w:val="14"/>
                <w:szCs w:val="14"/>
                <w:color w:val="auto"/>
              </w:rPr>
              <w:t>10,723</w:t>
            </w:r>
          </w:p>
        </w:tc>
        <w:tc>
          <w:tcPr>
            <w:tcW w:w="1160" w:type="dxa"/>
            <w:vAlign w:val="bottom"/>
          </w:tcPr>
          <w:p>
            <w:pPr>
              <w:jc w:val="right"/>
              <w:ind w:right="608"/>
              <w:spacing w:after="0"/>
              <w:rPr>
                <w:sz w:val="20"/>
                <w:szCs w:val="20"/>
                <w:color w:val="auto"/>
              </w:rPr>
            </w:pPr>
            <w:r>
              <w:rPr>
                <w:rFonts w:ascii="Arial" w:cs="Arial" w:eastAsia="Arial" w:hAnsi="Arial"/>
                <w:sz w:val="14"/>
                <w:szCs w:val="14"/>
                <w:color w:val="auto"/>
              </w:rPr>
              <w:t>11,193</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227</w:t>
            </w:r>
          </w:p>
        </w:tc>
        <w:tc>
          <w:tcPr>
            <w:tcW w:w="10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123</w:t>
            </w:r>
          </w:p>
        </w:tc>
        <w:tc>
          <w:tcPr>
            <w:tcW w:w="3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768</w:t>
            </w:r>
          </w:p>
        </w:tc>
        <w:tc>
          <w:tcPr>
            <w:tcW w:w="62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33"/>
        </w:trPr>
        <w:tc>
          <w:tcPr>
            <w:tcW w:w="40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080" w:type="dxa"/>
            <w:vAlign w:val="bottom"/>
          </w:tcPr>
          <w:p>
            <w:pPr>
              <w:ind w:left="40"/>
              <w:spacing w:after="0"/>
              <w:rPr>
                <w:sz w:val="20"/>
                <w:szCs w:val="20"/>
                <w:color w:val="auto"/>
              </w:rPr>
            </w:pPr>
            <w:r>
              <w:rPr>
                <w:rFonts w:ascii="Arial" w:cs="Arial" w:eastAsia="Arial" w:hAnsi="Arial"/>
                <w:sz w:val="14"/>
                <w:szCs w:val="14"/>
                <w:color w:val="auto"/>
              </w:rPr>
              <w:t>Single Product Customers</w:t>
            </w:r>
          </w:p>
        </w:tc>
        <w:tc>
          <w:tcPr>
            <w:tcW w:w="2140" w:type="dxa"/>
            <w:vAlign w:val="bottom"/>
          </w:tcPr>
          <w:p>
            <w:pPr>
              <w:jc w:val="right"/>
              <w:ind w:right="308"/>
              <w:spacing w:after="0"/>
              <w:rPr>
                <w:sz w:val="20"/>
                <w:szCs w:val="20"/>
                <w:color w:val="auto"/>
              </w:rPr>
            </w:pPr>
            <w:r>
              <w:rPr>
                <w:rFonts w:ascii="Arial" w:cs="Arial" w:eastAsia="Arial" w:hAnsi="Arial"/>
                <w:sz w:val="14"/>
                <w:szCs w:val="14"/>
                <w:color w:val="auto"/>
              </w:rPr>
              <w:t>8,752</w:t>
            </w:r>
          </w:p>
        </w:tc>
        <w:tc>
          <w:tcPr>
            <w:tcW w:w="1160" w:type="dxa"/>
            <w:vAlign w:val="bottom"/>
          </w:tcPr>
          <w:p>
            <w:pPr>
              <w:jc w:val="right"/>
              <w:ind w:right="608"/>
              <w:spacing w:after="0"/>
              <w:rPr>
                <w:sz w:val="20"/>
                <w:szCs w:val="20"/>
                <w:color w:val="auto"/>
              </w:rPr>
            </w:pPr>
            <w:r>
              <w:rPr>
                <w:rFonts w:ascii="Arial" w:cs="Arial" w:eastAsia="Arial" w:hAnsi="Arial"/>
                <w:sz w:val="14"/>
                <w:szCs w:val="14"/>
                <w:color w:val="auto"/>
              </w:rPr>
              <w:t>8,409</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(168)</w:t>
            </w:r>
          </w:p>
        </w:tc>
        <w:tc>
          <w:tcPr>
            <w:tcW w:w="10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(593)</w:t>
            </w:r>
          </w:p>
        </w:tc>
        <w:tc>
          <w:tcPr>
            <w:tcW w:w="62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6"/>
        </w:trPr>
        <w:tc>
          <w:tcPr>
            <w:tcW w:w="40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40"/>
              <w:spacing w:after="0"/>
              <w:rPr>
                <w:sz w:val="20"/>
                <w:szCs w:val="20"/>
                <w:color w:val="auto"/>
              </w:rPr>
            </w:pPr>
            <w:r>
              <w:rPr>
                <w:rFonts w:ascii="Arial" w:cs="Arial" w:eastAsia="Arial" w:hAnsi="Arial"/>
                <w:sz w:val="14"/>
                <w:szCs w:val="14"/>
                <w:color w:val="auto"/>
              </w:rPr>
              <w:t>Double Product Customers</w:t>
            </w:r>
          </w:p>
        </w:tc>
        <w:tc>
          <w:tcPr>
            <w:tcW w:w="2140" w:type="dxa"/>
            <w:vAlign w:val="bottom"/>
          </w:tcPr>
          <w:p>
            <w:pPr>
              <w:jc w:val="right"/>
              <w:ind w:right="308"/>
              <w:spacing w:after="0"/>
              <w:rPr>
                <w:sz w:val="20"/>
                <w:szCs w:val="20"/>
                <w:color w:val="auto"/>
              </w:rPr>
            </w:pPr>
            <w:r>
              <w:rPr>
                <w:rFonts w:ascii="Arial" w:cs="Arial" w:eastAsia="Arial" w:hAnsi="Arial"/>
                <w:sz w:val="14"/>
                <w:szCs w:val="14"/>
                <w:color w:val="auto"/>
              </w:rPr>
              <w:t>8,541</w:t>
            </w:r>
          </w:p>
        </w:tc>
        <w:tc>
          <w:tcPr>
            <w:tcW w:w="1160" w:type="dxa"/>
            <w:vAlign w:val="bottom"/>
          </w:tcPr>
          <w:p>
            <w:pPr>
              <w:jc w:val="right"/>
              <w:ind w:right="608"/>
              <w:spacing w:after="0"/>
              <w:rPr>
                <w:sz w:val="20"/>
                <w:szCs w:val="20"/>
                <w:color w:val="auto"/>
              </w:rPr>
            </w:pPr>
            <w:r>
              <w:rPr>
                <w:rFonts w:ascii="Arial" w:cs="Arial" w:eastAsia="Arial" w:hAnsi="Arial"/>
                <w:sz w:val="14"/>
                <w:szCs w:val="14"/>
                <w:color w:val="auto"/>
              </w:rPr>
              <w:t>8,750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50</w:t>
            </w:r>
          </w:p>
        </w:tc>
        <w:tc>
          <w:tcPr>
            <w:tcW w:w="10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100</w:t>
            </w:r>
          </w:p>
        </w:tc>
        <w:tc>
          <w:tcPr>
            <w:tcW w:w="3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34</w:t>
            </w:r>
          </w:p>
        </w:tc>
        <w:tc>
          <w:tcPr>
            <w:tcW w:w="620" w:type="dxa"/>
            <w:vAlign w:val="bottom"/>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6"/>
        </w:trPr>
        <w:tc>
          <w:tcPr>
            <w:tcW w:w="40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40"/>
              <w:spacing w:after="0"/>
              <w:rPr>
                <w:sz w:val="20"/>
                <w:szCs w:val="20"/>
                <w:color w:val="auto"/>
              </w:rPr>
            </w:pPr>
            <w:r>
              <w:rPr>
                <w:rFonts w:ascii="Arial" w:cs="Arial" w:eastAsia="Arial" w:hAnsi="Arial"/>
                <w:sz w:val="14"/>
                <w:szCs w:val="14"/>
                <w:color w:val="auto"/>
              </w:rPr>
              <w:t>Triple Product Customers</w:t>
            </w:r>
          </w:p>
        </w:tc>
        <w:tc>
          <w:tcPr>
            <w:tcW w:w="2140" w:type="dxa"/>
            <w:vAlign w:val="bottom"/>
          </w:tcPr>
          <w:p>
            <w:pPr>
              <w:jc w:val="right"/>
              <w:ind w:right="308"/>
              <w:spacing w:after="0"/>
              <w:rPr>
                <w:sz w:val="20"/>
                <w:szCs w:val="20"/>
                <w:color w:val="auto"/>
              </w:rPr>
            </w:pPr>
            <w:r>
              <w:rPr>
                <w:rFonts w:ascii="Arial" w:cs="Arial" w:eastAsia="Arial" w:hAnsi="Arial"/>
                <w:sz w:val="14"/>
                <w:szCs w:val="14"/>
                <w:color w:val="auto"/>
              </w:rPr>
              <w:t>9,384</w:t>
            </w:r>
          </w:p>
        </w:tc>
        <w:tc>
          <w:tcPr>
            <w:tcW w:w="1160" w:type="dxa"/>
            <w:vAlign w:val="bottom"/>
          </w:tcPr>
          <w:p>
            <w:pPr>
              <w:jc w:val="right"/>
              <w:ind w:right="608"/>
              <w:spacing w:after="0"/>
              <w:rPr>
                <w:sz w:val="20"/>
                <w:szCs w:val="20"/>
                <w:color w:val="auto"/>
              </w:rPr>
            </w:pPr>
            <w:r>
              <w:rPr>
                <w:rFonts w:ascii="Arial" w:cs="Arial" w:eastAsia="Arial" w:hAnsi="Arial"/>
                <w:sz w:val="14"/>
                <w:szCs w:val="14"/>
                <w:color w:val="auto"/>
              </w:rPr>
              <w:t>9,876</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240</w:t>
            </w:r>
          </w:p>
        </w:tc>
        <w:tc>
          <w:tcPr>
            <w:tcW w:w="10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114</w:t>
            </w:r>
          </w:p>
        </w:tc>
        <w:tc>
          <w:tcPr>
            <w:tcW w:w="3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774</w:t>
            </w:r>
          </w:p>
        </w:tc>
        <w:tc>
          <w:tcPr>
            <w:tcW w:w="620" w:type="dxa"/>
            <w:vAlign w:val="bottom"/>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33"/>
        </w:trPr>
        <w:tc>
          <w:tcPr>
            <w:tcW w:w="40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140" w:type="dxa"/>
            <w:vAlign w:val="bottom"/>
          </w:tcPr>
          <w:p>
            <w:pPr>
              <w:jc w:val="right"/>
              <w:ind w:right="308"/>
              <w:spacing w:after="0"/>
              <w:rPr>
                <w:sz w:val="20"/>
                <w:szCs w:val="20"/>
                <w:color w:val="auto"/>
              </w:rPr>
            </w:pPr>
            <w:r>
              <w:rPr>
                <w:rFonts w:ascii="Arial" w:cs="Arial" w:eastAsia="Arial" w:hAnsi="Arial"/>
                <w:sz w:val="14"/>
                <w:szCs w:val="14"/>
                <w:b w:val="1"/>
                <w:bCs w:val="1"/>
                <w:color w:val="auto"/>
              </w:rPr>
              <w:t>26,677</w:t>
            </w:r>
          </w:p>
        </w:tc>
        <w:tc>
          <w:tcPr>
            <w:tcW w:w="1160" w:type="dxa"/>
            <w:vAlign w:val="bottom"/>
          </w:tcPr>
          <w:p>
            <w:pPr>
              <w:jc w:val="right"/>
              <w:ind w:right="608"/>
              <w:spacing w:after="0"/>
              <w:rPr>
                <w:sz w:val="20"/>
                <w:szCs w:val="20"/>
                <w:color w:val="auto"/>
              </w:rPr>
            </w:pPr>
            <w:r>
              <w:rPr>
                <w:rFonts w:ascii="Arial" w:cs="Arial" w:eastAsia="Arial" w:hAnsi="Arial"/>
                <w:sz w:val="14"/>
                <w:szCs w:val="14"/>
                <w:b w:val="1"/>
                <w:bCs w:val="1"/>
                <w:color w:val="auto"/>
              </w:rPr>
              <w:t>27,035</w:t>
            </w: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121</w:t>
            </w:r>
          </w:p>
        </w:tc>
        <w:tc>
          <w:tcPr>
            <w:tcW w:w="106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178</w:t>
            </w:r>
          </w:p>
        </w:tc>
        <w:tc>
          <w:tcPr>
            <w:tcW w:w="32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215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0" w:type="dxa"/>
            <w:vAlign w:val="bottom"/>
          </w:tcPr>
          <w:p>
            <w:pPr>
              <w:spacing w:after="0"/>
              <w:rPr>
                <w:sz w:val="1"/>
                <w:szCs w:val="1"/>
                <w:color w:val="auto"/>
              </w:rPr>
            </w:pPr>
          </w:p>
        </w:tc>
      </w:tr>
      <w:tr>
        <w:trPr>
          <w:trHeight w:val="66"/>
        </w:trPr>
        <w:tc>
          <w:tcPr>
            <w:tcW w:w="40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6.3% to $4.7 billion in the fourth quarter of 2014 compared to $ 4.4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fourth quarter of 2013, reflecting higher revenue, partially offset by a 6.0% increase in operating expenses primarily related to higher video programming costs. This quarter’s operating cash flow margin was 41.4% compared to 41.3% in the fourth quarter of 2013.</w:t>
      </w:r>
    </w:p>
    <w:p>
      <w:pPr>
        <w:spacing w:after="0" w:line="178"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year ended December 31, 2014, Cable operating cash flow increased 5.3% to $18.1 billion compared to $17.2 billion in 2013, driven by higher revenue, partially offset by a 5.7% increase in operating expenses primarily related to a 7.8% increase in video programming costs. For the year, operating cash flow margin was 41.0% compared to 41.1% in the prior year.</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4th Quarter</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Full Year</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30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2013</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color w:val="auto"/>
              </w:rPr>
              <w:t>Growth</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auto"/>
              </w:rPr>
              <w:t>2013</w:t>
            </w:r>
          </w:p>
        </w:tc>
        <w:tc>
          <w:tcPr>
            <w:tcW w:w="1280" w:type="dxa"/>
            <w:vAlign w:val="bottom"/>
            <w:vMerge w:val="restart"/>
          </w:tcPr>
          <w:p>
            <w:pPr>
              <w:jc w:val="right"/>
              <w:ind w:right="448"/>
              <w:spacing w:after="0"/>
              <w:rPr>
                <w:sz w:val="20"/>
                <w:szCs w:val="20"/>
                <w:color w:val="auto"/>
              </w:rPr>
            </w:pPr>
            <w:r>
              <w:rPr>
                <w:rFonts w:ascii="Arial" w:cs="Arial" w:eastAsia="Arial" w:hAnsi="Arial"/>
                <w:sz w:val="14"/>
                <w:szCs w:val="14"/>
                <w:color w:val="auto"/>
              </w:rPr>
              <w:t>2014</w:t>
            </w: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color w:val="auto"/>
              </w:rPr>
              <w:t>Growth</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Excluding</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3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 in millions)</w:t>
            </w:r>
          </w:p>
        </w:tc>
        <w:tc>
          <w:tcPr>
            <w:tcW w:w="13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Olympics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3300" w:type="dxa"/>
            <w:vAlign w:val="bottom"/>
            <w:tcBorders>
              <w:bottom w:val="single" w:sz="8" w:color="auto"/>
            </w:tcBorders>
            <w:vMerge w:val="continue"/>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1300" w:type="dxa"/>
            <w:vAlign w:val="bottom"/>
          </w:tcPr>
          <w:p>
            <w:pPr>
              <w:jc w:val="right"/>
              <w:spacing w:after="0"/>
              <w:rPr>
                <w:sz w:val="20"/>
                <w:szCs w:val="20"/>
                <w:color w:val="auto"/>
              </w:rPr>
            </w:pPr>
            <w:r>
              <w:rPr>
                <w:rFonts w:ascii="Arial" w:cs="Arial" w:eastAsia="Arial" w:hAnsi="Arial"/>
                <w:sz w:val="14"/>
                <w:szCs w:val="14"/>
                <w:color w:val="auto"/>
              </w:rPr>
              <w:t>$2,324</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$2,327</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0.1%</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$9,201</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$9,563</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3.9%</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300" w:type="dxa"/>
            <w:vAlign w:val="bottom"/>
          </w:tcPr>
          <w:p>
            <w:pPr>
              <w:jc w:val="right"/>
              <w:spacing w:after="0"/>
              <w:rPr>
                <w:sz w:val="20"/>
                <w:szCs w:val="20"/>
                <w:color w:val="auto"/>
              </w:rPr>
            </w:pPr>
            <w:r>
              <w:rPr>
                <w:rFonts w:ascii="Arial" w:cs="Arial" w:eastAsia="Arial" w:hAnsi="Arial"/>
                <w:sz w:val="14"/>
                <w:szCs w:val="14"/>
                <w:color w:val="auto"/>
              </w:rPr>
              <w:t>2,227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2,335</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4.8%</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7,120</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8,542</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20.0%</w:t>
            </w:r>
          </w:p>
        </w:tc>
        <w:tc>
          <w:tcPr>
            <w:tcW w:w="980" w:type="dxa"/>
            <w:vAlign w:val="bottom"/>
          </w:tcPr>
          <w:p>
            <w:pPr>
              <w:jc w:val="right"/>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Filmed Entertainment</w:t>
            </w:r>
          </w:p>
        </w:tc>
        <w:tc>
          <w:tcPr>
            <w:tcW w:w="1300" w:type="dxa"/>
            <w:vAlign w:val="bottom"/>
          </w:tcPr>
          <w:p>
            <w:pPr>
              <w:jc w:val="right"/>
              <w:spacing w:after="0"/>
              <w:rPr>
                <w:sz w:val="20"/>
                <w:szCs w:val="20"/>
                <w:color w:val="auto"/>
              </w:rPr>
            </w:pPr>
            <w:r>
              <w:rPr>
                <w:rFonts w:ascii="Arial" w:cs="Arial" w:eastAsia="Arial" w:hAnsi="Arial"/>
                <w:sz w:val="14"/>
                <w:szCs w:val="14"/>
                <w:color w:val="auto"/>
              </w:rPr>
              <w:t>1,448</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1,295</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(10.6%)</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5,452</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5,008</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(8.2%)</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Theme Parks</w:t>
            </w:r>
          </w:p>
        </w:tc>
        <w:tc>
          <w:tcPr>
            <w:tcW w:w="1300" w:type="dxa"/>
            <w:vAlign w:val="bottom"/>
          </w:tcPr>
          <w:p>
            <w:pPr>
              <w:jc w:val="right"/>
              <w:spacing w:after="0"/>
              <w:rPr>
                <w:sz w:val="20"/>
                <w:szCs w:val="20"/>
                <w:color w:val="auto"/>
              </w:rPr>
            </w:pPr>
            <w:r>
              <w:rPr>
                <w:rFonts w:ascii="Arial" w:cs="Arial" w:eastAsia="Arial" w:hAnsi="Arial"/>
                <w:sz w:val="14"/>
                <w:szCs w:val="14"/>
                <w:color w:val="auto"/>
              </w:rPr>
              <w:t>566</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735</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29.9%</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2,235</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2,623</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17.3%</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Headquarters, Other and Eliminations</w:t>
            </w:r>
          </w:p>
        </w:tc>
        <w:tc>
          <w:tcPr>
            <w:tcW w:w="1300" w:type="dxa"/>
            <w:vAlign w:val="bottom"/>
          </w:tcPr>
          <w:p>
            <w:pPr>
              <w:jc w:val="right"/>
              <w:spacing w:after="0"/>
              <w:rPr>
                <w:sz w:val="20"/>
                <w:szCs w:val="20"/>
                <w:color w:val="auto"/>
              </w:rPr>
            </w:pPr>
            <w:r>
              <w:rPr>
                <w:rFonts w:ascii="Arial" w:cs="Arial" w:eastAsia="Arial" w:hAnsi="Arial"/>
                <w:sz w:val="14"/>
                <w:szCs w:val="14"/>
                <w:color w:val="auto"/>
              </w:rPr>
              <w:t>(101)</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(358)</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(308)</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NM</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$6,464</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$6,615</w:t>
            </w: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2.3%</w:t>
            </w: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$23,650</w:t>
            </w:r>
          </w:p>
        </w:tc>
        <w:tc>
          <w:tcPr>
            <w:tcW w:w="1280" w:type="dxa"/>
            <w:vAlign w:val="bottom"/>
          </w:tcPr>
          <w:p>
            <w:pPr>
              <w:jc w:val="right"/>
              <w:ind w:right="448"/>
              <w:spacing w:after="0"/>
              <w:rPr>
                <w:sz w:val="20"/>
                <w:szCs w:val="20"/>
                <w:color w:val="auto"/>
              </w:rPr>
            </w:pPr>
            <w:r>
              <w:rPr>
                <w:rFonts w:ascii="Arial" w:cs="Arial" w:eastAsia="Arial" w:hAnsi="Arial"/>
                <w:sz w:val="14"/>
                <w:szCs w:val="14"/>
                <w:b w:val="1"/>
                <w:bCs w:val="1"/>
                <w:color w:val="auto"/>
              </w:rPr>
              <w:t>$25,428</w:t>
            </w: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rPr>
              <w:t>7.5%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1300" w:type="dxa"/>
            <w:vAlign w:val="bottom"/>
          </w:tcPr>
          <w:p>
            <w:pPr>
              <w:jc w:val="right"/>
              <w:spacing w:after="0"/>
              <w:rPr>
                <w:sz w:val="20"/>
                <w:szCs w:val="20"/>
                <w:color w:val="auto"/>
              </w:rPr>
            </w:pPr>
            <w:r>
              <w:rPr>
                <w:rFonts w:ascii="Arial" w:cs="Arial" w:eastAsia="Arial" w:hAnsi="Arial"/>
                <w:sz w:val="14"/>
                <w:szCs w:val="14"/>
                <w:color w:val="auto"/>
              </w:rPr>
              <w:t>$929</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$912</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(1.8%)</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$3,501</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$3,589</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2.5%</w:t>
            </w: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1300" w:type="dxa"/>
            <w:vAlign w:val="bottom"/>
          </w:tcPr>
          <w:p>
            <w:pPr>
              <w:jc w:val="right"/>
              <w:spacing w:after="0"/>
              <w:rPr>
                <w:sz w:val="20"/>
                <w:szCs w:val="20"/>
                <w:color w:val="auto"/>
              </w:rPr>
            </w:pPr>
            <w:r>
              <w:rPr>
                <w:rFonts w:ascii="Arial" w:cs="Arial" w:eastAsia="Arial" w:hAnsi="Arial"/>
                <w:sz w:val="14"/>
                <w:szCs w:val="14"/>
                <w:color w:val="auto"/>
              </w:rPr>
              <w:t>140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64.0%</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345</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734</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112.5%</w:t>
            </w:r>
          </w:p>
        </w:tc>
        <w:tc>
          <w:tcPr>
            <w:tcW w:w="980" w:type="dxa"/>
            <w:vAlign w:val="bottom"/>
          </w:tcPr>
          <w:p>
            <w:pPr>
              <w:jc w:val="right"/>
              <w:spacing w:after="0"/>
              <w:rPr>
                <w:sz w:val="20"/>
                <w:szCs w:val="20"/>
                <w:color w:val="auto"/>
              </w:rPr>
            </w:pPr>
            <w:r>
              <w:rPr>
                <w:rFonts w:ascii="Arial" w:cs="Arial" w:eastAsia="Arial" w:hAnsi="Arial"/>
                <w:sz w:val="14"/>
                <w:szCs w:val="14"/>
                <w:color w:val="auto"/>
              </w:rPr>
              <w:t>78.6%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Filmed Entertainment</w:t>
            </w:r>
          </w:p>
        </w:tc>
        <w:tc>
          <w:tcPr>
            <w:tcW w:w="1300" w:type="dxa"/>
            <w:vAlign w:val="bottom"/>
          </w:tcPr>
          <w:p>
            <w:pPr>
              <w:jc w:val="right"/>
              <w:spacing w:after="0"/>
              <w:rPr>
                <w:sz w:val="20"/>
                <w:szCs w:val="20"/>
                <w:color w:val="auto"/>
              </w:rPr>
            </w:pPr>
            <w:r>
              <w:rPr>
                <w:rFonts w:ascii="Arial" w:cs="Arial" w:eastAsia="Arial" w:hAnsi="Arial"/>
                <w:sz w:val="14"/>
                <w:szCs w:val="14"/>
                <w:color w:val="auto"/>
              </w:rPr>
              <w:t>192</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(59.6%)</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483</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711</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47.3%</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Theme Parks</w:t>
            </w:r>
          </w:p>
        </w:tc>
        <w:tc>
          <w:tcPr>
            <w:tcW w:w="1300" w:type="dxa"/>
            <w:vAlign w:val="bottom"/>
          </w:tcPr>
          <w:p>
            <w:pPr>
              <w:jc w:val="right"/>
              <w:spacing w:after="0"/>
              <w:rPr>
                <w:sz w:val="20"/>
                <w:szCs w:val="20"/>
                <w:color w:val="auto"/>
              </w:rPr>
            </w:pPr>
            <w:r>
              <w:rPr>
                <w:rFonts w:ascii="Arial" w:cs="Arial" w:eastAsia="Arial" w:hAnsi="Arial"/>
                <w:sz w:val="14"/>
                <w:szCs w:val="14"/>
                <w:color w:val="auto"/>
              </w:rPr>
              <w:t>257</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352</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37.6%</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1,004</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1,168</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16.4%</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300" w:type="dxa"/>
            <w:vAlign w:val="bottom"/>
          </w:tcPr>
          <w:p>
            <w:pPr>
              <w:ind w:left="40"/>
              <w:spacing w:after="0"/>
              <w:rPr>
                <w:sz w:val="20"/>
                <w:szCs w:val="20"/>
                <w:color w:val="auto"/>
              </w:rPr>
            </w:pPr>
            <w:r>
              <w:rPr>
                <w:rFonts w:ascii="Arial" w:cs="Arial" w:eastAsia="Arial" w:hAnsi="Arial"/>
                <w:sz w:val="14"/>
                <w:szCs w:val="14"/>
                <w:color w:val="auto"/>
              </w:rPr>
              <w:t>Headquarters, Other and Eliminations</w:t>
            </w:r>
          </w:p>
        </w:tc>
        <w:tc>
          <w:tcPr>
            <w:tcW w:w="1300" w:type="dxa"/>
            <w:vAlign w:val="bottom"/>
          </w:tcPr>
          <w:p>
            <w:pPr>
              <w:jc w:val="right"/>
              <w:spacing w:after="0"/>
              <w:rPr>
                <w:sz w:val="20"/>
                <w:szCs w:val="20"/>
                <w:color w:val="auto"/>
              </w:rPr>
            </w:pPr>
            <w:r>
              <w:rPr>
                <w:rFonts w:ascii="Arial" w:cs="Arial" w:eastAsia="Arial" w:hAnsi="Arial"/>
                <w:sz w:val="14"/>
                <w:szCs w:val="14"/>
                <w:color w:val="auto"/>
              </w:rPr>
              <w:t>(180)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NM</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(601)</w:t>
            </w:r>
          </w:p>
        </w:tc>
        <w:tc>
          <w:tcPr>
            <w:tcW w:w="1280" w:type="dxa"/>
            <w:vAlign w:val="bottom"/>
          </w:tcPr>
          <w:p>
            <w:pPr>
              <w:jc w:val="right"/>
              <w:ind w:right="448"/>
              <w:spacing w:after="0"/>
              <w:rPr>
                <w:sz w:val="20"/>
                <w:szCs w:val="20"/>
                <w:color w:val="auto"/>
              </w:rPr>
            </w:pPr>
            <w:r>
              <w:rPr>
                <w:rFonts w:ascii="Arial" w:cs="Arial" w:eastAsia="Arial" w:hAnsi="Arial"/>
                <w:sz w:val="14"/>
                <w:szCs w:val="14"/>
                <w:color w:val="auto"/>
              </w:rPr>
              <w:t>(614)</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NM</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NBCUniversal Operating Cash Flow</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$1,338</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$1,427</w:t>
            </w: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6.6%</w:t>
            </w: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$4,732</w:t>
            </w:r>
          </w:p>
        </w:tc>
        <w:tc>
          <w:tcPr>
            <w:tcW w:w="1280" w:type="dxa"/>
            <w:vAlign w:val="bottom"/>
          </w:tcPr>
          <w:p>
            <w:pPr>
              <w:jc w:val="right"/>
              <w:ind w:right="448"/>
              <w:spacing w:after="0"/>
              <w:rPr>
                <w:sz w:val="20"/>
                <w:szCs w:val="20"/>
                <w:color w:val="auto"/>
              </w:rPr>
            </w:pPr>
            <w:r>
              <w:rPr>
                <w:rFonts w:ascii="Arial" w:cs="Arial" w:eastAsia="Arial" w:hAnsi="Arial"/>
                <w:sz w:val="14"/>
                <w:szCs w:val="14"/>
                <w:b w:val="1"/>
                <w:bCs w:val="1"/>
                <w:color w:val="auto"/>
              </w:rPr>
              <w:t>$5,588</w:t>
            </w: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rPr>
              <w:t>18.1%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tcPr>
          <w:p>
            <w:pPr>
              <w:jc w:val="right"/>
              <w:ind w:right="1228"/>
              <w:spacing w:after="0"/>
              <w:rPr>
                <w:sz w:val="20"/>
                <w:szCs w:val="20"/>
                <w:color w:val="auto"/>
              </w:rPr>
            </w:pPr>
            <w:r>
              <w:rPr>
                <w:rFonts w:ascii="Arial" w:cs="Arial" w:eastAsia="Arial" w:hAnsi="Arial"/>
                <w:sz w:val="14"/>
                <w:szCs w:val="14"/>
                <w:color w:val="auto"/>
              </w:rPr>
              <w:t>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00" w:type="dxa"/>
            <w:vAlign w:val="bottom"/>
            <w:tcBorders>
              <w:bottom w:val="single" w:sz="8" w:color="010101"/>
            </w:tcBorders>
          </w:tcPr>
          <w:p>
            <w:pPr>
              <w:spacing w:after="0"/>
              <w:rPr>
                <w:sz w:val="10"/>
                <w:szCs w:val="10"/>
                <w:color w:val="auto"/>
              </w:rPr>
            </w:pPr>
          </w:p>
        </w:tc>
        <w:tc>
          <w:tcPr>
            <w:tcW w:w="1300" w:type="dxa"/>
            <w:vAlign w:val="bottom"/>
            <w:tcBorders>
              <w:bottom w:val="single" w:sz="8" w:color="010101"/>
            </w:tcBorders>
          </w:tcPr>
          <w:p>
            <w:pPr>
              <w:spacing w:after="0"/>
              <w:rPr>
                <w:sz w:val="10"/>
                <w:szCs w:val="10"/>
                <w:color w:val="auto"/>
              </w:rPr>
            </w:pPr>
          </w:p>
        </w:tc>
        <w:tc>
          <w:tcPr>
            <w:tcW w:w="980" w:type="dxa"/>
            <w:vAlign w:val="bottom"/>
            <w:tcBorders>
              <w:bottom w:val="single" w:sz="8" w:color="010101"/>
            </w:tcBorders>
          </w:tcPr>
          <w:p>
            <w:pPr>
              <w:spacing w:after="0"/>
              <w:rPr>
                <w:sz w:val="10"/>
                <w:szCs w:val="10"/>
                <w:color w:val="auto"/>
              </w:rPr>
            </w:pPr>
          </w:p>
        </w:tc>
        <w:tc>
          <w:tcPr>
            <w:tcW w:w="1480" w:type="dxa"/>
            <w:vAlign w:val="bottom"/>
            <w:tcBorders>
              <w:bottom w:val="single" w:sz="8" w:color="010101"/>
            </w:tcBorders>
          </w:tcPr>
          <w:p>
            <w:pPr>
              <w:spacing w:after="0"/>
              <w:rPr>
                <w:sz w:val="10"/>
                <w:szCs w:val="10"/>
                <w:color w:val="auto"/>
              </w:rPr>
            </w:pPr>
          </w:p>
        </w:tc>
        <w:tc>
          <w:tcPr>
            <w:tcW w:w="1260" w:type="dxa"/>
            <w:vAlign w:val="bottom"/>
            <w:tcBorders>
              <w:bottom w:val="single" w:sz="8" w:color="010101"/>
            </w:tcBorders>
          </w:tcPr>
          <w:p>
            <w:pPr>
              <w:spacing w:after="0"/>
              <w:rPr>
                <w:sz w:val="10"/>
                <w:szCs w:val="10"/>
                <w:color w:val="auto"/>
              </w:rPr>
            </w:pPr>
          </w:p>
        </w:tc>
        <w:tc>
          <w:tcPr>
            <w:tcW w:w="1280" w:type="dxa"/>
            <w:vAlign w:val="bottom"/>
            <w:tcBorders>
              <w:bottom w:val="single" w:sz="8" w:color="010101"/>
            </w:tcBorders>
          </w:tcPr>
          <w:p>
            <w:pPr>
              <w:spacing w:after="0"/>
              <w:rPr>
                <w:sz w:val="10"/>
                <w:szCs w:val="10"/>
                <w:color w:val="auto"/>
              </w:rPr>
            </w:pPr>
          </w:p>
        </w:tc>
        <w:tc>
          <w:tcPr>
            <w:tcW w:w="840" w:type="dxa"/>
            <w:vAlign w:val="bottom"/>
            <w:tcBorders>
              <w:bottom w:val="single" w:sz="8" w:color="010101"/>
            </w:tcBorders>
          </w:tcPr>
          <w:p>
            <w:pPr>
              <w:spacing w:after="0"/>
              <w:rPr>
                <w:sz w:val="10"/>
                <w:szCs w:val="10"/>
                <w:color w:val="auto"/>
              </w:rPr>
            </w:pPr>
          </w:p>
        </w:tc>
        <w:tc>
          <w:tcPr>
            <w:tcW w:w="98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53" w:right="199" w:bottom="424"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2.3% to $6.6 billion in the fourth quarter of 2014 compared to $6.5 billion in the fourth quarter of 2013,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revenue growth in Theme Parks and Broadcast Television was partially offset by lower Filmed Entertainment revenue driven by a year-over-year decline in home entertainment revenue.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6.6% to $1.4 billion compared to $1.3 billion in the fourth quarter of 2013, driven by strong results at Theme Parks and Broadcast Television.</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2014, NBCUniversal revenue increased 7.5% to $25.4 billion compared to $23.7 billion in 2013. Excluding $1.1 billion of revenue generated by the Sochi Olympics in the first quarter of 2014, revenue increased 2.9%. Operating cash flow increased 18.1% to $5.6 billion compared to $4.7 billion in 2013. Excluding $130 million of operating cash flow generated by the Olympics, operating cash flow increased 15.3%, reflecting solid results at each business segment (see Table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fourth quarter of 2014, revenue from the Cable Networks segment was stable at $2.3 billion and operating cash flow decreased 1.8% to $912 million compared to the fourth quarter of 2013. These results reflect a 5.6% decline in advertising revenue along with a slight increase in operating costs driven by investment in programming, which more than offset a 4.6% increase in distribution revenue.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2014, revenue from the Cable Networks segment increased 3.9% to $9.6 billion compared to $ 9.2 billion in 2013. Excluding $257 million of revenue generated by the 2014 Sochi Olympics, revenue increased 1.1%, reflecting a 4.6% increase in distribution revenue, partially offset by a 3.5% decrease in advertising revenue. Operating cash flow increased 2.5% to $3.6 billion compared to $3.5 billion in 2013. Excluding the Olympics, operating cash flow increased 2.2%, reflecting higher revenue and flat operating costs, even as we continue to invest in programming (see Table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fourth quarter of 2014, revenue from the Broadcast Television segment increased 4.8% to $2.3 billion compared to $2.2 billion in the fourth quarter of 2013, driven by a 3.1% increase in advertising revenue, as well as higher retransmission consent fees. Operating cash flow increased 64.0% to $230 million compared to $140 million in the fourth quarter of 2013, reflecting higher revenue, which more than offset a slight increase in operating costs and expenses.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2014, revenue from the Broadcast Television segment increased 20.0% to $8.5 billion compared to $7.1 billion in 2013. Excluding $846 million of revenue generated by the 2014 Sochi Olympics, revenue increased 8.1%, reflecting higher advertising revenue and retransmission consent fees. Operating cash flow increased $389 million to $734 million compared to $345 million in 2013. Excluding the Olympics, operating cash flow increased $272 million, or 78.6%, reflecting higher revenue and a modest increase in operating costs and expenses (see Table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fourth quarter of 2014, revenue from the Filmed Entertainment segment decreased 10.6% to $1.3 billion compared to $1.4 billion in the fourth quarter of 2013, reflecting a decline in home entertainment revenue primarily due to the strong performance of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in the fourth quarter of 2013. Operating cash flow decreased $115 million to $77 million compared to $192 million in the fourth quarter of 2013, reflecting lower revenue, partially offset by a decrease in the amortization of film costs.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year ended December 31, 2014, revenue from the Filmed Entertainment segment decreased 8.2% to $5.0 billion compared to $5.5 billion in 2013, reflecting lower theatrical and home entertainment revenue, primarily due to the strong performances of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Fast and Furious 6 </w:t>
      </w:r>
      <w:r>
        <w:rPr>
          <w:rFonts w:ascii="Arial" w:cs="Arial" w:eastAsia="Arial" w:hAnsi="Arial"/>
          <w:sz w:val="18"/>
          <w:szCs w:val="18"/>
          <w:color w:val="auto"/>
        </w:rPr>
        <w:t>in 2013. Operating cash flow increased $228 million to $711 million compared to $483 million in 2013, as lower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were more than offset by a decrease in the amortization of film costs and reduced advertising, marketing and promotion expense due to a reduced film slate.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For the fourth quarter of 2014, revenue from the Theme Parks segment increased 29.9% to $735 million compared to $566 million in the fourth quarter of 2013, reflecting higher guest attendance and per capita spending, driven by the continued success of Orlando’s </w:t>
      </w:r>
      <w:r>
        <w:rPr>
          <w:rFonts w:ascii="Arial" w:cs="Arial" w:eastAsia="Arial" w:hAnsi="Arial"/>
          <w:sz w:val="18"/>
          <w:szCs w:val="18"/>
          <w:i w:val="1"/>
          <w:iCs w:val="1"/>
          <w:color w:val="auto"/>
        </w:rPr>
        <w:t>The Wizarding World</w:t>
      </w:r>
      <w:r>
        <w:rPr>
          <w:rFonts w:ascii="Arial" w:cs="Arial" w:eastAsia="Arial" w:hAnsi="Arial"/>
          <w:sz w:val="18"/>
          <w:szCs w:val="18"/>
          <w:color w:val="auto"/>
        </w:rPr>
        <w:t xml:space="preserve"> </w:t>
      </w:r>
      <w:r>
        <w:rPr>
          <w:rFonts w:ascii="Arial" w:cs="Arial" w:eastAsia="Arial" w:hAnsi="Arial"/>
          <w:sz w:val="18"/>
          <w:szCs w:val="18"/>
          <w:i w:val="1"/>
          <w:iCs w:val="1"/>
          <w:color w:val="auto"/>
        </w:rPr>
        <w:t>of Harry Potter</w:t>
      </w:r>
      <w:r>
        <w:rPr>
          <w:rFonts w:ascii="Arial" w:cs="Arial" w:eastAsia="Arial" w:hAnsi="Arial"/>
          <w:sz w:val="18"/>
          <w:szCs w:val="18"/>
          <w:color w:val="auto"/>
        </w:rPr>
        <w:t>™</w:t>
      </w:r>
      <w:r>
        <w:rPr>
          <w:rFonts w:ascii="Arial" w:cs="Arial" w:eastAsia="Arial" w:hAnsi="Arial"/>
          <w:sz w:val="18"/>
          <w:szCs w:val="18"/>
          <w:i w:val="1"/>
          <w:iCs w:val="1"/>
          <w:color w:val="auto"/>
        </w:rPr>
        <w:t xml:space="preserve"> – Diagon Alley</w:t>
      </w:r>
      <w:r>
        <w:rPr>
          <w:rFonts w:ascii="Arial" w:cs="Arial" w:eastAsia="Arial" w:hAnsi="Arial"/>
          <w:sz w:val="18"/>
          <w:szCs w:val="18"/>
          <w:color w:val="auto"/>
        </w:rPr>
        <w:t>™, as well as</w:t>
      </w:r>
      <w:r>
        <w:rPr>
          <w:rFonts w:ascii="Arial" w:cs="Arial" w:eastAsia="Arial" w:hAnsi="Arial"/>
          <w:sz w:val="18"/>
          <w:szCs w:val="18"/>
          <w:i w:val="1"/>
          <w:iCs w:val="1"/>
          <w:color w:val="auto"/>
        </w:rPr>
        <w:t xml:space="preserve"> Halloween Horror Nights </w:t>
      </w:r>
      <w:r>
        <w:rPr>
          <w:rFonts w:ascii="Arial" w:cs="Arial" w:eastAsia="Arial" w:hAnsi="Arial"/>
          <w:sz w:val="18"/>
          <w:szCs w:val="18"/>
          <w:color w:val="auto"/>
        </w:rPr>
        <w:t>at the Orlando and Hollywood parks. Fourth quarter operating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37.6% to $352 million compared to $257 million in the same period last year, reflecting higher revenue, partially offset by an increase in operating costs to support the new attractions.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For the year ended December 31, 2014, revenue from the Theme Parks segment increased 17.3% to $2.6 billion compared to $2.2 billion in 2013. Operating cash flow increased 16.4% to $1.2 billion compared to $1.0 billion in 2013, driven by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Diagon Alley</w:t>
      </w:r>
      <w:r>
        <w:rPr>
          <w:rFonts w:ascii="Arial" w:cs="Arial" w:eastAsia="Arial" w:hAnsi="Arial"/>
          <w:sz w:val="18"/>
          <w:szCs w:val="18"/>
          <w:color w:val="auto"/>
        </w:rPr>
        <w:t>™ and</w:t>
      </w:r>
      <w:r>
        <w:rPr>
          <w:rFonts w:ascii="Arial" w:cs="Arial" w:eastAsia="Arial" w:hAnsi="Arial"/>
          <w:sz w:val="18"/>
          <w:szCs w:val="18"/>
          <w:i w:val="1"/>
          <w:iCs w:val="1"/>
          <w:color w:val="auto"/>
        </w:rPr>
        <w:t xml:space="preserve"> Despicable Me </w:t>
      </w:r>
      <w:r>
        <w:rPr>
          <w:rFonts w:ascii="Arial" w:cs="Arial" w:eastAsia="Arial" w:hAnsi="Arial"/>
          <w:sz w:val="18"/>
          <w:szCs w:val="18"/>
          <w:color w:val="auto"/>
        </w:rPr>
        <w:t>attractions.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2014, NBCUniversal Headquarters, Other and Eliminations operating cash flow loss was $144 million compared to a loss of $180 million in the fourth quarter of 2013, reflecting lower employee-related costs.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year ended December 31, 2014, NBCUniversal Headquarters, Other and Eliminations operating cash flow loss was $614 million compared to a loss of $601 million in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December 31, 2014, Corporate, Other and Eliminations revenue was ($196) million compared to ($199) million in 2013. The operating cash flow loss was $234 million, including $99 million of costs related to the Time Warner Cable and Charter transactions, compared to a loss of $98 million in the fourth quarter of 2013.</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year ended December 31, 2014, Corporate, Other and Eliminations revenue was ($793) million compared to ($829) million in 2013. The operating cash flow loss was $777 million, including $25 million of costs associated with the Olympics and $237 million of transaction-related costs, compared to a loss of $503 million in 2013, which included $74 million of costs associated with the termination of a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26"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w:t>
      </w:r>
    </w:p>
    <w:p>
      <w:pPr>
        <w:spacing w:after="0" w:line="17" w:lineRule="exact"/>
        <w:rPr>
          <w:sz w:val="20"/>
          <w:szCs w:val="20"/>
          <w:color w:val="auto"/>
        </w:rPr>
      </w:pPr>
    </w:p>
    <w:p>
      <w:pPr>
        <w:ind w:left="180" w:hanging="172"/>
        <w:spacing w:after="0" w:line="246" w:lineRule="auto"/>
        <w:tabs>
          <w:tab w:leader="none" w:pos="227"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72"/>
        <w:spacing w:after="0" w:line="239"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effects. The definition of Free Cash Flow excludes any impact from Economic Stimulus packages. These amounts have been excluded from Free Cash Flow to provide an appropriate comparison.</w:t>
      </w:r>
    </w:p>
    <w:p>
      <w:pPr>
        <w:spacing w:after="0" w:line="188" w:lineRule="exact"/>
        <w:rPr>
          <w:sz w:val="20"/>
          <w:szCs w:val="20"/>
          <w:color w:val="auto"/>
        </w:rPr>
      </w:pPr>
    </w:p>
    <w:p>
      <w:pPr>
        <w:jc w:val="both"/>
        <w:ind w:left="180" w:hanging="172"/>
        <w:spacing w:after="0" w:line="236"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2014, our Cable Communications segment revised its methodology for counting customers related to how we count and report customers who reside in multiple dwelling units (“MDUs”) that are billed under bulk contracts (the “Billable Customers Method”). For MDUs whose residents have the ability to receive additional cable services, such as additional programming choices or our HD or DVR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Video customer metrics for 2013 are now presented on the Billable Customers Method to provide an appropriate comparison. For high-speed Internet and voice customers, the differences in the customer metrics using the Billable Customers Method and the EBU Method were not material and 2013 data has not been adjusted.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February 24, 2015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Those parties interested in participating via telephone should dial (800) 263-8495 with the conference ID number 61829285. A replay of the call will be available starting at 12:30 p.m. ET on February 24, 2015, on the Investor Relations website or by telephone. To access the telephone replay, which will be available until Tuesday, March 3, 2015 at midnight ET, please dial (855) 859-2056 and enter the conference ID number 61829285.</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460" w:type="dxa"/>
            <w:vAlign w:val="bottom"/>
          </w:tcPr>
          <w:p>
            <w:pPr>
              <w:jc w:val="right"/>
              <w:ind w:right="1919"/>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6"/>
                <w:szCs w:val="16"/>
                <w:color w:val="auto"/>
              </w:rPr>
            </w:pPr>
          </w:p>
        </w:tc>
      </w:tr>
      <w:tr>
        <w:trPr>
          <w:trHeight w:val="521"/>
        </w:trPr>
        <w:tc>
          <w:tcPr>
            <w:tcW w:w="174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460" w:type="dxa"/>
            <w:vAlign w:val="bottom"/>
          </w:tcPr>
          <w:p>
            <w:pPr>
              <w:ind w:left="1940"/>
              <w:spacing w:after="0"/>
              <w:rPr>
                <w:sz w:val="20"/>
                <w:szCs w:val="20"/>
                <w:color w:val="auto"/>
              </w:rPr>
            </w:pPr>
            <w:r>
              <w:rPr>
                <w:rFonts w:ascii="Arial" w:cs="Arial" w:eastAsia="Arial" w:hAnsi="Arial"/>
                <w:sz w:val="16"/>
                <w:szCs w:val="16"/>
                <w:b w:val="1"/>
                <w:bCs w:val="1"/>
                <w:color w:val="auto"/>
              </w:rPr>
              <w:t>Press Contacts:</w:t>
            </w:r>
          </w:p>
        </w:tc>
        <w:tc>
          <w:tcPr>
            <w:tcW w:w="1400" w:type="dxa"/>
            <w:vAlign w:val="bottom"/>
          </w:tcPr>
          <w:p>
            <w:pPr>
              <w:spacing w:after="0"/>
              <w:rPr>
                <w:sz w:val="24"/>
                <w:szCs w:val="24"/>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1139"/>
              <w:spacing w:after="0"/>
              <w:rPr>
                <w:sz w:val="20"/>
                <w:szCs w:val="20"/>
                <w:color w:val="auto"/>
              </w:rPr>
            </w:pPr>
            <w:r>
              <w:rPr>
                <w:rFonts w:ascii="Arial" w:cs="Arial" w:eastAsia="Arial" w:hAnsi="Arial"/>
                <w:sz w:val="16"/>
                <w:szCs w:val="16"/>
                <w:color w:val="auto"/>
              </w:rPr>
              <w:t>(215) 286-7972</w:t>
            </w:r>
          </w:p>
        </w:tc>
        <w:tc>
          <w:tcPr>
            <w:tcW w:w="3460" w:type="dxa"/>
            <w:vAlign w:val="bottom"/>
          </w:tcPr>
          <w:p>
            <w:pPr>
              <w:ind w:left="1940"/>
              <w:spacing w:after="0"/>
              <w:rPr>
                <w:sz w:val="20"/>
                <w:szCs w:val="20"/>
                <w:color w:val="auto"/>
              </w:rPr>
            </w:pPr>
            <w:r>
              <w:rPr>
                <w:rFonts w:ascii="Arial" w:cs="Arial" w:eastAsia="Arial" w:hAnsi="Arial"/>
                <w:sz w:val="16"/>
                <w:szCs w:val="16"/>
                <w:color w:val="auto"/>
              </w:rPr>
              <w:t>D’Arcy Rudnay</w:t>
            </w:r>
          </w:p>
        </w:tc>
        <w:tc>
          <w:tcPr>
            <w:tcW w:w="140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74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1139"/>
              <w:spacing w:after="0"/>
              <w:rPr>
                <w:sz w:val="20"/>
                <w:szCs w:val="20"/>
                <w:color w:val="auto"/>
              </w:rPr>
            </w:pPr>
            <w:r>
              <w:rPr>
                <w:rFonts w:ascii="Arial" w:cs="Arial" w:eastAsia="Arial" w:hAnsi="Arial"/>
                <w:sz w:val="16"/>
                <w:szCs w:val="16"/>
                <w:color w:val="auto"/>
              </w:rPr>
              <w:t>(215) 286-4794</w:t>
            </w:r>
          </w:p>
        </w:tc>
        <w:tc>
          <w:tcPr>
            <w:tcW w:w="3460" w:type="dxa"/>
            <w:vAlign w:val="bottom"/>
          </w:tcPr>
          <w:p>
            <w:pPr>
              <w:ind w:left="1940"/>
              <w:spacing w:after="0"/>
              <w:rPr>
                <w:sz w:val="20"/>
                <w:szCs w:val="20"/>
                <w:color w:val="auto"/>
              </w:rPr>
            </w:pPr>
            <w:r>
              <w:rPr>
                <w:rFonts w:ascii="Arial" w:cs="Arial" w:eastAsia="Arial" w:hAnsi="Arial"/>
                <w:sz w:val="16"/>
                <w:szCs w:val="16"/>
                <w:color w:val="auto"/>
              </w:rPr>
              <w:t>John Demming</w:t>
            </w:r>
          </w:p>
        </w:tc>
        <w:tc>
          <w:tcPr>
            <w:tcW w:w="140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54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680"/>
        <w:spacing w:after="0"/>
        <w:tabs>
          <w:tab w:leader="none" w:pos="186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7"/>
          <w:szCs w:val="17"/>
          <w:b w:val="1"/>
          <w:bCs w:val="1"/>
          <w:color w:val="auto"/>
        </w:rPr>
        <w:t>Twelve Months Ended</w:t>
      </w:r>
    </w:p>
    <w:p>
      <w:pPr>
        <w:spacing w:after="0" w:line="18" w:lineRule="exact"/>
        <w:rPr>
          <w:sz w:val="20"/>
          <w:szCs w:val="20"/>
          <w:color w:val="auto"/>
        </w:rPr>
      </w:pPr>
    </w:p>
    <w:p>
      <w:pPr>
        <w:spacing w:after="0"/>
        <w:tabs>
          <w:tab w:leader="none" w:pos="5900" w:val="left"/>
          <w:tab w:leader="none" w:pos="9200" w:val="left"/>
        </w:tabs>
        <w:rPr>
          <w:sz w:val="20"/>
          <w:szCs w:val="20"/>
          <w:color w:val="auto"/>
        </w:rPr>
      </w:pPr>
      <w:r>
        <w:rPr>
          <w:rFonts w:ascii="Arial" w:cs="Arial" w:eastAsia="Arial" w:hAnsi="Arial"/>
          <w:sz w:val="18"/>
          <w:szCs w:val="18"/>
          <w:color w:val="auto"/>
        </w:rPr>
        <w:t>(in millions, except per share data)</w:t>
      </w:r>
      <w:r>
        <w:rPr>
          <w:sz w:val="20"/>
          <w:szCs w:val="20"/>
          <w:color w:val="auto"/>
        </w:rPr>
        <w:tab/>
      </w:r>
      <w:r>
        <w:rPr>
          <w:rFonts w:ascii="Arial" w:cs="Arial" w:eastAsia="Arial" w:hAnsi="Arial"/>
          <w:sz w:val="18"/>
          <w:szCs w:val="18"/>
          <w:b w:val="1"/>
          <w:bCs w:val="1"/>
          <w:color w:val="auto"/>
        </w:rPr>
        <w:t>December 31,</w:t>
      </w:r>
      <w:r>
        <w:rPr>
          <w:sz w:val="20"/>
          <w:szCs w:val="20"/>
          <w:color w:val="auto"/>
        </w:rPr>
        <w:tab/>
      </w:r>
      <w:r>
        <w:rPr>
          <w:rFonts w:ascii="Arial" w:cs="Arial" w:eastAsia="Arial" w:hAnsi="Arial"/>
          <w:sz w:val="18"/>
          <w:szCs w:val="18"/>
          <w:b w:val="1"/>
          <w:bCs w:val="1"/>
          <w:color w:val="auto"/>
        </w:rPr>
        <w:t>December 31,</w:t>
      </w:r>
    </w:p>
    <w:p>
      <w:pPr>
        <w:sectPr>
          <w:pgSz w:w="11900" w:h="16838" w:orient="portrait"/>
          <w:cols w:equalWidth="0" w:num="1">
            <w:col w:w="11420"/>
          </w:cols>
          <w:pgMar w:left="240" w:top="118" w:right="239" w:bottom="0" w:gutter="0" w:footer="0" w:header="0"/>
          <w:type w:val="continuous"/>
        </w:sectPr>
      </w:pPr>
    </w:p>
    <w:bookmarkStart w:id="7" w:name="page8"/>
    <w:bookmarkEnd w:id="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00" w:type="dxa"/>
            <w:vAlign w:val="bottom"/>
            <w:vMerge w:val="continue"/>
          </w:tcPr>
          <w:p>
            <w:pPr>
              <w:spacing w:after="0"/>
              <w:rPr>
                <w:sz w:val="20"/>
                <w:szCs w:val="20"/>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$16,926</w:t>
            </w:r>
          </w:p>
        </w:tc>
        <w:tc>
          <w:tcPr>
            <w:tcW w:w="3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$17,732</w:t>
            </w: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$64,657</w:t>
            </w:r>
          </w:p>
        </w:tc>
        <w:tc>
          <w:tcPr>
            <w:tcW w:w="2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$68,775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0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5,252</w:t>
            </w:r>
          </w:p>
        </w:tc>
        <w:tc>
          <w:tcPr>
            <w:tcW w:w="30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5,358</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19,670</w:t>
            </w:r>
          </w:p>
        </w:tc>
        <w:tc>
          <w:tcPr>
            <w:tcW w:w="28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20,912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3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4,797</w:t>
            </w:r>
          </w:p>
        </w:tc>
        <w:tc>
          <w:tcPr>
            <w:tcW w:w="30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5,167</w:t>
            </w:r>
          </w:p>
        </w:tc>
        <w:tc>
          <w:tcPr>
            <w:tcW w:w="28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18,584</w:t>
            </w:r>
          </w:p>
        </w:tc>
        <w:tc>
          <w:tcPr>
            <w:tcW w:w="280" w:type="dxa"/>
            <w:vAlign w:val="bottom"/>
          </w:tcPr>
          <w:p>
            <w:pPr>
              <w:spacing w:after="0"/>
              <w:rPr>
                <w:sz w:val="17"/>
                <w:szCs w:val="17"/>
                <w:color w:val="auto"/>
              </w:rPr>
            </w:pP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19,862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1,330</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4,969</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5,078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11,281</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11,855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43,223</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45,852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5,645</w:t>
            </w:r>
          </w:p>
        </w:tc>
        <w:tc>
          <w:tcPr>
            <w:tcW w:w="30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5,877</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21,434</w:t>
            </w:r>
          </w:p>
        </w:tc>
        <w:tc>
          <w:tcPr>
            <w:tcW w:w="28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22,923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0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1,585</w:t>
            </w:r>
          </w:p>
        </w:tc>
        <w:tc>
          <w:tcPr>
            <w:tcW w:w="30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1,630</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6,254</w:t>
            </w:r>
          </w:p>
        </w:tc>
        <w:tc>
          <w:tcPr>
            <w:tcW w:w="28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6,337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460</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1,617</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1,998</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2,090</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7,871</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8,019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000" w:type="dxa"/>
            <w:vAlign w:val="bottom"/>
            <w:vMerge w:val="continue"/>
          </w:tcPr>
          <w:p>
            <w:pPr>
              <w:spacing w:after="0"/>
              <w:rPr>
                <w:sz w:val="20"/>
                <w:szCs w:val="20"/>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3,647</w:t>
            </w:r>
          </w:p>
        </w:tc>
        <w:tc>
          <w:tcPr>
            <w:tcW w:w="3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3,787</w:t>
            </w:r>
          </w:p>
        </w:tc>
        <w:tc>
          <w:tcPr>
            <w:tcW w:w="2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13,563</w:t>
            </w:r>
          </w:p>
        </w:tc>
        <w:tc>
          <w:tcPr>
            <w:tcW w:w="2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14,904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(664)</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00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(646)</w:t>
            </w:r>
          </w:p>
        </w:tc>
        <w:tc>
          <w:tcPr>
            <w:tcW w:w="3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(2,574)</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3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42</w:t>
            </w:r>
          </w:p>
        </w:tc>
        <w:tc>
          <w:tcPr>
            <w:tcW w:w="28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576</w:t>
            </w:r>
          </w:p>
        </w:tc>
        <w:tc>
          <w:tcPr>
            <w:tcW w:w="280" w:type="dxa"/>
            <w:vAlign w:val="bottom"/>
          </w:tcPr>
          <w:p>
            <w:pPr>
              <w:spacing w:after="0"/>
              <w:rPr>
                <w:sz w:val="17"/>
                <w:szCs w:val="17"/>
                <w:color w:val="auto"/>
              </w:rPr>
            </w:pP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296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80" w:type="dxa"/>
            <w:vAlign w:val="bottom"/>
          </w:tcPr>
          <w:p>
            <w:pPr>
              <w:spacing w:after="0"/>
              <w:rPr>
                <w:sz w:val="17"/>
                <w:szCs w:val="17"/>
                <w:color w:val="auto"/>
              </w:rPr>
            </w:pPr>
          </w:p>
        </w:tc>
        <w:tc>
          <w:tcPr>
            <w:tcW w:w="138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(677)</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(2,448)</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2,954</w:t>
            </w:r>
          </w:p>
        </w:tc>
        <w:tc>
          <w:tcPr>
            <w:tcW w:w="30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3,110</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11,115</w:t>
            </w:r>
          </w:p>
        </w:tc>
        <w:tc>
          <w:tcPr>
            <w:tcW w:w="28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12,465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3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1,968</w:t>
            </w:r>
          </w:p>
        </w:tc>
        <w:tc>
          <w:tcPr>
            <w:tcW w:w="30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1,996</w:t>
            </w:r>
          </w:p>
        </w:tc>
        <w:tc>
          <w:tcPr>
            <w:tcW w:w="28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7,135</w:t>
            </w:r>
          </w:p>
        </w:tc>
        <w:tc>
          <w:tcPr>
            <w:tcW w:w="280" w:type="dxa"/>
            <w:vAlign w:val="bottom"/>
          </w:tcPr>
          <w:p>
            <w:pPr>
              <w:spacing w:after="0"/>
              <w:rPr>
                <w:sz w:val="24"/>
                <w:szCs w:val="24"/>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8,592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0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tcPr>
          <w:p>
            <w:pPr>
              <w:ind w:left="360"/>
              <w:spacing w:after="0"/>
              <w:rPr>
                <w:sz w:val="20"/>
                <w:szCs w:val="20"/>
                <w:color w:val="auto"/>
              </w:rPr>
            </w:pPr>
            <w:r>
              <w:rPr>
                <w:rFonts w:ascii="Arial" w:cs="Arial" w:eastAsia="Arial" w:hAnsi="Arial"/>
                <w:sz w:val="18"/>
                <w:szCs w:val="18"/>
                <w:color w:val="auto"/>
              </w:rPr>
              <w:t>and redeemable subsidiary preferred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$1,913</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$1,925</w:t>
            </w: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$6,816</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$8,380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$0.74</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$3.20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$0.72</w:t>
            </w:r>
          </w:p>
        </w:tc>
        <w:tc>
          <w:tcPr>
            <w:tcW w:w="3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$0.225</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$0.90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$0.195</w:t>
            </w:r>
          </w:p>
        </w:tc>
        <w:tc>
          <w:tcPr>
            <w:tcW w:w="3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$0.78</w:t>
            </w:r>
          </w:p>
        </w:tc>
        <w:tc>
          <w:tcPr>
            <w:tcW w:w="28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2,652</w:t>
            </w:r>
          </w:p>
        </w:tc>
        <w:tc>
          <w:tcPr>
            <w:tcW w:w="30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2,590</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2,665</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2,620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000" w:type="dxa"/>
            <w:vAlign w:val="bottom"/>
          </w:tcPr>
          <w:p>
            <w:pPr>
              <w:spacing w:after="0"/>
              <w:rPr>
                <w:sz w:val="24"/>
                <w:szCs w:val="24"/>
                <w:color w:val="auto"/>
              </w:rPr>
            </w:pPr>
          </w:p>
        </w:tc>
        <w:tc>
          <w:tcPr>
            <w:tcW w:w="1360" w:type="dxa"/>
            <w:vAlign w:val="bottom"/>
          </w:tcPr>
          <w:p>
            <w:pPr>
              <w:jc w:val="right"/>
              <w:ind w:right="511"/>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349250</wp:posOffset>
            </wp:positionV>
            <wp:extent cx="1054735" cy="43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47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880" w:type="dxa"/>
            <w:vAlign w:val="bottom"/>
          </w:tcPr>
          <w:p>
            <w:pPr>
              <w:spacing w:after="0"/>
              <w:rPr>
                <w:sz w:val="20"/>
                <w:szCs w:val="20"/>
                <w:color w:val="auto"/>
              </w:rPr>
            </w:pPr>
            <w:r>
              <w:rPr>
                <w:rFonts w:ascii="Arial" w:cs="Arial" w:eastAsia="Arial" w:hAnsi="Arial"/>
                <w:sz w:val="18"/>
                <w:szCs w:val="18"/>
                <w:color w:val="auto"/>
              </w:rPr>
              <w:t>(in millions)</w:t>
            </w: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96"/>
        </w:trPr>
        <w:tc>
          <w:tcPr>
            <w:tcW w:w="78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8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$3,910</w:t>
            </w:r>
          </w:p>
        </w:tc>
        <w:tc>
          <w:tcPr>
            <w:tcW w:w="0" w:type="dxa"/>
            <w:vAlign w:val="bottom"/>
          </w:tcPr>
          <w:p>
            <w:pPr>
              <w:spacing w:after="0"/>
              <w:rPr>
                <w:sz w:val="1"/>
                <w:szCs w:val="1"/>
                <w:color w:val="auto"/>
              </w:rPr>
            </w:pPr>
          </w:p>
        </w:tc>
      </w:tr>
      <w:tr>
        <w:trPr>
          <w:trHeight w:val="181"/>
        </w:trPr>
        <w:tc>
          <w:tcPr>
            <w:tcW w:w="7880" w:type="dxa"/>
            <w:vAlign w:val="bottom"/>
          </w:tcPr>
          <w:p>
            <w:pPr>
              <w:ind w:left="340"/>
              <w:spacing w:after="0" w:line="181"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$1,718</w:t>
            </w:r>
          </w:p>
        </w:tc>
        <w:tc>
          <w:tcPr>
            <w:tcW w:w="2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340"/>
              <w:spacing w:after="0" w:line="202" w:lineRule="exact"/>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3,573</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602</w:t>
            </w:r>
          </w:p>
        </w:tc>
        <w:tc>
          <w:tcPr>
            <w:tcW w:w="0" w:type="dxa"/>
            <w:vAlign w:val="bottom"/>
          </w:tcPr>
          <w:p>
            <w:pPr>
              <w:spacing w:after="0"/>
              <w:rPr>
                <w:sz w:val="1"/>
                <w:szCs w:val="1"/>
                <w:color w:val="auto"/>
              </w:rPr>
            </w:pPr>
          </w:p>
        </w:tc>
      </w:tr>
      <w:tr>
        <w:trPr>
          <w:trHeight w:val="203"/>
        </w:trPr>
        <w:tc>
          <w:tcPr>
            <w:tcW w:w="7880" w:type="dxa"/>
            <w:vAlign w:val="bottom"/>
          </w:tcPr>
          <w:p>
            <w:pPr>
              <w:ind w:left="340"/>
              <w:spacing w:after="0" w:line="202" w:lineRule="exact"/>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6,376</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6,321</w:t>
            </w:r>
          </w:p>
        </w:tc>
        <w:tc>
          <w:tcPr>
            <w:tcW w:w="0" w:type="dxa"/>
            <w:vAlign w:val="bottom"/>
          </w:tcPr>
          <w:p>
            <w:pPr>
              <w:spacing w:after="0"/>
              <w:rPr>
                <w:sz w:val="1"/>
                <w:szCs w:val="1"/>
                <w:color w:val="auto"/>
              </w:rPr>
            </w:pPr>
          </w:p>
        </w:tc>
      </w:tr>
      <w:tr>
        <w:trPr>
          <w:trHeight w:val="203"/>
        </w:trPr>
        <w:tc>
          <w:tcPr>
            <w:tcW w:w="7880" w:type="dxa"/>
            <w:vAlign w:val="bottom"/>
          </w:tcPr>
          <w:p>
            <w:pPr>
              <w:ind w:left="340"/>
              <w:spacing w:after="0" w:line="202" w:lineRule="exact"/>
              <w:rPr>
                <w:sz w:val="20"/>
                <w:szCs w:val="20"/>
                <w:color w:val="auto"/>
              </w:rPr>
            </w:pPr>
            <w:r>
              <w:rPr>
                <w:rFonts w:ascii="Arial" w:cs="Arial" w:eastAsia="Arial" w:hAnsi="Arial"/>
                <w:sz w:val="18"/>
                <w:szCs w:val="18"/>
                <w:color w:val="auto"/>
              </w:rPr>
              <w:t>Programming rights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839</w:t>
            </w:r>
          </w:p>
        </w:tc>
        <w:tc>
          <w:tcPr>
            <w:tcW w:w="0" w:type="dxa"/>
            <w:vAlign w:val="bottom"/>
          </w:tcPr>
          <w:p>
            <w:pPr>
              <w:spacing w:after="0"/>
              <w:rPr>
                <w:sz w:val="1"/>
                <w:szCs w:val="1"/>
                <w:color w:val="auto"/>
              </w:rPr>
            </w:pPr>
          </w:p>
        </w:tc>
      </w:tr>
      <w:tr>
        <w:trPr>
          <w:trHeight w:val="225"/>
        </w:trPr>
        <w:tc>
          <w:tcPr>
            <w:tcW w:w="78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0" w:type="dxa"/>
            <w:vAlign w:val="bottom"/>
          </w:tcPr>
          <w:p>
            <w:pPr>
              <w:spacing w:after="0"/>
              <w:rPr>
                <w:sz w:val="1"/>
                <w:szCs w:val="1"/>
                <w:color w:val="auto"/>
              </w:rPr>
            </w:pPr>
          </w:p>
        </w:tc>
      </w:tr>
      <w:tr>
        <w:trPr>
          <w:trHeight w:val="196"/>
        </w:trPr>
        <w:tc>
          <w:tcPr>
            <w:tcW w:w="7880" w:type="dxa"/>
            <w:vAlign w:val="bottom"/>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14,075</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13,531</w:t>
            </w:r>
          </w:p>
        </w:tc>
        <w:tc>
          <w:tcPr>
            <w:tcW w:w="0" w:type="dxa"/>
            <w:vAlign w:val="bottom"/>
          </w:tcPr>
          <w:p>
            <w:pPr>
              <w:spacing w:after="0"/>
              <w:rPr>
                <w:sz w:val="1"/>
                <w:szCs w:val="1"/>
                <w:color w:val="auto"/>
              </w:rPr>
            </w:pPr>
          </w:p>
        </w:tc>
      </w:tr>
      <w:tr>
        <w:trPr>
          <w:trHeight w:val="412"/>
        </w:trPr>
        <w:tc>
          <w:tcPr>
            <w:tcW w:w="788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5,727</w:t>
            </w:r>
          </w:p>
        </w:tc>
        <w:tc>
          <w:tcPr>
            <w:tcW w:w="0" w:type="dxa"/>
            <w:vAlign w:val="bottom"/>
          </w:tcPr>
          <w:p>
            <w:pPr>
              <w:spacing w:after="0"/>
              <w:rPr>
                <w:sz w:val="1"/>
                <w:szCs w:val="1"/>
                <w:color w:val="auto"/>
              </w:rPr>
            </w:pPr>
          </w:p>
        </w:tc>
      </w:tr>
      <w:tr>
        <w:trPr>
          <w:trHeight w:val="405"/>
        </w:trPr>
        <w:tc>
          <w:tcPr>
            <w:tcW w:w="788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3,770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3,135</w:t>
            </w:r>
          </w:p>
        </w:tc>
        <w:tc>
          <w:tcPr>
            <w:tcW w:w="0" w:type="dxa"/>
            <w:vAlign w:val="bottom"/>
          </w:tcPr>
          <w:p>
            <w:pPr>
              <w:spacing w:after="0"/>
              <w:rPr>
                <w:sz w:val="1"/>
                <w:szCs w:val="1"/>
                <w:color w:val="auto"/>
              </w:rPr>
            </w:pPr>
          </w:p>
        </w:tc>
      </w:tr>
      <w:tr>
        <w:trPr>
          <w:trHeight w:val="405"/>
        </w:trPr>
        <w:tc>
          <w:tcPr>
            <w:tcW w:w="78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29,840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30,953</w:t>
            </w:r>
          </w:p>
        </w:tc>
        <w:tc>
          <w:tcPr>
            <w:tcW w:w="0" w:type="dxa"/>
            <w:vAlign w:val="bottom"/>
          </w:tcPr>
          <w:p>
            <w:pPr>
              <w:spacing w:after="0"/>
              <w:rPr>
                <w:sz w:val="1"/>
                <w:szCs w:val="1"/>
                <w:color w:val="auto"/>
              </w:rPr>
            </w:pPr>
          </w:p>
        </w:tc>
      </w:tr>
      <w:tr>
        <w:trPr>
          <w:trHeight w:val="405"/>
        </w:trPr>
        <w:tc>
          <w:tcPr>
            <w:tcW w:w="788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78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spacing w:after="0"/>
              <w:rPr>
                <w:sz w:val="20"/>
                <w:szCs w:val="20"/>
                <w:color w:val="auto"/>
              </w:rPr>
            </w:pPr>
            <w:r>
              <w:rPr>
                <w:rFonts w:ascii="Arial" w:cs="Arial" w:eastAsia="Arial" w:hAnsi="Arial"/>
                <w:sz w:val="18"/>
                <w:szCs w:val="18"/>
                <w:color w:val="auto"/>
              </w:rPr>
              <w:t>27,098</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27,316</w:t>
            </w:r>
          </w:p>
        </w:tc>
        <w:tc>
          <w:tcPr>
            <w:tcW w:w="0" w:type="dxa"/>
            <w:vAlign w:val="bottom"/>
          </w:tcPr>
          <w:p>
            <w:pPr>
              <w:spacing w:after="0"/>
              <w:rPr>
                <w:sz w:val="1"/>
                <w:szCs w:val="1"/>
                <w:color w:val="auto"/>
              </w:rPr>
            </w:pPr>
          </w:p>
        </w:tc>
      </w:tr>
      <w:tr>
        <w:trPr>
          <w:trHeight w:val="405"/>
        </w:trPr>
        <w:tc>
          <w:tcPr>
            <w:tcW w:w="78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17,329</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16,980</w:t>
            </w:r>
          </w:p>
        </w:tc>
        <w:tc>
          <w:tcPr>
            <w:tcW w:w="0" w:type="dxa"/>
            <w:vAlign w:val="bottom"/>
          </w:tcPr>
          <w:p>
            <w:pPr>
              <w:spacing w:after="0"/>
              <w:rPr>
                <w:sz w:val="1"/>
                <w:szCs w:val="1"/>
                <w:color w:val="auto"/>
              </w:rPr>
            </w:pPr>
          </w:p>
        </w:tc>
      </w:tr>
      <w:tr>
        <w:trPr>
          <w:trHeight w:val="392"/>
        </w:trPr>
        <w:tc>
          <w:tcPr>
            <w:tcW w:w="788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w:t>
            </w:r>
          </w:p>
        </w:tc>
        <w:tc>
          <w:tcPr>
            <w:tcW w:w="0" w:type="dxa"/>
            <w:vAlign w:val="bottom"/>
          </w:tcPr>
          <w:p>
            <w:pPr>
              <w:spacing w:after="0"/>
              <w:rPr>
                <w:sz w:val="1"/>
                <w:szCs w:val="1"/>
                <w:color w:val="auto"/>
              </w:rPr>
            </w:pPr>
          </w:p>
        </w:tc>
      </w:tr>
      <w:tr>
        <w:trPr>
          <w:trHeight w:val="399"/>
        </w:trPr>
        <w:tc>
          <w:tcPr>
            <w:tcW w:w="78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$159,339</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60"/>
          </w:cols>
          <w:pgMar w:left="240" w:top="118"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Pr>
          <w:p>
            <w:pPr>
              <w:ind w:left="260"/>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14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60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$5,528</w:t>
            </w:r>
          </w:p>
        </w:tc>
        <w:tc>
          <w:tcPr>
            <w:tcW w:w="2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600"/>
              <w:spacing w:after="0" w:line="202" w:lineRule="exact"/>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600"/>
              <w:spacing w:after="0" w:line="202" w:lineRule="exact"/>
              <w:rPr>
                <w:sz w:val="20"/>
                <w:szCs w:val="20"/>
                <w:color w:val="auto"/>
              </w:rPr>
            </w:pPr>
            <w:r>
              <w:rPr>
                <w:rFonts w:ascii="Arial" w:cs="Arial" w:eastAsia="Arial" w:hAnsi="Arial"/>
                <w:sz w:val="18"/>
                <w:szCs w:val="18"/>
                <w:color w:val="auto"/>
              </w:rPr>
              <w:t>Deferred revenue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6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7,967</w:t>
            </w:r>
          </w:p>
        </w:tc>
        <w:tc>
          <w:tcPr>
            <w:tcW w:w="2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18,912</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40" w:type="dxa"/>
            <w:vAlign w:val="bottom"/>
          </w:tcPr>
          <w:p>
            <w:pPr>
              <w:ind w:left="440"/>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44,567</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44,017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31,935</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32,959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11,384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10,819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ind w:left="4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140" w:type="dxa"/>
            <w:vAlign w:val="bottom"/>
          </w:tcPr>
          <w:p>
            <w:pPr>
              <w:ind w:left="440"/>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52,711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600"/>
              <w:spacing w:after="0" w:line="181"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50,694</w:t>
            </w:r>
          </w:p>
        </w:tc>
        <w:tc>
          <w:tcPr>
            <w:tcW w:w="2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60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780"/>
              <w:spacing w:after="0" w:line="196" w:lineRule="exact"/>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51,058</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53,068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14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$158,813</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$159,339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40" w:type="dxa"/>
            <w:vAlign w:val="bottom"/>
            <w:tcBorders>
              <w:bottom w:val="single" w:sz="8" w:color="010101"/>
            </w:tcBorders>
          </w:tcPr>
          <w:p>
            <w:pPr>
              <w:spacing w:after="0"/>
              <w:rPr>
                <w:sz w:val="10"/>
                <w:szCs w:val="10"/>
                <w:color w:val="auto"/>
              </w:rPr>
            </w:pPr>
          </w:p>
        </w:tc>
        <w:tc>
          <w:tcPr>
            <w:tcW w:w="14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4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8100" w:type="dxa"/>
            <w:vAlign w:val="bottom"/>
          </w:tcPr>
          <w:p>
            <w:pPr>
              <w:spacing w:after="0"/>
              <w:rPr>
                <w:sz w:val="20"/>
                <w:szCs w:val="20"/>
                <w:color w:val="auto"/>
              </w:rPr>
            </w:pPr>
            <w:r>
              <w:rPr>
                <w:rFonts w:ascii="Arial" w:cs="Arial" w:eastAsia="Arial" w:hAnsi="Arial"/>
                <w:sz w:val="18"/>
                <w:szCs w:val="18"/>
                <w:color w:val="auto"/>
              </w:rPr>
              <w:t>(in millions)</w:t>
            </w:r>
          </w:p>
        </w:tc>
        <w:tc>
          <w:tcPr>
            <w:tcW w:w="3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Twelve Months Ended</w:t>
            </w:r>
          </w:p>
        </w:tc>
        <w:tc>
          <w:tcPr>
            <w:tcW w:w="0" w:type="dxa"/>
            <w:vAlign w:val="bottom"/>
          </w:tcPr>
          <w:p>
            <w:pPr>
              <w:spacing w:after="0"/>
              <w:rPr>
                <w:sz w:val="1"/>
                <w:szCs w:val="1"/>
                <w:color w:val="auto"/>
              </w:rPr>
            </w:pPr>
          </w:p>
        </w:tc>
      </w:tr>
      <w:tr>
        <w:trPr>
          <w:trHeight w:val="257"/>
        </w:trPr>
        <w:tc>
          <w:tcPr>
            <w:tcW w:w="8100" w:type="dxa"/>
            <w:vAlign w:val="bottom"/>
          </w:tcPr>
          <w:p>
            <w:pPr>
              <w:spacing w:after="0"/>
              <w:rPr>
                <w:sz w:val="22"/>
                <w:szCs w:val="22"/>
                <w:color w:val="auto"/>
              </w:rPr>
            </w:pPr>
          </w:p>
        </w:tc>
        <w:tc>
          <w:tcPr>
            <w:tcW w:w="21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398"/>
        </w:trPr>
        <w:tc>
          <w:tcPr>
            <w:tcW w:w="81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$8,592</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$7,135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8,019</w:t>
            </w:r>
          </w:p>
        </w:tc>
        <w:tc>
          <w:tcPr>
            <w:tcW w:w="0" w:type="dxa"/>
            <w:vAlign w:val="bottom"/>
          </w:tcPr>
          <w:p>
            <w:pPr>
              <w:spacing w:after="0"/>
              <w:rPr>
                <w:sz w:val="1"/>
                <w:szCs w:val="1"/>
                <w:color w:val="auto"/>
              </w:rPr>
            </w:pPr>
          </w:p>
        </w:tc>
      </w:tr>
      <w:tr>
        <w:trPr>
          <w:trHeight w:val="181"/>
        </w:trPr>
        <w:tc>
          <w:tcPr>
            <w:tcW w:w="8100" w:type="dxa"/>
            <w:vAlign w:val="bottom"/>
          </w:tcPr>
          <w:p>
            <w:pPr>
              <w:ind w:left="360"/>
              <w:spacing w:after="0" w:line="181" w:lineRule="exact"/>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7,871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 (income), net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Cash received from investees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5"/>
        </w:trPr>
        <w:tc>
          <w:tcPr>
            <w:tcW w:w="81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1,165</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81"/>
        </w:trPr>
        <w:tc>
          <w:tcPr>
            <w:tcW w:w="8100" w:type="dxa"/>
            <w:vAlign w:val="bottom"/>
          </w:tcPr>
          <w:p>
            <w:pPr>
              <w:ind w:left="360"/>
              <w:spacing w:after="0" w:line="181" w:lineRule="exact"/>
              <w:rPr>
                <w:sz w:val="20"/>
                <w:szCs w:val="20"/>
                <w:color w:val="auto"/>
              </w:rPr>
            </w:pPr>
            <w:r>
              <w:rPr>
                <w:rFonts w:ascii="Arial" w:cs="Arial" w:eastAsia="Arial" w:hAnsi="Arial"/>
                <w:sz w:val="18"/>
                <w:szCs w:val="18"/>
                <w:color w:val="auto"/>
              </w:rPr>
              <w:t>Current and noncurrent receivables, net</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(721)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Film and television costs, net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(562)</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25"/>
        </w:trPr>
        <w:tc>
          <w:tcPr>
            <w:tcW w:w="8100" w:type="dxa"/>
            <w:vAlign w:val="bottom"/>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w:t>
            </w:r>
          </w:p>
        </w:tc>
        <w:tc>
          <w:tcPr>
            <w:tcW w:w="0" w:type="dxa"/>
            <w:vAlign w:val="bottom"/>
          </w:tcPr>
          <w:p>
            <w:pPr>
              <w:spacing w:after="0"/>
              <w:rPr>
                <w:sz w:val="1"/>
                <w:szCs w:val="1"/>
                <w:color w:val="auto"/>
              </w:rPr>
            </w:pPr>
          </w:p>
        </w:tc>
      </w:tr>
      <w:tr>
        <w:trPr>
          <w:trHeight w:val="426"/>
        </w:trPr>
        <w:tc>
          <w:tcPr>
            <w:tcW w:w="810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14,160</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16,945</w:t>
            </w:r>
          </w:p>
        </w:tc>
        <w:tc>
          <w:tcPr>
            <w:tcW w:w="0" w:type="dxa"/>
            <w:vAlign w:val="bottom"/>
          </w:tcPr>
          <w:p>
            <w:pPr>
              <w:spacing w:after="0"/>
              <w:rPr>
                <w:sz w:val="1"/>
                <w:szCs w:val="1"/>
                <w:color w:val="auto"/>
              </w:rPr>
            </w:pPr>
          </w:p>
        </w:tc>
      </w:tr>
      <w:tr>
        <w:trPr>
          <w:trHeight w:val="398"/>
        </w:trPr>
        <w:tc>
          <w:tcPr>
            <w:tcW w:w="8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(7,420)</w:t>
            </w:r>
          </w:p>
        </w:tc>
        <w:tc>
          <w:tcPr>
            <w:tcW w:w="0" w:type="dxa"/>
            <w:vAlign w:val="bottom"/>
          </w:tcPr>
          <w:p>
            <w:pPr>
              <w:spacing w:after="0"/>
              <w:rPr>
                <w:sz w:val="1"/>
                <w:szCs w:val="1"/>
                <w:color w:val="auto"/>
              </w:rPr>
            </w:pPr>
          </w:p>
        </w:tc>
      </w:tr>
      <w:tr>
        <w:trPr>
          <w:trHeight w:val="181"/>
        </w:trPr>
        <w:tc>
          <w:tcPr>
            <w:tcW w:w="8100" w:type="dxa"/>
            <w:vAlign w:val="bottom"/>
          </w:tcPr>
          <w:p>
            <w:pPr>
              <w:ind w:left="180"/>
              <w:spacing w:after="0" w:line="181" w:lineRule="exact"/>
              <w:rPr>
                <w:sz w:val="20"/>
                <w:szCs w:val="20"/>
                <w:color w:val="auto"/>
              </w:rPr>
            </w:pPr>
            <w:r>
              <w:rPr>
                <w:rFonts w:ascii="Arial" w:cs="Arial" w:eastAsia="Arial" w:hAnsi="Arial"/>
                <w:sz w:val="18"/>
                <w:szCs w:val="18"/>
                <w:color w:val="auto"/>
              </w:rPr>
              <w:t>Capital expenditures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(6,596)</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Cash paid for intangible assets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(1,122)</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(477)</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666</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Return of capital from investees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25"/>
        </w:trPr>
        <w:tc>
          <w:tcPr>
            <w:tcW w:w="8100" w:type="dxa"/>
            <w:vAlign w:val="bottom"/>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426"/>
        </w:trPr>
        <w:tc>
          <w:tcPr>
            <w:tcW w:w="8100" w:type="dxa"/>
            <w:vAlign w:val="bottom"/>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(8,733)</w:t>
            </w:r>
          </w:p>
        </w:tc>
        <w:tc>
          <w:tcPr>
            <w:tcW w:w="0" w:type="dxa"/>
            <w:vAlign w:val="bottom"/>
          </w:tcPr>
          <w:p>
            <w:pPr>
              <w:spacing w:after="0"/>
              <w:rPr>
                <w:sz w:val="1"/>
                <w:szCs w:val="1"/>
                <w:color w:val="auto"/>
              </w:rPr>
            </w:pPr>
          </w:p>
        </w:tc>
      </w:tr>
      <w:tr>
        <w:trPr>
          <w:trHeight w:val="398"/>
        </w:trPr>
        <w:tc>
          <w:tcPr>
            <w:tcW w:w="81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(504)</w:t>
            </w:r>
          </w:p>
        </w:tc>
        <w:tc>
          <w:tcPr>
            <w:tcW w:w="0" w:type="dxa"/>
            <w:vAlign w:val="bottom"/>
          </w:tcPr>
          <w:p>
            <w:pPr>
              <w:spacing w:after="0"/>
              <w:rPr>
                <w:sz w:val="1"/>
                <w:szCs w:val="1"/>
                <w:color w:val="auto"/>
              </w:rPr>
            </w:pPr>
          </w:p>
        </w:tc>
      </w:tr>
      <w:tr>
        <w:trPr>
          <w:trHeight w:val="181"/>
        </w:trPr>
        <w:tc>
          <w:tcPr>
            <w:tcW w:w="8100" w:type="dxa"/>
            <w:vAlign w:val="bottom"/>
          </w:tcPr>
          <w:p>
            <w:pPr>
              <w:ind w:left="18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1,345</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borrowings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2,933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4,182</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Repurchases and repayments of debt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(2,444)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(3,175)</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(4,251)</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Dividends paid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(2,254)</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Issuances of common stock</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9"/>
        </w:trPr>
        <w:tc>
          <w:tcPr>
            <w:tcW w:w="8100" w:type="dxa"/>
            <w:vAlign w:val="bottom"/>
          </w:tcPr>
          <w:p>
            <w:pPr>
              <w:ind w:left="180"/>
              <w:spacing w:after="0"/>
              <w:rPr>
                <w:sz w:val="20"/>
                <w:szCs w:val="20"/>
                <w:color w:val="auto"/>
              </w:rPr>
            </w:pPr>
            <w:r>
              <w:rPr>
                <w:rFonts w:ascii="Arial" w:cs="Arial" w:eastAsia="Arial" w:hAnsi="Arial"/>
                <w:sz w:val="18"/>
                <w:szCs w:val="18"/>
                <w:color w:val="auto"/>
              </w:rPr>
              <w:t>Purchase of NBCUniversal noncontrolling common equity 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(10,761)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319" w:right="199" w:bottom="0" w:gutter="0" w:footer="0" w:header="0"/>
        </w:sectPr>
      </w:pPr>
    </w:p>
    <w:bookmarkStart w:id="9" w:name="page10"/>
    <w:bookmarkEnd w:id="9"/>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40"/>
              <w:spacing w:after="0" w:line="202" w:lineRule="exact"/>
              <w:rPr>
                <w:sz w:val="20"/>
                <w:szCs w:val="20"/>
                <w:color w:val="auto"/>
              </w:rPr>
            </w:pPr>
            <w:r>
              <w:rPr>
                <w:rFonts w:ascii="Arial" w:cs="Arial" w:eastAsia="Arial" w:hAnsi="Arial"/>
                <w:sz w:val="18"/>
                <w:szCs w:val="18"/>
                <w:color w:val="auto"/>
              </w:rPr>
              <w:t>Settlement of Station Venture liability</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60" w:type="dxa"/>
            <w:vAlign w:val="bottom"/>
          </w:tcPr>
          <w:p>
            <w:pPr>
              <w:spacing w:after="0"/>
              <w:rPr>
                <w:sz w:val="17"/>
                <w:szCs w:val="17"/>
                <w:color w:val="auto"/>
              </w:rPr>
            </w:pP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36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tcPr>
          <w:p>
            <w:pPr>
              <w:ind w:left="260"/>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jc w:val="right"/>
              <w:spacing w:after="0"/>
              <w:rPr>
                <w:sz w:val="20"/>
                <w:szCs w:val="20"/>
                <w:color w:val="auto"/>
              </w:rPr>
            </w:pPr>
            <w:r>
              <w:rPr>
                <w:rFonts w:ascii="Arial" w:cs="Arial" w:eastAsia="Arial" w:hAnsi="Arial"/>
                <w:sz w:val="18"/>
                <w:szCs w:val="18"/>
                <w:color w:val="auto"/>
              </w:rPr>
              <w:t>(9,233)</w:t>
            </w:r>
          </w:p>
        </w:tc>
        <w:tc>
          <w:tcPr>
            <w:tcW w:w="26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2,192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tcPr>
          <w:p>
            <w:pPr>
              <w:ind w:left="26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6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4</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-121285</wp:posOffset>
            </wp:positionV>
            <wp:extent cx="1054735" cy="420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54735" cy="42037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(in millions)</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2013</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2013</w:t>
            </w:r>
          </w:p>
        </w:tc>
        <w:tc>
          <w:tcPr>
            <w:tcW w:w="18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42"/>
        </w:trPr>
        <w:tc>
          <w:tcPr>
            <w:tcW w:w="4560" w:type="dxa"/>
            <w:vAlign w:val="bottom"/>
          </w:tcPr>
          <w:p>
            <w:pPr>
              <w:spacing w:after="0" w:line="143" w:lineRule="exact"/>
              <w:rPr>
                <w:sz w:val="20"/>
                <w:szCs w:val="20"/>
                <w:color w:val="auto"/>
              </w:rPr>
            </w:pPr>
            <w:r>
              <w:rPr>
                <w:rFonts w:ascii="Arial" w:cs="Arial" w:eastAsia="Arial" w:hAnsi="Arial"/>
                <w:sz w:val="14"/>
                <w:szCs w:val="14"/>
                <w:color w:val="auto"/>
              </w:rPr>
              <w:t>Operating income</w:t>
            </w:r>
          </w:p>
        </w:tc>
        <w:tc>
          <w:tcPr>
            <w:tcW w:w="96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$3,647</w:t>
            </w:r>
          </w:p>
        </w:tc>
        <w:tc>
          <w:tcPr>
            <w:tcW w:w="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$3,787</w:t>
            </w: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$13,563</w:t>
            </w:r>
          </w:p>
        </w:tc>
        <w:tc>
          <w:tcPr>
            <w:tcW w:w="6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$14,904</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1,998</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2,090</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7,871</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8,019</w:t>
            </w:r>
          </w:p>
        </w:tc>
        <w:tc>
          <w:tcPr>
            <w:tcW w:w="0" w:type="dxa"/>
            <w:vAlign w:val="bottom"/>
          </w:tcPr>
          <w:p>
            <w:pPr>
              <w:spacing w:after="0"/>
              <w:rPr>
                <w:sz w:val="1"/>
                <w:szCs w:val="1"/>
                <w:color w:val="auto"/>
              </w:rPr>
            </w:pPr>
          </w:p>
        </w:tc>
      </w:tr>
      <w:tr>
        <w:trPr>
          <w:trHeight w:val="142"/>
        </w:trPr>
        <w:tc>
          <w:tcPr>
            <w:tcW w:w="4560" w:type="dxa"/>
            <w:vAlign w:val="bottom"/>
          </w:tcPr>
          <w:p>
            <w:pPr>
              <w:spacing w:after="0" w:line="143" w:lineRule="exact"/>
              <w:rPr>
                <w:sz w:val="20"/>
                <w:szCs w:val="20"/>
                <w:color w:val="auto"/>
              </w:rPr>
            </w:pPr>
            <w:r>
              <w:rPr>
                <w:rFonts w:ascii="Arial" w:cs="Arial" w:eastAsia="Arial" w:hAnsi="Arial"/>
                <w:sz w:val="14"/>
                <w:szCs w:val="14"/>
                <w:color w:val="auto"/>
              </w:rPr>
              <w:t>Operating income before depreciation and amortization</w:t>
            </w:r>
          </w:p>
        </w:tc>
        <w:tc>
          <w:tcPr>
            <w:tcW w:w="96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5,645</w:t>
            </w:r>
          </w:p>
        </w:tc>
        <w:tc>
          <w:tcPr>
            <w:tcW w:w="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5,877</w:t>
            </w: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21,434</w:t>
            </w:r>
          </w:p>
        </w:tc>
        <w:tc>
          <w:tcPr>
            <w:tcW w:w="6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22,923</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127</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419</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513</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Termination of receivables monetization programs</w:t>
            </w:r>
            <w:r>
              <w:rPr>
                <w:rFonts w:ascii="Arial" w:cs="Arial" w:eastAsia="Arial" w:hAnsi="Arial"/>
                <w:sz w:val="14"/>
                <w:szCs w:val="14"/>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4"/>
                <w:szCs w:val="14"/>
                <w:color w:val="auto"/>
              </w:rPr>
              <w:t>(1,442)</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(1,442)</w:t>
            </w:r>
          </w:p>
        </w:tc>
        <w:tc>
          <w:tcPr>
            <w:tcW w:w="18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jc w:val="right"/>
              <w:spacing w:after="0"/>
              <w:rPr>
                <w:sz w:val="20"/>
                <w:szCs w:val="20"/>
                <w:color w:val="auto"/>
              </w:rPr>
            </w:pPr>
            <w:r>
              <w:rPr>
                <w:rFonts w:ascii="Arial" w:cs="Arial" w:eastAsia="Arial" w:hAnsi="Arial"/>
                <w:sz w:val="14"/>
                <w:szCs w:val="14"/>
                <w:color w:val="auto"/>
              </w:rPr>
              <w:t>(490)</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(357)</w:t>
            </w:r>
          </w:p>
        </w:tc>
        <w:tc>
          <w:tcPr>
            <w:tcW w:w="0" w:type="dxa"/>
            <w:vAlign w:val="bottom"/>
          </w:tcPr>
          <w:p>
            <w:pPr>
              <w:spacing w:after="0"/>
              <w:rPr>
                <w:sz w:val="1"/>
                <w:szCs w:val="1"/>
                <w:color w:val="auto"/>
              </w:rPr>
            </w:pPr>
          </w:p>
        </w:tc>
      </w:tr>
      <w:tr>
        <w:trPr>
          <w:trHeight w:val="142"/>
        </w:trPr>
        <w:tc>
          <w:tcPr>
            <w:tcW w:w="4560" w:type="dxa"/>
            <w:vAlign w:val="bottom"/>
          </w:tcPr>
          <w:p>
            <w:pPr>
              <w:spacing w:after="0" w:line="143" w:lineRule="exact"/>
              <w:rPr>
                <w:sz w:val="20"/>
                <w:szCs w:val="20"/>
                <w:color w:val="auto"/>
              </w:rPr>
            </w:pPr>
            <w:r>
              <w:rPr>
                <w:rFonts w:ascii="Arial" w:cs="Arial" w:eastAsia="Arial" w:hAnsi="Arial"/>
                <w:sz w:val="14"/>
                <w:szCs w:val="14"/>
                <w:color w:val="auto"/>
              </w:rPr>
              <w:t>Cash basis operating income</w:t>
            </w:r>
          </w:p>
        </w:tc>
        <w:tc>
          <w:tcPr>
            <w:tcW w:w="96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3,820</w:t>
            </w:r>
          </w:p>
        </w:tc>
        <w:tc>
          <w:tcPr>
            <w:tcW w:w="8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5,990</w:t>
            </w: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20,504</w:t>
            </w:r>
          </w:p>
        </w:tc>
        <w:tc>
          <w:tcPr>
            <w:tcW w:w="6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23,079</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Payments of interest</w:t>
            </w:r>
          </w:p>
        </w:tc>
        <w:tc>
          <w:tcPr>
            <w:tcW w:w="960" w:type="dxa"/>
            <w:vAlign w:val="bottom"/>
          </w:tcPr>
          <w:p>
            <w:pPr>
              <w:jc w:val="right"/>
              <w:spacing w:after="0"/>
              <w:rPr>
                <w:sz w:val="20"/>
                <w:szCs w:val="20"/>
                <w:color w:val="auto"/>
              </w:rPr>
            </w:pPr>
            <w:r>
              <w:rPr>
                <w:rFonts w:ascii="Arial" w:cs="Arial" w:eastAsia="Arial" w:hAnsi="Arial"/>
                <w:sz w:val="14"/>
                <w:szCs w:val="14"/>
                <w:color w:val="auto"/>
              </w:rPr>
              <w:t>(587)</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(569)</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(2,355)</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(2,389)</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960" w:type="dxa"/>
            <w:vAlign w:val="bottom"/>
          </w:tcPr>
          <w:p>
            <w:pPr>
              <w:jc w:val="right"/>
              <w:spacing w:after="0"/>
              <w:rPr>
                <w:sz w:val="20"/>
                <w:szCs w:val="20"/>
                <w:color w:val="auto"/>
              </w:rPr>
            </w:pPr>
            <w:r>
              <w:rPr>
                <w:rFonts w:ascii="Arial" w:cs="Arial" w:eastAsia="Arial" w:hAnsi="Arial"/>
                <w:sz w:val="14"/>
                <w:szCs w:val="14"/>
                <w:color w:val="auto"/>
              </w:rPr>
              <w:t>(766)</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(790)</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(3,946)</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(3,668)</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Other</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39</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9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$2,481</w:t>
            </w:r>
          </w:p>
        </w:tc>
        <w:tc>
          <w:tcPr>
            <w:tcW w:w="8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$4,643</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$14,160</w:t>
            </w: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$16,945</w:t>
            </w:r>
          </w:p>
        </w:tc>
        <w:tc>
          <w:tcPr>
            <w:tcW w:w="0" w:type="dxa"/>
            <w:vAlign w:val="bottom"/>
          </w:tcPr>
          <w:p>
            <w:pPr>
              <w:spacing w:after="0"/>
              <w:rPr>
                <w:sz w:val="1"/>
                <w:szCs w:val="1"/>
                <w:color w:val="auto"/>
              </w:rPr>
            </w:pPr>
          </w:p>
        </w:tc>
      </w:tr>
      <w:tr>
        <w:trPr>
          <w:trHeight w:val="142"/>
        </w:trPr>
        <w:tc>
          <w:tcPr>
            <w:tcW w:w="4560" w:type="dxa"/>
            <w:vAlign w:val="bottom"/>
          </w:tcPr>
          <w:p>
            <w:pPr>
              <w:spacing w:after="0" w:line="143" w:lineRule="exact"/>
              <w:rPr>
                <w:sz w:val="20"/>
                <w:szCs w:val="20"/>
                <w:color w:val="auto"/>
              </w:rPr>
            </w:pPr>
            <w:r>
              <w:rPr>
                <w:rFonts w:ascii="Arial" w:cs="Arial" w:eastAsia="Arial" w:hAnsi="Arial"/>
                <w:sz w:val="14"/>
                <w:szCs w:val="14"/>
                <w:color w:val="auto"/>
              </w:rPr>
              <w:t>Capital expenditures</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(2,003)</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(2,224)</w:t>
            </w: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(6,596)</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(7,420)</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60" w:type="dxa"/>
            <w:vAlign w:val="bottom"/>
          </w:tcPr>
          <w:p>
            <w:pPr>
              <w:jc w:val="right"/>
              <w:spacing w:after="0"/>
              <w:rPr>
                <w:sz w:val="20"/>
                <w:szCs w:val="20"/>
                <w:color w:val="auto"/>
              </w:rPr>
            </w:pPr>
            <w:r>
              <w:rPr>
                <w:rFonts w:ascii="Arial" w:cs="Arial" w:eastAsia="Arial" w:hAnsi="Arial"/>
                <w:sz w:val="14"/>
                <w:szCs w:val="14"/>
                <w:color w:val="auto"/>
              </w:rPr>
              <w:t>(315)</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(387)</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(1,009)</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(1,122)</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(220)</w:t>
            </w:r>
          </w:p>
        </w:tc>
        <w:tc>
          <w:tcPr>
            <w:tcW w:w="0" w:type="dxa"/>
            <w:vAlign w:val="bottom"/>
          </w:tcPr>
          <w:p>
            <w:pPr>
              <w:spacing w:after="0"/>
              <w:rPr>
                <w:sz w:val="1"/>
                <w:szCs w:val="1"/>
                <w:color w:val="auto"/>
              </w:rPr>
            </w:pPr>
          </w:p>
        </w:tc>
      </w:tr>
      <w:tr>
        <w:trPr>
          <w:trHeight w:val="144"/>
        </w:trPr>
        <w:tc>
          <w:tcPr>
            <w:tcW w:w="4560" w:type="dxa"/>
            <w:vAlign w:val="bottom"/>
          </w:tcPr>
          <w:p>
            <w:pPr>
              <w:ind w:left="180"/>
              <w:spacing w:after="0" w:line="144" w:lineRule="exact"/>
              <w:rPr>
                <w:sz w:val="20"/>
                <w:szCs w:val="20"/>
                <w:color w:val="auto"/>
              </w:rPr>
            </w:pPr>
            <w:r>
              <w:rPr>
                <w:rFonts w:ascii="Arial" w:cs="Arial" w:eastAsia="Arial" w:hAnsi="Arial"/>
                <w:sz w:val="14"/>
                <w:szCs w:val="14"/>
                <w:color w:val="auto"/>
              </w:rPr>
              <w:t>redeemable subsidiary preferred stock</w:t>
            </w:r>
          </w:p>
        </w:tc>
        <w:tc>
          <w:tcPr>
            <w:tcW w:w="960" w:type="dxa"/>
            <w:vAlign w:val="bottom"/>
          </w:tcPr>
          <w:p>
            <w:pPr>
              <w:jc w:val="right"/>
              <w:spacing w:after="0" w:line="144" w:lineRule="exact"/>
              <w:rPr>
                <w:sz w:val="20"/>
                <w:szCs w:val="20"/>
                <w:color w:val="auto"/>
              </w:rPr>
            </w:pPr>
            <w:r>
              <w:rPr>
                <w:rFonts w:ascii="Arial" w:cs="Arial" w:eastAsia="Arial" w:hAnsi="Arial"/>
                <w:sz w:val="14"/>
                <w:szCs w:val="14"/>
                <w:color w:val="auto"/>
              </w:rPr>
              <w:t>(51)</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(215)</w:t>
            </w: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1,323</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(288)</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2,149</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56"/>
        </w:trPr>
        <w:tc>
          <w:tcPr>
            <w:tcW w:w="456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96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$1,435</w:t>
            </w:r>
          </w:p>
        </w:tc>
        <w:tc>
          <w:tcPr>
            <w:tcW w:w="8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$1,694</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$8,489</w:t>
            </w:r>
          </w:p>
        </w:tc>
        <w:tc>
          <w:tcPr>
            <w:tcW w:w="60" w:type="dxa"/>
            <w:vAlign w:val="bottom"/>
            <w:tcBorders>
              <w:top w:val="single" w:sz="8" w:color="auto"/>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$8,167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C9C9C9"/>
        </w:rPr>
        <w:t>Reconciliation of EPS Excluding Favorable Income Tax Adjustments, Gains on Sales, Acquisition-Related Items, Pension Termination Costs and Losses on Investments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Twelve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0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900" w:type="dxa"/>
            <w:vAlign w:val="bottom"/>
            <w:vMerge w:val="continue"/>
          </w:tcPr>
          <w:p>
            <w:pPr>
              <w:spacing w:after="0"/>
              <w:rPr>
                <w:sz w:val="13"/>
                <w:szCs w:val="13"/>
                <w:color w:val="auto"/>
              </w:rPr>
            </w:pPr>
          </w:p>
        </w:tc>
        <w:tc>
          <w:tcPr>
            <w:tcW w:w="10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(2)</w:t>
            </w: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auto"/>
            </w:tcBorders>
            <w:gridSpan w:val="2"/>
            <w:vMerge w:val="restart"/>
          </w:tcPr>
          <w:p>
            <w:pPr>
              <w:ind w:left="44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(2)</w:t>
            </w:r>
          </w:p>
        </w:tc>
        <w:tc>
          <w:tcPr>
            <w:tcW w:w="80" w:type="dxa"/>
            <w:vAlign w:val="bottom"/>
          </w:tcPr>
          <w:p>
            <w:pPr>
              <w:spacing w:after="0"/>
              <w:rPr>
                <w:sz w:val="13"/>
                <w:szCs w:val="13"/>
                <w:color w:val="auto"/>
              </w:rPr>
            </w:pPr>
          </w:p>
        </w:tc>
        <w:tc>
          <w:tcPr>
            <w:tcW w:w="100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(2)</w:t>
            </w: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9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102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color w:val="auto"/>
              </w:rPr>
              <w:t>$1,913</w:t>
            </w: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$0.72</w:t>
            </w:r>
          </w:p>
        </w:tc>
        <w:tc>
          <w:tcPr>
            <w:tcW w:w="220" w:type="dxa"/>
            <w:vAlign w:val="bottom"/>
          </w:tcPr>
          <w:p>
            <w:pPr>
              <w:spacing w:after="0"/>
              <w:rPr>
                <w:sz w:val="24"/>
                <w:szCs w:val="24"/>
                <w:color w:val="auto"/>
              </w:rPr>
            </w:pPr>
          </w:p>
        </w:tc>
        <w:tc>
          <w:tcPr>
            <w:tcW w:w="640" w:type="dxa"/>
            <w:vAlign w:val="bottom"/>
            <w:tcBorders>
              <w:top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$1,925</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$0.74</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$6,816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220" w:type="dxa"/>
            <w:vAlign w:val="bottom"/>
          </w:tcPr>
          <w:p>
            <w:pPr>
              <w:spacing w:after="0"/>
              <w:rPr>
                <w:sz w:val="24"/>
                <w:szCs w:val="24"/>
                <w:color w:val="auto"/>
              </w:rPr>
            </w:pPr>
          </w:p>
        </w:tc>
        <w:tc>
          <w:tcPr>
            <w:tcW w:w="9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$8,380</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$3.20</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0.6%</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2.8%</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i w:val="1"/>
                <w:iCs w:val="1"/>
                <w:color w:val="auto"/>
              </w:rPr>
              <w:t>22.9%</w:t>
            </w:r>
          </w:p>
        </w:tc>
        <w:tc>
          <w:tcPr>
            <w:tcW w:w="600" w:type="dxa"/>
            <w:vAlign w:val="bottom"/>
          </w:tcPr>
          <w:p>
            <w:pPr>
              <w:jc w:val="right"/>
              <w:ind w:right="8"/>
              <w:spacing w:after="0"/>
              <w:rPr>
                <w:sz w:val="20"/>
                <w:szCs w:val="20"/>
                <w:color w:val="auto"/>
              </w:rPr>
            </w:pPr>
            <w:r>
              <w:rPr>
                <w:rFonts w:ascii="Arial" w:cs="Arial" w:eastAsia="Arial" w:hAnsi="Arial"/>
                <w:sz w:val="14"/>
                <w:szCs w:val="14"/>
                <w:i w:val="1"/>
                <w:iCs w:val="1"/>
                <w:color w:val="auto"/>
              </w:rPr>
              <w:t>25.0%</w:t>
            </w:r>
          </w:p>
        </w:tc>
        <w:tc>
          <w:tcPr>
            <w:tcW w:w="0" w:type="dxa"/>
            <w:vAlign w:val="bottom"/>
          </w:tcPr>
          <w:p>
            <w:pPr>
              <w:spacing w:after="0"/>
              <w:rPr>
                <w:sz w:val="1"/>
                <w:szCs w:val="1"/>
                <w:color w:val="auto"/>
              </w:rPr>
            </w:pPr>
          </w:p>
        </w:tc>
      </w:tr>
      <w:tr>
        <w:trPr>
          <w:trHeight w:val="296"/>
        </w:trPr>
        <w:tc>
          <w:tcPr>
            <w:tcW w:w="3900" w:type="dxa"/>
            <w:vAlign w:val="bottom"/>
          </w:tcPr>
          <w:p>
            <w:pPr>
              <w:ind w:left="300"/>
              <w:spacing w:after="0"/>
              <w:rPr>
                <w:sz w:val="20"/>
                <w:szCs w:val="20"/>
                <w:color w:val="auto"/>
              </w:rPr>
            </w:pPr>
            <w:r>
              <w:rPr>
                <w:rFonts w:ascii="Arial" w:cs="Arial" w:eastAsia="Arial" w:hAnsi="Arial"/>
                <w:sz w:val="14"/>
                <w:szCs w:val="14"/>
                <w:color w:val="auto"/>
              </w:rPr>
              <w:t>Favorable income tax adjustments</w:t>
            </w:r>
            <w:r>
              <w:rPr>
                <w:rFonts w:ascii="Arial" w:cs="Arial" w:eastAsia="Arial" w:hAnsi="Arial"/>
                <w:sz w:val="14"/>
                <w:szCs w:val="14"/>
                <w:color w:val="auto"/>
                <w:vertAlign w:val="superscript"/>
              </w:rPr>
              <w:t>(3)</w:t>
            </w:r>
          </w:p>
        </w:tc>
        <w:tc>
          <w:tcPr>
            <w:tcW w:w="1020" w:type="dxa"/>
            <w:vAlign w:val="bottom"/>
          </w:tcPr>
          <w:p>
            <w:pPr>
              <w:ind w:left="320"/>
              <w:spacing w:after="0"/>
              <w:rPr>
                <w:sz w:val="20"/>
                <w:szCs w:val="20"/>
                <w:color w:val="auto"/>
              </w:rPr>
            </w:pPr>
            <w:r>
              <w:rPr>
                <w:rFonts w:ascii="Arial" w:cs="Arial" w:eastAsia="Arial" w:hAnsi="Arial"/>
                <w:sz w:val="14"/>
                <w:szCs w:val="14"/>
                <w:color w:val="auto"/>
              </w:rPr>
              <w:t>(158)</w:t>
            </w:r>
          </w:p>
        </w:tc>
        <w:tc>
          <w:tcPr>
            <w:tcW w:w="640" w:type="dxa"/>
            <w:vAlign w:val="bottom"/>
          </w:tcPr>
          <w:p>
            <w:pPr>
              <w:ind w:left="220"/>
              <w:spacing w:after="0"/>
              <w:rPr>
                <w:sz w:val="20"/>
                <w:szCs w:val="20"/>
                <w:color w:val="auto"/>
              </w:rPr>
            </w:pPr>
            <w:r>
              <w:rPr>
                <w:rFonts w:ascii="Arial" w:cs="Arial" w:eastAsia="Arial" w:hAnsi="Arial"/>
                <w:sz w:val="14"/>
                <w:szCs w:val="14"/>
                <w:color w:val="auto"/>
              </w:rPr>
              <w:t>(0.06)</w:t>
            </w:r>
          </w:p>
        </w:tc>
        <w:tc>
          <w:tcPr>
            <w:tcW w:w="220" w:type="dxa"/>
            <w:vAlign w:val="bottom"/>
          </w:tcPr>
          <w:p>
            <w:pPr>
              <w:spacing w:after="0"/>
              <w:rPr>
                <w:sz w:val="24"/>
                <w:szCs w:val="24"/>
                <w:color w:val="auto"/>
              </w:rPr>
            </w:pPr>
          </w:p>
        </w:tc>
        <w:tc>
          <w:tcPr>
            <w:tcW w:w="640" w:type="dxa"/>
            <w:vAlign w:val="bottom"/>
          </w:tcPr>
          <w:p>
            <w:pPr>
              <w:jc w:val="center"/>
              <w:ind w:left="128"/>
              <w:spacing w:after="0"/>
              <w:rPr>
                <w:sz w:val="20"/>
                <w:szCs w:val="20"/>
                <w:color w:val="auto"/>
              </w:rPr>
            </w:pPr>
            <w:r>
              <w:rPr>
                <w:rFonts w:ascii="Arial" w:cs="Arial" w:eastAsia="Arial" w:hAnsi="Arial"/>
                <w:sz w:val="14"/>
                <w:szCs w:val="14"/>
                <w:b w:val="1"/>
                <w:bCs w:val="1"/>
                <w:color w:val="auto"/>
                <w:w w:val="84"/>
              </w:rPr>
              <w:t>-</w:t>
            </w: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(158)</w:t>
            </w:r>
          </w:p>
        </w:tc>
        <w:tc>
          <w:tcPr>
            <w:tcW w:w="600" w:type="dxa"/>
            <w:vAlign w:val="bottom"/>
          </w:tcPr>
          <w:p>
            <w:pPr>
              <w:jc w:val="right"/>
              <w:spacing w:after="0"/>
              <w:rPr>
                <w:sz w:val="20"/>
                <w:szCs w:val="20"/>
                <w:color w:val="auto"/>
              </w:rPr>
            </w:pPr>
            <w:r>
              <w:rPr>
                <w:rFonts w:ascii="Arial" w:cs="Arial" w:eastAsia="Arial" w:hAnsi="Arial"/>
                <w:sz w:val="14"/>
                <w:szCs w:val="14"/>
                <w:color w:val="auto"/>
              </w:rPr>
              <w:t>(0.06)</w:t>
            </w:r>
          </w:p>
        </w:tc>
        <w:tc>
          <w:tcPr>
            <w:tcW w:w="22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(724)</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0" w:type="dxa"/>
            <w:vAlign w:val="bottom"/>
          </w:tcPr>
          <w:p>
            <w:pPr>
              <w:spacing w:after="0"/>
              <w:rPr>
                <w:sz w:val="1"/>
                <w:szCs w:val="1"/>
                <w:color w:val="auto"/>
              </w:rPr>
            </w:pPr>
          </w:p>
        </w:tc>
      </w:tr>
      <w:tr>
        <w:trPr>
          <w:trHeight w:val="180"/>
        </w:trPr>
        <w:tc>
          <w:tcPr>
            <w:tcW w:w="3900" w:type="dxa"/>
            <w:vAlign w:val="bottom"/>
          </w:tcPr>
          <w:p>
            <w:pPr>
              <w:ind w:left="300"/>
              <w:spacing w:after="0"/>
              <w:rPr>
                <w:sz w:val="20"/>
                <w:szCs w:val="20"/>
                <w:color w:val="auto"/>
              </w:rPr>
            </w:pPr>
            <w:r>
              <w:rPr>
                <w:rFonts w:ascii="Arial" w:cs="Arial" w:eastAsia="Arial" w:hAnsi="Arial"/>
                <w:sz w:val="14"/>
                <w:szCs w:val="14"/>
                <w:color w:val="auto"/>
              </w:rPr>
              <w:t>Gains on sales of investments</w:t>
            </w:r>
            <w:r>
              <w:rPr>
                <w:rFonts w:ascii="Arial" w:cs="Arial" w:eastAsia="Arial" w:hAnsi="Arial"/>
                <w:sz w:val="14"/>
                <w:szCs w:val="14"/>
                <w:color w:val="auto"/>
                <w:vertAlign w:val="superscript"/>
              </w:rPr>
              <w:t>(4)</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center"/>
              <w:ind w:left="128"/>
              <w:spacing w:after="0"/>
              <w:rPr>
                <w:sz w:val="20"/>
                <w:szCs w:val="20"/>
                <w:color w:val="auto"/>
              </w:rPr>
            </w:pPr>
            <w:r>
              <w:rPr>
                <w:rFonts w:ascii="Arial" w:cs="Arial" w:eastAsia="Arial" w:hAnsi="Arial"/>
                <w:sz w:val="14"/>
                <w:szCs w:val="14"/>
                <w:b w:val="1"/>
                <w:bCs w:val="1"/>
                <w:color w:val="auto"/>
                <w:w w:val="84"/>
              </w:rPr>
              <w:t>-</w:t>
            </w: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(279)</w:t>
            </w:r>
          </w:p>
        </w:tc>
        <w:tc>
          <w:tcPr>
            <w:tcW w:w="600" w:type="dxa"/>
            <w:vAlign w:val="bottom"/>
          </w:tcPr>
          <w:p>
            <w:pPr>
              <w:jc w:val="right"/>
              <w:spacing w:after="0"/>
              <w:rPr>
                <w:sz w:val="20"/>
                <w:szCs w:val="20"/>
                <w:color w:val="auto"/>
              </w:rPr>
            </w:pPr>
            <w:r>
              <w:rPr>
                <w:rFonts w:ascii="Arial" w:cs="Arial" w:eastAsia="Arial" w:hAnsi="Arial"/>
                <w:sz w:val="14"/>
                <w:szCs w:val="14"/>
                <w:color w:val="auto"/>
              </w:rPr>
              <w:t>(0.11)</w:t>
            </w:r>
          </w:p>
        </w:tc>
        <w:tc>
          <w:tcPr>
            <w:tcW w:w="22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(97)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0" w:type="dxa"/>
            <w:vAlign w:val="bottom"/>
          </w:tcPr>
          <w:p>
            <w:pPr>
              <w:spacing w:after="0"/>
              <w:rPr>
                <w:sz w:val="1"/>
                <w:szCs w:val="1"/>
                <w:color w:val="auto"/>
              </w:rPr>
            </w:pPr>
          </w:p>
        </w:tc>
      </w:tr>
      <w:tr>
        <w:trPr>
          <w:trHeight w:val="160"/>
        </w:trPr>
        <w:tc>
          <w:tcPr>
            <w:tcW w:w="3900" w:type="dxa"/>
            <w:vAlign w:val="bottom"/>
          </w:tcPr>
          <w:p>
            <w:pPr>
              <w:ind w:left="300"/>
              <w:spacing w:after="0" w:line="160" w:lineRule="exact"/>
              <w:rPr>
                <w:sz w:val="20"/>
                <w:szCs w:val="20"/>
                <w:color w:val="auto"/>
              </w:rPr>
            </w:pPr>
            <w:r>
              <w:rPr>
                <w:rFonts w:ascii="Arial" w:cs="Arial" w:eastAsia="Arial" w:hAnsi="Arial"/>
                <w:sz w:val="14"/>
                <w:szCs w:val="14"/>
                <w:color w:val="auto"/>
              </w:rPr>
              <w:t>Favorable resolution of a contingency of</w:t>
            </w: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4"/>
              </w:rPr>
              <w:t>-</w:t>
            </w: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(27)</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64"/>
        </w:trPr>
        <w:tc>
          <w:tcPr>
            <w:tcW w:w="3900" w:type="dxa"/>
            <w:vAlign w:val="bottom"/>
          </w:tcPr>
          <w:p>
            <w:pPr>
              <w:ind w:left="480"/>
              <w:spacing w:after="0"/>
              <w:rPr>
                <w:sz w:val="20"/>
                <w:szCs w:val="20"/>
                <w:color w:val="auto"/>
              </w:rPr>
            </w:pPr>
            <w:r>
              <w:rPr>
                <w:rFonts w:ascii="Arial" w:cs="Arial" w:eastAsia="Arial" w:hAnsi="Arial"/>
                <w:sz w:val="14"/>
                <w:szCs w:val="14"/>
                <w:color w:val="auto"/>
              </w:rPr>
              <w:t>an acquired company</w:t>
            </w:r>
            <w:r>
              <w:rPr>
                <w:rFonts w:ascii="Arial" w:cs="Arial" w:eastAsia="Arial" w:hAnsi="Arial"/>
                <w:sz w:val="14"/>
                <w:szCs w:val="14"/>
                <w:color w:val="auto"/>
                <w:vertAlign w:val="superscript"/>
              </w:rPr>
              <w:t>(5)</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300"/>
              <w:spacing w:after="0" w:line="160" w:lineRule="exact"/>
              <w:rPr>
                <w:sz w:val="20"/>
                <w:szCs w:val="20"/>
                <w:color w:val="auto"/>
              </w:rPr>
            </w:pPr>
            <w:r>
              <w:rPr>
                <w:rFonts w:ascii="Arial" w:cs="Arial" w:eastAsia="Arial" w:hAnsi="Arial"/>
                <w:sz w:val="14"/>
                <w:szCs w:val="14"/>
                <w:color w:val="auto"/>
              </w:rPr>
              <w:t>Costs related to Time Warner Cable</w:t>
            </w: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0.03</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149</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r>
        <w:trPr>
          <w:trHeight w:val="164"/>
        </w:trPr>
        <w:tc>
          <w:tcPr>
            <w:tcW w:w="3900" w:type="dxa"/>
            <w:vAlign w:val="bottom"/>
          </w:tcPr>
          <w:p>
            <w:pPr>
              <w:ind w:left="480"/>
              <w:spacing w:after="0"/>
              <w:rPr>
                <w:sz w:val="20"/>
                <w:szCs w:val="20"/>
                <w:color w:val="auto"/>
              </w:rPr>
            </w:pPr>
            <w:r>
              <w:rPr>
                <w:rFonts w:ascii="Arial" w:cs="Arial" w:eastAsia="Arial" w:hAnsi="Arial"/>
                <w:sz w:val="14"/>
                <w:szCs w:val="14"/>
                <w:color w:val="auto"/>
              </w:rPr>
              <w:t>and Charter transactions</w:t>
            </w:r>
            <w:r>
              <w:rPr>
                <w:rFonts w:ascii="Arial" w:cs="Arial" w:eastAsia="Arial" w:hAnsi="Arial"/>
                <w:sz w:val="14"/>
                <w:szCs w:val="14"/>
                <w:color w:val="auto"/>
                <w:vertAlign w:val="superscript"/>
              </w:rPr>
              <w:t>(6)</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300"/>
              <w:spacing w:after="0" w:line="160" w:lineRule="exact"/>
              <w:rPr>
                <w:sz w:val="20"/>
                <w:szCs w:val="20"/>
                <w:color w:val="auto"/>
              </w:rPr>
            </w:pPr>
            <w:r>
              <w:rPr>
                <w:rFonts w:ascii="Arial" w:cs="Arial" w:eastAsia="Arial" w:hAnsi="Arial"/>
                <w:sz w:val="14"/>
                <w:szCs w:val="14"/>
                <w:color w:val="auto"/>
              </w:rPr>
              <w:t>Gain on sale of wireless spectrum</w:t>
            </w: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4"/>
              </w:rPr>
              <w:t>-</w:t>
            </w: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6"/>
        </w:trPr>
        <w:tc>
          <w:tcPr>
            <w:tcW w:w="3900" w:type="dxa"/>
            <w:vAlign w:val="bottom"/>
          </w:tcPr>
          <w:p>
            <w:pPr>
              <w:ind w:left="480"/>
              <w:spacing w:after="0" w:line="147" w:lineRule="exact"/>
              <w:rPr>
                <w:sz w:val="20"/>
                <w:szCs w:val="20"/>
                <w:color w:val="auto"/>
              </w:rPr>
            </w:pPr>
            <w:r>
              <w:rPr>
                <w:rFonts w:ascii="Arial" w:cs="Arial" w:eastAsia="Arial" w:hAnsi="Arial"/>
                <w:sz w:val="14"/>
                <w:szCs w:val="14"/>
                <w:color w:val="auto"/>
              </w:rPr>
              <w:t>licenses</w:t>
            </w:r>
            <w:r>
              <w:rPr>
                <w:rFonts w:ascii="Arial" w:cs="Arial" w:eastAsia="Arial" w:hAnsi="Arial"/>
                <w:sz w:val="14"/>
                <w:szCs w:val="14"/>
                <w:color w:val="auto"/>
                <w:vertAlign w:val="superscript"/>
              </w:rPr>
              <w:t>(7)</w:t>
            </w:r>
          </w:p>
        </w:tc>
        <w:tc>
          <w:tcPr>
            <w:tcW w:w="1020" w:type="dxa"/>
            <w:vAlign w:val="bottom"/>
          </w:tcPr>
          <w:p>
            <w:pPr>
              <w:jc w:val="center"/>
              <w:ind w:right="108"/>
              <w:spacing w:after="0" w:line="147" w:lineRule="exact"/>
              <w:rPr>
                <w:sz w:val="20"/>
                <w:szCs w:val="20"/>
                <w:color w:val="auto"/>
              </w:rPr>
            </w:pPr>
            <w:r>
              <w:rPr>
                <w:rFonts w:ascii="Arial" w:cs="Arial" w:eastAsia="Arial" w:hAnsi="Arial"/>
                <w:sz w:val="14"/>
                <w:szCs w:val="14"/>
                <w:color w:val="auto"/>
                <w:w w:val="84"/>
              </w:rPr>
              <w:t>-</w:t>
            </w:r>
          </w:p>
        </w:tc>
        <w:tc>
          <w:tcPr>
            <w:tcW w:w="640" w:type="dxa"/>
            <w:vAlign w:val="bottom"/>
          </w:tcPr>
          <w:p>
            <w:pPr>
              <w:jc w:val="right"/>
              <w:ind w:right="188"/>
              <w:spacing w:after="0" w:line="14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(67)</w:t>
            </w:r>
          </w:p>
        </w:tc>
        <w:tc>
          <w:tcPr>
            <w:tcW w:w="820" w:type="dxa"/>
            <w:vAlign w:val="bottom"/>
            <w:gridSpan w:val="2"/>
          </w:tcPr>
          <w:p>
            <w:pPr>
              <w:ind w:left="220"/>
              <w:spacing w:after="0" w:line="147" w:lineRule="exact"/>
              <w:rPr>
                <w:sz w:val="20"/>
                <w:szCs w:val="20"/>
                <w:color w:val="auto"/>
              </w:rPr>
            </w:pPr>
            <w:r>
              <w:rPr>
                <w:rFonts w:ascii="Arial" w:cs="Arial" w:eastAsia="Arial" w:hAnsi="Arial"/>
                <w:sz w:val="14"/>
                <w:szCs w:val="14"/>
                <w:color w:val="auto"/>
              </w:rPr>
              <w:t>(0.03)</w:t>
            </w:r>
          </w:p>
        </w:tc>
        <w:tc>
          <w:tcPr>
            <w:tcW w:w="9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300"/>
              <w:spacing w:after="0"/>
              <w:rPr>
                <w:sz w:val="20"/>
                <w:szCs w:val="20"/>
                <w:color w:val="auto"/>
              </w:rPr>
            </w:pPr>
            <w:r>
              <w:rPr>
                <w:rFonts w:ascii="Arial" w:cs="Arial" w:eastAsia="Arial" w:hAnsi="Arial"/>
                <w:sz w:val="14"/>
                <w:szCs w:val="14"/>
                <w:color w:val="auto"/>
              </w:rPr>
              <w:t>Pension termination costs</w:t>
            </w:r>
            <w:r>
              <w:rPr>
                <w:rFonts w:ascii="Arial" w:cs="Arial" w:eastAsia="Arial" w:hAnsi="Arial"/>
                <w:sz w:val="14"/>
                <w:szCs w:val="14"/>
                <w:color w:val="auto"/>
                <w:vertAlign w:val="superscript"/>
              </w:rPr>
              <w:t>(8)</w:t>
            </w: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84"/>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jc w:val="center"/>
              <w:ind w:left="128"/>
              <w:spacing w:after="0"/>
              <w:rPr>
                <w:sz w:val="20"/>
                <w:szCs w:val="20"/>
                <w:color w:val="auto"/>
              </w:rPr>
            </w:pPr>
            <w:r>
              <w:rPr>
                <w:rFonts w:ascii="Arial" w:cs="Arial" w:eastAsia="Arial" w:hAnsi="Arial"/>
                <w:sz w:val="14"/>
                <w:szCs w:val="14"/>
                <w:b w:val="1"/>
                <w:bCs w:val="1"/>
                <w:color w:val="auto"/>
                <w:w w:val="84"/>
              </w:rPr>
              <w:t>-</w:t>
            </w: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Arial" w:cs="Arial" w:eastAsia="Arial" w:hAnsi="Arial"/>
                <w:sz w:val="14"/>
                <w:szCs w:val="14"/>
                <w:color w:val="auto"/>
              </w:rPr>
              <w:t>46</w:t>
            </w:r>
          </w:p>
        </w:tc>
        <w:tc>
          <w:tcPr>
            <w:tcW w:w="600" w:type="dxa"/>
            <w:vAlign w:val="bottom"/>
          </w:tcPr>
          <w:p>
            <w:pPr>
              <w:jc w:val="right"/>
              <w:spacing w:after="0"/>
              <w:rPr>
                <w:sz w:val="20"/>
                <w:szCs w:val="20"/>
                <w:color w:val="auto"/>
              </w:rPr>
            </w:pPr>
            <w:r>
              <w:rPr>
                <w:rFonts w:ascii="Arial" w:cs="Arial" w:eastAsia="Arial" w:hAnsi="Arial"/>
                <w:sz w:val="14"/>
                <w:szCs w:val="14"/>
                <w:color w:val="auto"/>
              </w:rPr>
              <w:t>0.02</w:t>
            </w:r>
          </w:p>
        </w:tc>
        <w:tc>
          <w:tcPr>
            <w:tcW w:w="2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300"/>
              <w:spacing w:after="0"/>
              <w:rPr>
                <w:sz w:val="20"/>
                <w:szCs w:val="20"/>
                <w:color w:val="auto"/>
              </w:rPr>
            </w:pPr>
            <w:r>
              <w:rPr>
                <w:rFonts w:ascii="Arial" w:cs="Arial" w:eastAsia="Arial" w:hAnsi="Arial"/>
                <w:sz w:val="14"/>
                <w:szCs w:val="14"/>
                <w:color w:val="auto"/>
              </w:rPr>
              <w:t>Losses on investments</w:t>
            </w:r>
            <w:r>
              <w:rPr>
                <w:rFonts w:ascii="Arial" w:cs="Arial" w:eastAsia="Arial" w:hAnsi="Arial"/>
                <w:sz w:val="14"/>
                <w:szCs w:val="14"/>
                <w:color w:val="auto"/>
                <w:vertAlign w:val="superscript"/>
              </w:rPr>
              <w:t>(9)</w:t>
            </w: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84"/>
              </w:rPr>
              <w:t>-</w:t>
            </w: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4"/>
              </w:rPr>
              <w:t>-</w:t>
            </w: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234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300"/>
              <w:spacing w:after="0"/>
              <w:rPr>
                <w:sz w:val="20"/>
                <w:szCs w:val="20"/>
                <w:color w:val="auto"/>
              </w:rPr>
            </w:pPr>
            <w:r>
              <w:rPr>
                <w:rFonts w:ascii="Arial" w:cs="Arial" w:eastAsia="Arial" w:hAnsi="Arial"/>
                <w:sz w:val="14"/>
                <w:szCs w:val="14"/>
                <w:color w:val="auto"/>
              </w:rPr>
              <w:t>(excluding favorable income tax</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300"/>
              <w:spacing w:after="0"/>
              <w:rPr>
                <w:sz w:val="20"/>
                <w:szCs w:val="20"/>
                <w:color w:val="auto"/>
              </w:rPr>
            </w:pPr>
            <w:r>
              <w:rPr>
                <w:rFonts w:ascii="Arial" w:cs="Arial" w:eastAsia="Arial" w:hAnsi="Arial"/>
                <w:sz w:val="14"/>
                <w:szCs w:val="14"/>
                <w:color w:val="auto"/>
              </w:rPr>
              <w:t>adjustments, gains on sales,</w:t>
            </w: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300"/>
              <w:spacing w:after="0"/>
              <w:rPr>
                <w:sz w:val="20"/>
                <w:szCs w:val="20"/>
                <w:color w:val="auto"/>
              </w:rPr>
            </w:pPr>
            <w:r>
              <w:rPr>
                <w:rFonts w:ascii="Arial" w:cs="Arial" w:eastAsia="Arial" w:hAnsi="Arial"/>
                <w:sz w:val="14"/>
                <w:szCs w:val="14"/>
                <w:color w:val="auto"/>
              </w:rPr>
              <w:t>acquisition-related items, pension</w:t>
            </w:r>
          </w:p>
        </w:tc>
        <w:tc>
          <w:tcPr>
            <w:tcW w:w="1020" w:type="dxa"/>
            <w:vAlign w:val="bottom"/>
            <w:vMerge w:val="restart"/>
          </w:tcPr>
          <w:p>
            <w:pPr>
              <w:jc w:val="center"/>
              <w:ind w:right="108"/>
              <w:spacing w:after="0"/>
              <w:rPr>
                <w:sz w:val="20"/>
                <w:szCs w:val="20"/>
                <w:color w:val="auto"/>
              </w:rPr>
            </w:pPr>
            <w:r>
              <w:rPr>
                <w:rFonts w:ascii="Arial" w:cs="Arial" w:eastAsia="Arial" w:hAnsi="Arial"/>
                <w:sz w:val="14"/>
                <w:szCs w:val="14"/>
                <w:color w:val="auto"/>
              </w:rPr>
              <w:t>$1,755</w:t>
            </w: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rPr>
              <w:t>$0.66</w:t>
            </w:r>
          </w:p>
        </w:tc>
        <w:tc>
          <w:tcPr>
            <w:tcW w:w="220" w:type="dxa"/>
            <w:vAlign w:val="bottom"/>
          </w:tcPr>
          <w:p>
            <w:pPr>
              <w:spacing w:after="0"/>
              <w:rPr>
                <w:sz w:val="14"/>
                <w:szCs w:val="14"/>
                <w:color w:val="auto"/>
              </w:rPr>
            </w:pPr>
          </w:p>
        </w:tc>
        <w:tc>
          <w:tcPr>
            <w:tcW w:w="6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$1,988</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$0.77</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color w:val="auto"/>
              </w:rPr>
              <w:t>$6,592</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220" w:type="dxa"/>
            <w:vAlign w:val="bottom"/>
          </w:tcPr>
          <w:p>
            <w:pPr>
              <w:spacing w:after="0"/>
              <w:rPr>
                <w:sz w:val="14"/>
                <w:szCs w:val="14"/>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$7,681</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$2.93</w:t>
            </w:r>
          </w:p>
        </w:tc>
        <w:tc>
          <w:tcPr>
            <w:tcW w:w="0" w:type="dxa"/>
            <w:vAlign w:val="bottom"/>
          </w:tcPr>
          <w:p>
            <w:pPr>
              <w:spacing w:after="0"/>
              <w:rPr>
                <w:sz w:val="1"/>
                <w:szCs w:val="1"/>
                <w:color w:val="auto"/>
              </w:rPr>
            </w:pPr>
          </w:p>
        </w:tc>
      </w:tr>
      <w:tr>
        <w:trPr>
          <w:trHeight w:val="149"/>
        </w:trPr>
        <w:tc>
          <w:tcPr>
            <w:tcW w:w="3900" w:type="dxa"/>
            <w:vAlign w:val="bottom"/>
          </w:tcPr>
          <w:p>
            <w:pPr>
              <w:ind w:left="300"/>
              <w:spacing w:after="0" w:line="144" w:lineRule="exact"/>
              <w:rPr>
                <w:sz w:val="20"/>
                <w:szCs w:val="20"/>
                <w:color w:val="auto"/>
              </w:rPr>
            </w:pPr>
            <w:r>
              <w:rPr>
                <w:rFonts w:ascii="Arial" w:cs="Arial" w:eastAsia="Arial" w:hAnsi="Arial"/>
                <w:sz w:val="14"/>
                <w:szCs w:val="14"/>
                <w:color w:val="auto"/>
              </w:rPr>
              <w:t>termination costs and losses on investments)</w:t>
            </w:r>
          </w:p>
        </w:tc>
        <w:tc>
          <w:tcPr>
            <w:tcW w:w="10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13.2%</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i w:val="1"/>
                <w:iCs w:val="1"/>
                <w:color w:val="auto"/>
              </w:rPr>
              <w:t>16.5%</w:t>
            </w:r>
          </w:p>
        </w:tc>
        <w:tc>
          <w:tcPr>
            <w:tcW w:w="600" w:type="dxa"/>
            <w:vAlign w:val="bottom"/>
          </w:tcPr>
          <w:p>
            <w:pPr>
              <w:jc w:val="right"/>
              <w:ind w:right="8"/>
              <w:spacing w:after="0"/>
              <w:rPr>
                <w:sz w:val="20"/>
                <w:szCs w:val="20"/>
                <w:color w:val="auto"/>
              </w:rPr>
            </w:pPr>
            <w:r>
              <w:rPr>
                <w:rFonts w:ascii="Arial" w:cs="Arial" w:eastAsia="Arial" w:hAnsi="Arial"/>
                <w:sz w:val="14"/>
                <w:szCs w:val="14"/>
                <w:i w:val="1"/>
                <w:iCs w:val="1"/>
                <w:color w:val="auto"/>
              </w:rPr>
              <w:t>18.6%</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right="12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Nonoperating items include adjustments for cash taxes paid related to certain investing and financing transactions, to reflect cash taxes paid in the year of the related taxable income and to exclude the impacts of Economic Stimulus packages. Net cash provided by operating activities for 2014 includes a $150 million increase in July 2014 resulting from a change in our credit card payment processes that resulted in the acceleration of the recognition of cash receipts in Cable Communications. Net cash provided by operating activities for 2013 includes $1.4 billion of cash payments associated with the termination in December 2013 of NBCUniversal’s receivables monetization programs. For free cash flow purposes, we consider the acceleration to be nonrecurring in nature and the termination to be similar to a financing transaction and therefore, we excluded these amounts from free cash flow as nonoperating items.</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2014 year to date net income attributable to Comcast Corporation includes $724 million of favorable income tax adjustments resulting from adjustments of uncertain tax positions. 4th quarter 2013 net income attributable to Comcast Corporation includes $158 million of favorable income tax adjustments resulting from the exchange transaction with Liberty Media Corporation.</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2014 year to date net income attributable to Comcast Corporation includes $154 million of investment income, $97 million net of tax, resulting from sales of investments. 2013 year to date net income attributable to Comcast Corporation includes $443 million of investment income, $279 million net of tax, resulting from the sale of the investment in Clearwire.</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2014 year to date net income attributable to Comcast Corporation includes $27 million of other income, resulting from the favorable resolution of a contingency related to the AT&amp;T Broadband transaction.</w:t>
      </w:r>
    </w:p>
    <w:p>
      <w:pPr>
        <w:ind w:left="340" w:right="14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4th quarter 2014 net income attributable to Comcast Corporation includes $99 million of operating costs and expenses, $63 million net of tax, related to the Time Warner Cable and Charter transactions. 2014 year to date net income attributable to Comcast Corporation includes $237 million of operating costs and expenses, $149 million net of tax, related to the Time Warner Cable and Charter transactions.</w:t>
      </w:r>
    </w:p>
    <w:p>
      <w:pPr>
        <w:spacing w:after="0" w:line="1" w:lineRule="exact"/>
        <w:rPr>
          <w:rFonts w:ascii="Arial" w:cs="Arial" w:eastAsia="Arial" w:hAnsi="Arial"/>
          <w:sz w:val="14"/>
          <w:szCs w:val="14"/>
          <w:color w:val="auto"/>
        </w:rPr>
      </w:pPr>
    </w:p>
    <w:p>
      <w:pPr>
        <w:ind w:left="340" w:right="300" w:hanging="332"/>
        <w:spacing w:after="0" w:line="25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$108 million of other income, $67 million net of tax, resulting from a gain on the sale of wireless spectrum licenses.</w:t>
      </w:r>
    </w:p>
    <w:p>
      <w:pPr>
        <w:sectPr>
          <w:pgSz w:w="11900" w:h="16911" w:orient="portrait"/>
          <w:cols w:equalWidth="0" w:num="1">
            <w:col w:w="11460"/>
          </w:cols>
          <w:pgMar w:left="240" w:top="112" w:right="199" w:bottom="0" w:gutter="0" w:footer="0" w:header="0"/>
        </w:sectPr>
      </w:pPr>
    </w:p>
    <w:bookmarkStart w:id="10" w:name="page11"/>
    <w:bookmarkEnd w:id="10"/>
    <w:p>
      <w:pPr>
        <w:spacing w:after="0" w:line="62" w:lineRule="exact"/>
        <w:rPr>
          <w:sz w:val="20"/>
          <w:szCs w:val="20"/>
          <w:color w:val="auto"/>
        </w:rPr>
      </w:pPr>
    </w:p>
    <w:p>
      <w:pPr>
        <w:ind w:left="340" w:hanging="332"/>
        <w:spacing w:after="0" w:line="24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$74 million of other operating and administrative expenses, $46 million net of tax, resulting from the termination of a pension plan.</w:t>
      </w:r>
    </w:p>
    <w:p>
      <w:pPr>
        <w:ind w:left="340" w:right="16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$371 million of expense ($236 million of other expense and $135 million of equity in net losses of investees), $234 million net of tax, resulting from losses on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-96520</wp:posOffset>
            </wp:positionV>
            <wp:extent cx="1157605" cy="48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57605" cy="488950"/>
                    </a:xfrm>
                    <a:prstGeom prst="rect">
                      <a:avLst/>
                    </a:prstGeom>
                    <a:noFill/>
                  </pic:spPr>
                </pic:pic>
              </a:graphicData>
            </a:graphic>
          </wp:anchor>
        </w:drawing>
      </w:r>
    </w:p>
    <w:p>
      <w:pPr>
        <w:spacing w:after="0" w:line="2" w:lineRule="exact"/>
        <w:rPr>
          <w:sz w:val="20"/>
          <w:szCs w:val="20"/>
          <w:color w:val="auto"/>
        </w:rPr>
      </w:pPr>
    </w:p>
    <w:p>
      <w:pPr>
        <w:jc w:val="both"/>
        <w:ind w:right="2560"/>
        <w:spacing w:after="0"/>
        <w:rPr>
          <w:sz w:val="20"/>
          <w:szCs w:val="20"/>
          <w:color w:val="auto"/>
        </w:rPr>
      </w:pPr>
      <w:r>
        <w:rPr>
          <w:rFonts w:ascii="Arial" w:cs="Arial" w:eastAsia="Arial" w:hAnsi="Arial"/>
          <w:sz w:val="18"/>
          <w:szCs w:val="18"/>
          <w:b w:val="1"/>
          <w:bCs w:val="1"/>
          <w:color w:val="C9C9C9"/>
        </w:rPr>
        <w:t>Reconciliation of Consolidated Revenue Excluding 2014 Olympics and Operating Cash Flow Excluding Costs Related to Time Warner Cable and Charter Transactions, 2014 Olympics and Pension Termination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left="72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$16,926</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$17,732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$64,657</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$68,775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$16,926</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$17,732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$64,657</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$67,672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8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$5,645</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$5,877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$21,434</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$22,923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96"/>
        </w:trPr>
        <w:tc>
          <w:tcPr>
            <w:tcW w:w="4280" w:type="dxa"/>
            <w:vAlign w:val="bottom"/>
          </w:tcPr>
          <w:p>
            <w:pPr>
              <w:ind w:left="20"/>
              <w:spacing w:after="0"/>
              <w:rPr>
                <w:sz w:val="20"/>
                <w:szCs w:val="20"/>
                <w:color w:val="auto"/>
              </w:rPr>
            </w:pPr>
            <w:r>
              <w:rPr>
                <w:rFonts w:ascii="Arial" w:cs="Arial" w:eastAsia="Arial" w:hAnsi="Arial"/>
                <w:sz w:val="14"/>
                <w:szCs w:val="14"/>
                <w:color w:val="auto"/>
              </w:rPr>
              <w:t>Costs related to Time Warner Cable and Charter transactions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99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237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(105)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20"/>
                <w:szCs w:val="20"/>
                <w:color w:val="auto"/>
              </w:rPr>
            </w:pPr>
            <w:r>
              <w:rPr>
                <w:rFonts w:ascii="Arial" w:cs="Arial" w:eastAsia="Arial" w:hAnsi="Arial"/>
                <w:sz w:val="14"/>
                <w:szCs w:val="14"/>
                <w:color w:val="auto"/>
              </w:rPr>
              <w:t>Pension termination costs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1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428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w:t>
            </w: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Cable and Charter transactions, 2014 Olympics and pension</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$5,645</w:t>
            </w:r>
          </w:p>
        </w:tc>
        <w:tc>
          <w:tcPr>
            <w:tcW w:w="120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$5,976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$21,508</w:t>
            </w:r>
          </w:p>
        </w:tc>
        <w:tc>
          <w:tcPr>
            <w:tcW w:w="11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$23,055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80" w:type="dxa"/>
            <w:vAlign w:val="bottom"/>
          </w:tcPr>
          <w:p>
            <w:pPr>
              <w:spacing w:after="0" w:line="144" w:lineRule="exact"/>
              <w:rPr>
                <w:sz w:val="20"/>
                <w:szCs w:val="20"/>
                <w:color w:val="auto"/>
              </w:rPr>
            </w:pPr>
            <w:r>
              <w:rPr>
                <w:rFonts w:ascii="Arial" w:cs="Arial" w:eastAsia="Arial" w:hAnsi="Arial"/>
                <w:sz w:val="14"/>
                <w:szCs w:val="14"/>
                <w:color w:val="auto"/>
              </w:rPr>
              <w:t>termination costs</w:t>
            </w:r>
          </w:p>
        </w:tc>
        <w:tc>
          <w:tcPr>
            <w:tcW w:w="880" w:type="dxa"/>
            <w:vAlign w:val="bottom"/>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line="144" w:lineRule="exact"/>
              <w:rPr>
                <w:sz w:val="20"/>
                <w:szCs w:val="20"/>
                <w:color w:val="auto"/>
              </w:rPr>
            </w:pPr>
            <w:r>
              <w:rPr>
                <w:rFonts w:ascii="Arial" w:cs="Arial" w:eastAsia="Arial" w:hAnsi="Arial"/>
                <w:sz w:val="14"/>
                <w:szCs w:val="14"/>
                <w:color w:val="auto"/>
              </w:rPr>
              <w:t>5.9%</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8"/>
              <w:spacing w:after="0" w:line="144"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Revenue and Operating Cash Flow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18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460" w:type="dxa"/>
            <w:vAlign w:val="bottom"/>
          </w:tcPr>
          <w:p>
            <w:pPr>
              <w:ind w:left="180"/>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$6,464</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$6,615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$23,650</w:t>
            </w:r>
          </w:p>
        </w:tc>
        <w:tc>
          <w:tcPr>
            <w:tcW w:w="140" w:type="dxa"/>
            <w:vAlign w:val="bottom"/>
          </w:tcPr>
          <w:p>
            <w:pPr>
              <w:spacing w:after="0"/>
              <w:rPr>
                <w:sz w:val="24"/>
                <w:szCs w:val="2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$25,428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180"/>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60" w:type="dxa"/>
            <w:vAlign w:val="bottom"/>
          </w:tcPr>
          <w:p>
            <w:pPr>
              <w:ind w:left="180"/>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$6,464</w:t>
            </w: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$6,615</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$23,650</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$24,325</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6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460" w:type="dxa"/>
            <w:vAlign w:val="bottom"/>
          </w:tcPr>
          <w:p>
            <w:pPr>
              <w:ind w:left="180"/>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$1,338</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$1,427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$4,732</w:t>
            </w:r>
          </w:p>
        </w:tc>
        <w:tc>
          <w:tcPr>
            <w:tcW w:w="140" w:type="dxa"/>
            <w:vAlign w:val="bottom"/>
          </w:tcPr>
          <w:p>
            <w:pPr>
              <w:spacing w:after="0"/>
              <w:rPr>
                <w:sz w:val="24"/>
                <w:szCs w:val="2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$5,588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180"/>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60" w:type="dxa"/>
            <w:vAlign w:val="bottom"/>
          </w:tcPr>
          <w:p>
            <w:pPr>
              <w:ind w:left="180"/>
              <w:spacing w:after="0"/>
              <w:rPr>
                <w:sz w:val="20"/>
                <w:szCs w:val="20"/>
                <w:color w:val="auto"/>
              </w:rPr>
            </w:pPr>
            <w:r>
              <w:rPr>
                <w:rFonts w:ascii="Arial" w:cs="Arial" w:eastAsia="Arial" w:hAnsi="Arial"/>
                <w:sz w:val="14"/>
                <w:szCs w:val="14"/>
                <w:color w:val="auto"/>
              </w:rPr>
              <w:t>Operating Cash Flow excluding 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200" w:type="dxa"/>
            <w:vAlign w:val="bottom"/>
            <w:tcBorders>
              <w:bottom w:val="single" w:sz="8" w:color="0050B9"/>
            </w:tcBorders>
            <w:gridSpan w:val="12"/>
          </w:tcPr>
          <w:p>
            <w:pPr>
              <w:spacing w:after="0"/>
              <w:rPr>
                <w:sz w:val="20"/>
                <w:szCs w:val="20"/>
                <w:color w:val="auto"/>
              </w:rPr>
            </w:pPr>
            <w:r>
              <w:rPr>
                <w:rFonts w:ascii="Arial" w:cs="Arial" w:eastAsia="Arial" w:hAnsi="Arial"/>
                <w:sz w:val="18"/>
                <w:szCs w:val="18"/>
                <w:b w:val="1"/>
                <w:bCs w:val="1"/>
                <w:color w:val="C9C9C9"/>
              </w:rPr>
              <w:t>Reconciliation of Cable Networks Revenue and Operating Cash Flow Excluding 2014 Olympics (Unaudited)</w:t>
            </w:r>
          </w:p>
        </w:tc>
        <w:tc>
          <w:tcPr>
            <w:tcW w:w="80" w:type="dxa"/>
            <w:vAlign w:val="bottom"/>
            <w:tcBorders>
              <w:bottom w:val="single" w:sz="8" w:color="0050B9"/>
            </w:tcBorders>
          </w:tcPr>
          <w:p>
            <w:pPr>
              <w:spacing w:after="0"/>
              <w:rPr>
                <w:sz w:val="24"/>
                <w:szCs w:val="24"/>
                <w:color w:val="auto"/>
              </w:rPr>
            </w:pPr>
          </w:p>
        </w:tc>
        <w:tc>
          <w:tcPr>
            <w:tcW w:w="920" w:type="dxa"/>
            <w:vAlign w:val="bottom"/>
            <w:tcBorders>
              <w:bottom w:val="single" w:sz="8" w:color="0050B9"/>
            </w:tcBorders>
          </w:tcPr>
          <w:p>
            <w:pPr>
              <w:spacing w:after="0"/>
              <w:rPr>
                <w:sz w:val="24"/>
                <w:szCs w:val="24"/>
                <w:color w:val="auto"/>
              </w:rPr>
            </w:pPr>
          </w:p>
        </w:tc>
        <w:tc>
          <w:tcPr>
            <w:tcW w:w="200" w:type="dxa"/>
            <w:vAlign w:val="bottom"/>
            <w:tcBorders>
              <w:bottom w:val="single" w:sz="8" w:color="0050B9"/>
            </w:tcBorders>
          </w:tcPr>
          <w:p>
            <w:pPr>
              <w:spacing w:after="0"/>
              <w:rPr>
                <w:sz w:val="24"/>
                <w:szCs w:val="24"/>
                <w:color w:val="auto"/>
              </w:rPr>
            </w:pPr>
          </w:p>
        </w:tc>
        <w:tc>
          <w:tcPr>
            <w:tcW w:w="100" w:type="dxa"/>
            <w:vAlign w:val="bottom"/>
            <w:tcBorders>
              <w:bottom w:val="single" w:sz="8" w:color="0050B9"/>
            </w:tcBorders>
          </w:tcPr>
          <w:p>
            <w:pPr>
              <w:spacing w:after="0"/>
              <w:rPr>
                <w:sz w:val="24"/>
                <w:szCs w:val="24"/>
                <w:color w:val="auto"/>
              </w:rPr>
            </w:pPr>
          </w:p>
        </w:tc>
        <w:tc>
          <w:tcPr>
            <w:tcW w:w="820" w:type="dxa"/>
            <w:vAlign w:val="bottom"/>
            <w:tcBorders>
              <w:bottom w:val="single" w:sz="8" w:color="0050B9"/>
            </w:tcBorders>
          </w:tcPr>
          <w:p>
            <w:pPr>
              <w:spacing w:after="0"/>
              <w:rPr>
                <w:sz w:val="24"/>
                <w:szCs w:val="24"/>
                <w:color w:val="auto"/>
              </w:rPr>
            </w:pPr>
          </w:p>
        </w:tc>
        <w:tc>
          <w:tcPr>
            <w:tcW w:w="10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60" w:type="dxa"/>
            <w:vAlign w:val="bottom"/>
            <w:gridSpan w:val="6"/>
            <w:vMerge w:val="restart"/>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18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460" w:type="dxa"/>
            <w:vAlign w:val="bottom"/>
          </w:tcPr>
          <w:p>
            <w:pPr>
              <w:ind w:left="180"/>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$2,324</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$2,327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$9,201</w:t>
            </w:r>
          </w:p>
        </w:tc>
        <w:tc>
          <w:tcPr>
            <w:tcW w:w="140" w:type="dxa"/>
            <w:vAlign w:val="bottom"/>
          </w:tcPr>
          <w:p>
            <w:pPr>
              <w:spacing w:after="0"/>
              <w:rPr>
                <w:sz w:val="24"/>
                <w:szCs w:val="2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$9,563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180"/>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60" w:type="dxa"/>
            <w:vAlign w:val="bottom"/>
          </w:tcPr>
          <w:p>
            <w:pPr>
              <w:ind w:left="180"/>
              <w:spacing w:after="0"/>
              <w:rPr>
                <w:sz w:val="20"/>
                <w:szCs w:val="20"/>
                <w:color w:val="auto"/>
              </w:rPr>
            </w:pPr>
            <w:r>
              <w:rPr>
                <w:rFonts w:ascii="Arial" w:cs="Arial" w:eastAsia="Arial" w:hAnsi="Arial"/>
                <w:sz w:val="14"/>
                <w:szCs w:val="14"/>
                <w:color w:val="auto"/>
              </w:rPr>
              <w:t>Revenue excluding 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2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$2,327</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$9,201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$9,306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6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460" w:type="dxa"/>
            <w:vAlign w:val="bottom"/>
          </w:tcPr>
          <w:p>
            <w:pPr>
              <w:ind w:left="180"/>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$929</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$912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$3,501</w:t>
            </w:r>
          </w:p>
        </w:tc>
        <w:tc>
          <w:tcPr>
            <w:tcW w:w="140" w:type="dxa"/>
            <w:vAlign w:val="bottom"/>
          </w:tcPr>
          <w:p>
            <w:pPr>
              <w:spacing w:after="0"/>
              <w:rPr>
                <w:sz w:val="24"/>
                <w:szCs w:val="2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$3,589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180"/>
              <w:spacing w:after="0"/>
              <w:rPr>
                <w:sz w:val="20"/>
                <w:szCs w:val="20"/>
                <w:color w:val="auto"/>
              </w:rPr>
            </w:pPr>
            <w:r>
              <w:rPr>
                <w:rFonts w:ascii="Arial" w:cs="Arial" w:eastAsia="Arial" w:hAnsi="Arial"/>
                <w:sz w:val="14"/>
                <w:szCs w:val="14"/>
                <w:color w:val="auto"/>
              </w:rPr>
              <w:t>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60" w:type="dxa"/>
            <w:vAlign w:val="bottom"/>
          </w:tcPr>
          <w:p>
            <w:pPr>
              <w:ind w:left="180"/>
              <w:spacing w:after="0"/>
              <w:rPr>
                <w:sz w:val="20"/>
                <w:szCs w:val="20"/>
                <w:color w:val="auto"/>
              </w:rPr>
            </w:pPr>
            <w:r>
              <w:rPr>
                <w:rFonts w:ascii="Arial" w:cs="Arial" w:eastAsia="Arial" w:hAnsi="Arial"/>
                <w:sz w:val="14"/>
                <w:szCs w:val="14"/>
                <w:color w:val="auto"/>
              </w:rPr>
              <w:t>Operating Cash Flow excluding 2014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$912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$3,576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500" w:type="dxa"/>
            <w:vAlign w:val="bottom"/>
            <w:tcBorders>
              <w:bottom w:val="single" w:sz="8" w:color="0050B9"/>
            </w:tcBorders>
            <w:gridSpan w:val="16"/>
          </w:tcPr>
          <w:p>
            <w:pPr>
              <w:spacing w:after="0"/>
              <w:rPr>
                <w:sz w:val="20"/>
                <w:szCs w:val="20"/>
                <w:color w:val="auto"/>
              </w:rPr>
            </w:pPr>
            <w:r>
              <w:rPr>
                <w:rFonts w:ascii="Arial" w:cs="Arial" w:eastAsia="Arial" w:hAnsi="Arial"/>
                <w:sz w:val="18"/>
                <w:szCs w:val="18"/>
                <w:b w:val="1"/>
                <w:bCs w:val="1"/>
                <w:color w:val="C9C9C9"/>
              </w:rPr>
              <w:t>Reconciliation of Broadcast Television Revenue and Operating Cash Flow Excluding 2014 Olympics (Unaudited)</w:t>
            </w:r>
          </w:p>
        </w:tc>
        <w:tc>
          <w:tcPr>
            <w:tcW w:w="820" w:type="dxa"/>
            <w:vAlign w:val="bottom"/>
            <w:tcBorders>
              <w:bottom w:val="single" w:sz="8" w:color="0050B9"/>
            </w:tcBorders>
          </w:tcPr>
          <w:p>
            <w:pPr>
              <w:spacing w:after="0"/>
              <w:rPr>
                <w:sz w:val="24"/>
                <w:szCs w:val="24"/>
                <w:color w:val="auto"/>
              </w:rPr>
            </w:pPr>
          </w:p>
        </w:tc>
        <w:tc>
          <w:tcPr>
            <w:tcW w:w="10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4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60" w:type="dxa"/>
            <w:vAlign w:val="bottom"/>
            <w:gridSpan w:val="6"/>
            <w:vMerge w:val="restart"/>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460" w:type="dxa"/>
            <w:vAlign w:val="bottom"/>
          </w:tcPr>
          <w:p>
            <w:pPr>
              <w:ind w:left="18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460" w:type="dxa"/>
            <w:vAlign w:val="bottom"/>
          </w:tcPr>
          <w:p>
            <w:pPr>
              <w:ind w:left="180"/>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$2,227</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$2,335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$7,120</w:t>
            </w:r>
          </w:p>
        </w:tc>
        <w:tc>
          <w:tcPr>
            <w:tcW w:w="140" w:type="dxa"/>
            <w:vAlign w:val="bottom"/>
          </w:tcPr>
          <w:p>
            <w:pPr>
              <w:spacing w:after="0"/>
              <w:rPr>
                <w:sz w:val="24"/>
                <w:szCs w:val="2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$8,542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4" w:right="239" w:bottom="0" w:gutter="0" w:footer="0" w:header="0"/>
        </w:sectPr>
      </w:pPr>
    </w:p>
    <w:bookmarkStart w:id="11" w:name="page12"/>
    <w:bookmarkEnd w:id="11"/>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(846)</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$2,227</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$2,335</w:t>
            </w:r>
          </w:p>
        </w:tc>
        <w:tc>
          <w:tcPr>
            <w:tcW w:w="11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4.8%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$7,120</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$7,696</w:t>
            </w: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8.1%</w:t>
            </w: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Operating Cash Flow</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2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$230</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color w:val="auto"/>
              </w:rPr>
              <w:t>64.0%</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$345</w:t>
            </w:r>
          </w:p>
        </w:tc>
        <w:tc>
          <w:tcPr>
            <w:tcW w:w="22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$734</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112.5%</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Operating Cash Flow excluding 2014 Olympics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$230</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color w:val="auto"/>
              </w:rPr>
              <w:t>64.0%</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$345</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$617</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78.6%</w:t>
            </w: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C9C9C9"/>
        </w:rPr>
        <w:t>Reconciliation of Corporate, Other and Eliminations Operating Cash Flow Excluding Costs Related to Time Warner Cable and Charter Transactions, 2014 Olympics and Pension Termination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28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($98)</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($234)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(137.7%)</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($777)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96"/>
        </w:trPr>
        <w:tc>
          <w:tcPr>
            <w:tcW w:w="4280" w:type="dxa"/>
            <w:vAlign w:val="bottom"/>
          </w:tcPr>
          <w:p>
            <w:pPr>
              <w:ind w:left="20"/>
              <w:spacing w:after="0"/>
              <w:rPr>
                <w:sz w:val="20"/>
                <w:szCs w:val="20"/>
                <w:color w:val="auto"/>
              </w:rPr>
            </w:pPr>
            <w:r>
              <w:rPr>
                <w:rFonts w:ascii="Arial" w:cs="Arial" w:eastAsia="Arial" w:hAnsi="Arial"/>
                <w:sz w:val="14"/>
                <w:szCs w:val="14"/>
                <w:color w:val="auto"/>
              </w:rPr>
              <w:t>Costs related to Time Warner Cable and Charter transactions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99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2014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20"/>
                <w:szCs w:val="20"/>
                <w:color w:val="auto"/>
              </w:rPr>
            </w:pPr>
            <w:r>
              <w:rPr>
                <w:rFonts w:ascii="Arial" w:cs="Arial" w:eastAsia="Arial" w:hAnsi="Arial"/>
                <w:sz w:val="14"/>
                <w:szCs w:val="14"/>
                <w:color w:val="auto"/>
              </w:rPr>
              <w:t>Pension termination costs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428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w:t>
            </w: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Cable and Charter transactions, 2014 Olympics and pension</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20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($135)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($429)</w:t>
            </w:r>
          </w:p>
        </w:tc>
        <w:tc>
          <w:tcPr>
            <w:tcW w:w="11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($515)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80" w:type="dxa"/>
            <w:vAlign w:val="bottom"/>
          </w:tcPr>
          <w:p>
            <w:pPr>
              <w:spacing w:after="0" w:line="144" w:lineRule="exact"/>
              <w:rPr>
                <w:sz w:val="20"/>
                <w:szCs w:val="20"/>
                <w:color w:val="auto"/>
              </w:rPr>
            </w:pPr>
            <w:r>
              <w:rPr>
                <w:rFonts w:ascii="Arial" w:cs="Arial" w:eastAsia="Arial" w:hAnsi="Arial"/>
                <w:sz w:val="14"/>
                <w:szCs w:val="14"/>
                <w:color w:val="auto"/>
              </w:rPr>
              <w:t>termination costs</w:t>
            </w:r>
          </w:p>
        </w:tc>
        <w:tc>
          <w:tcPr>
            <w:tcW w:w="880" w:type="dxa"/>
            <w:vAlign w:val="bottom"/>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line="144" w:lineRule="exact"/>
              <w:rPr>
                <w:sz w:val="20"/>
                <w:szCs w:val="20"/>
                <w:color w:val="auto"/>
              </w:rPr>
            </w:pPr>
            <w:r>
              <w:rPr>
                <w:rFonts w:ascii="Arial" w:cs="Arial" w:eastAsia="Arial" w:hAnsi="Arial"/>
                <w:sz w:val="14"/>
                <w:szCs w:val="14"/>
                <w:color w:val="auto"/>
              </w:rPr>
              <w:t>(36.4%)</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8"/>
              <w:spacing w:after="0" w:line="144"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12" w:name="page13"/>
    <w:bookmarkEnd w:id="12"/>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2019-12-08T00:39:05Z</dcterms:created>
  <dcterms:modified xsi:type="dcterms:W3CDTF">2019-12-08T00:39:05Z</dcterms:modified>
</cp:coreProperties>
</file>