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Exact Name of Registrant; State of</w:t>
            </w:r>
          </w:p>
        </w:tc>
        <w:tc>
          <w:tcPr>
            <w:tcW w:w="35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Incorporation; Address and</w:t>
            </w:r>
          </w:p>
        </w:tc>
        <w:tc>
          <w:tcPr>
            <w:tcW w:w="35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Telephone Number of Principal</w:t>
            </w:r>
          </w:p>
        </w:tc>
        <w:tc>
          <w:tcPr>
            <w:tcW w:w="3520" w:type="dxa"/>
            <w:vAlign w:val="bottom"/>
          </w:tcPr>
          <w:p>
            <w:pPr>
              <w:spacing w:after="0"/>
              <w:rPr>
                <w:sz w:val="18"/>
                <w:szCs w:val="18"/>
                <w:color w:val="auto"/>
              </w:rPr>
            </w:pPr>
          </w:p>
        </w:tc>
      </w:tr>
      <w:tr>
        <w:trPr>
          <w:trHeight w:val="234"/>
        </w:trPr>
        <w:tc>
          <w:tcPr>
            <w:tcW w:w="3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Commission File Number</w:t>
            </w:r>
          </w:p>
        </w:tc>
        <w:tc>
          <w:tcPr>
            <w:tcW w:w="3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Executive Offices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001-32871</w:t>
            </w:r>
          </w:p>
        </w:tc>
        <w:tc>
          <w:tcPr>
            <w:tcW w:w="60" w:type="dxa"/>
            <w:vAlign w:val="bottom"/>
          </w:tcPr>
          <w:p>
            <w:pPr>
              <w:spacing w:after="0"/>
              <w:rPr>
                <w:sz w:val="16"/>
                <w:szCs w:val="16"/>
                <w:color w:val="auto"/>
              </w:rPr>
            </w:pPr>
          </w:p>
        </w:tc>
        <w:tc>
          <w:tcPr>
            <w:tcW w:w="3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COMCAST CORPORATION</w:t>
            </w:r>
          </w:p>
        </w:tc>
        <w:tc>
          <w:tcPr>
            <w:tcW w:w="10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27-0000798</w:t>
            </w:r>
          </w:p>
        </w:tc>
      </w:tr>
      <w:tr>
        <w:trPr>
          <w:trHeight w:val="216"/>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PENNSYLVANIA</w:t>
            </w:r>
          </w:p>
        </w:tc>
        <w:tc>
          <w:tcPr>
            <w:tcW w:w="35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One Comcast Center</w:t>
            </w:r>
          </w:p>
        </w:tc>
        <w:tc>
          <w:tcPr>
            <w:tcW w:w="35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Philadelphia, PA 19103-2838</w:t>
            </w:r>
          </w:p>
        </w:tc>
        <w:tc>
          <w:tcPr>
            <w:tcW w:w="352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0"/>
              </w:rPr>
              <w:t>(215) 286-1700</w:t>
            </w: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8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001-36438</w:t>
            </w:r>
          </w:p>
        </w:tc>
        <w:tc>
          <w:tcPr>
            <w:tcW w:w="60" w:type="dxa"/>
            <w:vAlign w:val="bottom"/>
          </w:tcPr>
          <w:p>
            <w:pPr>
              <w:spacing w:after="0"/>
              <w:rPr>
                <w:sz w:val="24"/>
                <w:szCs w:val="24"/>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NBCUNIVERSAL MEDIA, LLC</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14-1682529</w:t>
            </w:r>
          </w:p>
        </w:tc>
      </w:tr>
      <w:tr>
        <w:trPr>
          <w:trHeight w:val="165"/>
        </w:trPr>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DELAWARE</w:t>
            </w:r>
          </w:p>
        </w:tc>
        <w:tc>
          <w:tcPr>
            <w:tcW w:w="3520" w:type="dxa"/>
            <w:vAlign w:val="bottom"/>
          </w:tcPr>
          <w:p>
            <w:pPr>
              <w:spacing w:after="0"/>
              <w:rPr>
                <w:sz w:val="14"/>
                <w:szCs w:val="14"/>
                <w:color w:val="auto"/>
              </w:rPr>
            </w:pPr>
          </w:p>
        </w:tc>
      </w:tr>
    </w:tbl>
    <w:p>
      <w:pPr>
        <w:jc w:val="center"/>
        <w:ind w:right="-159"/>
        <w:spacing w:after="0" w:line="221" w:lineRule="auto"/>
        <w:rPr>
          <w:sz w:val="20"/>
          <w:szCs w:val="20"/>
          <w:color w:val="auto"/>
        </w:rPr>
      </w:pPr>
      <w:r>
        <w:rPr>
          <w:rFonts w:ascii="Arial" w:cs="Arial" w:eastAsia="Arial" w:hAnsi="Arial"/>
          <w:sz w:val="14"/>
          <w:szCs w:val="14"/>
          <w:b w:val="1"/>
          <w:bCs w:val="1"/>
          <w:color w:val="auto"/>
        </w:rPr>
        <w:t>30 Rockefeller Plaza</w:t>
      </w:r>
    </w:p>
    <w:p>
      <w:pPr>
        <w:jc w:val="center"/>
        <w:ind w:right="-139"/>
        <w:spacing w:after="0" w:line="221" w:lineRule="auto"/>
        <w:rPr>
          <w:sz w:val="20"/>
          <w:szCs w:val="20"/>
          <w:color w:val="auto"/>
        </w:rPr>
      </w:pPr>
      <w:r>
        <w:rPr>
          <w:rFonts w:ascii="Arial" w:cs="Arial" w:eastAsia="Arial" w:hAnsi="Arial"/>
          <w:sz w:val="14"/>
          <w:szCs w:val="14"/>
          <w:b w:val="1"/>
          <w:bCs w:val="1"/>
          <w:color w:val="auto"/>
        </w:rPr>
        <w:t>New York, NY 10112-0015</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gridSpan w:val="2"/>
            <w:vMerge w:val="continue"/>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w:t>
            </w:r>
          </w:p>
        </w:tc>
        <w:tc>
          <w:tcPr>
            <w:tcW w:w="60" w:type="dxa"/>
            <w:vAlign w:val="bottom"/>
          </w:tcPr>
          <w:p>
            <w:pPr>
              <w:spacing w:after="0"/>
              <w:rPr>
                <w:sz w:val="16"/>
                <w:szCs w:val="16"/>
                <w:color w:val="auto"/>
              </w:rPr>
            </w:pPr>
          </w:p>
        </w:tc>
        <w:tc>
          <w:tcPr>
            <w:tcW w:w="3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2.0% Exchangeable Subordinated Debentures</w:t>
            </w:r>
          </w:p>
        </w:tc>
        <w:tc>
          <w:tcPr>
            <w:tcW w:w="3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CCZ</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due 2029</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5.50% Notes due 2029</w:t>
            </w:r>
          </w:p>
        </w:tc>
        <w:tc>
          <w:tcPr>
            <w:tcW w:w="3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CCGBP29</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9.455% Guaranteed Notes due 2022</w:t>
            </w:r>
          </w:p>
        </w:tc>
        <w:tc>
          <w:tcPr>
            <w:tcW w:w="3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CMCSA/22</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378"/>
        </w:trPr>
        <w:tc>
          <w:tcPr>
            <w:tcW w:w="3800" w:type="dxa"/>
            <w:vAlign w:val="bottom"/>
            <w:gridSpan w:val="3"/>
          </w:tcPr>
          <w:p>
            <w:pPr>
              <w:spacing w:after="0"/>
              <w:rPr>
                <w:sz w:val="20"/>
                <w:szCs w:val="20"/>
                <w:color w:val="auto"/>
              </w:rPr>
            </w:pPr>
            <w:r>
              <w:rPr>
                <w:rFonts w:ascii="Arial" w:cs="Arial" w:eastAsia="Arial" w:hAnsi="Arial"/>
                <w:sz w:val="18"/>
                <w:szCs w:val="18"/>
                <w:color w:val="auto"/>
              </w:rPr>
              <w:t>NBCUniversal Media, LLC: None</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040"/>
          </w:cols>
          <w:pgMar w:left="440" w:top="341" w:right="419" w:bottom="1440" w:gutter="0" w:footer="0" w:header="0"/>
        </w:sectPr>
      </w:pPr>
    </w:p>
    <w:p>
      <w:pPr>
        <w:spacing w:after="0" w:line="116" w:lineRule="exact"/>
        <w:rPr>
          <w:sz w:val="24"/>
          <w:szCs w:val="24"/>
          <w:color w:val="auto"/>
        </w:rPr>
      </w:pPr>
    </w:p>
    <w:p>
      <w:pPr>
        <w:ind w:right="260"/>
        <w:spacing w:after="0" w:line="308" w:lineRule="auto"/>
        <w:rPr>
          <w:sz w:val="20"/>
          <w:szCs w:val="20"/>
          <w:color w:val="auto"/>
        </w:rPr>
      </w:pPr>
      <w:r>
        <w:rPr>
          <w:rFonts w:ascii="Arial" w:cs="Arial" w:eastAsia="Arial" w:hAnsi="Arial"/>
          <w:sz w:val="17"/>
          <w:szCs w:val="17"/>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9" w:lineRule="exact"/>
        <w:rPr>
          <w:sz w:val="24"/>
          <w:szCs w:val="24"/>
          <w:color w:val="auto"/>
        </w:rPr>
      </w:pPr>
    </w:p>
    <w:p>
      <w:pPr>
        <w:sectPr>
          <w:pgSz w:w="11900" w:h="16838" w:orient="portrait"/>
          <w:cols w:equalWidth="0" w:num="2">
            <w:col w:w="2260" w:space="720"/>
            <w:col w:w="8060"/>
          </w:cols>
          <w:pgMar w:left="440" w:top="341" w:right="419" w:bottom="1440" w:gutter="0" w:footer="0" w:header="0"/>
          <w:type w:val="continuous"/>
        </w:sectPr>
      </w:pPr>
    </w:p>
    <w:p>
      <w:pPr>
        <w:ind w:right="3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Comcast Corporation</w:t>
            </w:r>
          </w:p>
        </w:tc>
        <w:tc>
          <w:tcPr>
            <w:tcW w:w="85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NBCUniversal Media, LLC</w:t>
            </w:r>
          </w:p>
        </w:tc>
        <w:tc>
          <w:tcPr>
            <w:tcW w:w="85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2500" w:type="dxa"/>
            <w:vAlign w:val="bottom"/>
            <w:tcBorders>
              <w:bottom w:val="single" w:sz="8" w:color="auto"/>
            </w:tcBorders>
          </w:tcPr>
          <w:p>
            <w:pPr>
              <w:spacing w:after="0"/>
              <w:rPr>
                <w:sz w:val="19"/>
                <w:szCs w:val="19"/>
                <w:color w:val="auto"/>
              </w:rPr>
            </w:pPr>
          </w:p>
        </w:tc>
        <w:tc>
          <w:tcPr>
            <w:tcW w:w="8540" w:type="dxa"/>
            <w:vAlign w:val="bottom"/>
            <w:tcBorders>
              <w:bottom w:val="single" w:sz="8" w:color="auto"/>
            </w:tcBorders>
          </w:tcPr>
          <w:p>
            <w:pPr>
              <w:spacing w:after="0"/>
              <w:rPr>
                <w:sz w:val="19"/>
                <w:szCs w:val="19"/>
                <w:color w:val="auto"/>
              </w:rPr>
            </w:pPr>
          </w:p>
        </w:tc>
      </w:tr>
    </w:tbl>
    <w:p>
      <w:pPr>
        <w:sectPr>
          <w:pgSz w:w="11900" w:h="16838" w:orient="portrait"/>
          <w:cols w:equalWidth="0" w:num="1">
            <w:col w:w="11040"/>
          </w:cols>
          <w:pgMar w:left="440" w:top="341"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685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On February 5, 2020, Comcast Corporation notified The Bank of New York Mellon, as trustee, that it will redeem its $2 billion aggregate principal amount of 3.45% Notes due October 1, 2021 (the “3.45% Notes”) in full at the redemption price calculated in accordance with the indenture governing such 3.45% Notes, plus accrued and unpaid interest. The redemption date for the 3.45% Notes will be February 21, 2020.</w:t>
      </w:r>
    </w:p>
    <w:p>
      <w:pPr>
        <w:spacing w:after="0" w:line="166"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In addition, on February 5, 2020, NBCUniversal Media, LLC notified The Bank of New York Mellon, as trustee, that it will redeem its $2 billion aggregate principal amount of 4.375% Notes due April 1, 2021 (the “4.375% Notes”) in full at the redemption price calculated in accordance with the indenture governing such 4.375% Notes, plus accrued and unpaid interest. The redemption date for the 4.375% Notes will be March 6, 2020.</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Current Report on Form 8-K is not a notice of redemption for either the 3.45% Notes or the 4.375% Notes.</w:t>
      </w:r>
    </w:p>
    <w:p>
      <w:pPr>
        <w:sectPr>
          <w:pgSz w:w="11900" w:h="16838" w:orient="portrait"/>
          <w:cols w:equalWidth="0" w:num="1">
            <w:col w:w="10900"/>
          </w:cols>
          <w:pgMar w:left="440" w:top="405" w:right="5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68580"/>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60" w:type="dxa"/>
            <w:vAlign w:val="bottom"/>
            <w:gridSpan w:val="3"/>
          </w:tcPr>
          <w:p>
            <w:pPr>
              <w:ind w:left="180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February 5, 2020</w:t>
            </w:r>
          </w:p>
        </w:tc>
        <w:tc>
          <w:tcPr>
            <w:tcW w:w="2300" w:type="dxa"/>
            <w:vAlign w:val="bottom"/>
          </w:tcPr>
          <w:p>
            <w:pPr>
              <w:ind w:left="180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/s/ William E. Dordelman</w:t>
            </w:r>
          </w:p>
        </w:tc>
      </w:tr>
      <w:tr>
        <w:trPr>
          <w:trHeight w:val="209"/>
        </w:trPr>
        <w:tc>
          <w:tcPr>
            <w:tcW w:w="3480" w:type="dxa"/>
            <w:vAlign w:val="bottom"/>
          </w:tcPr>
          <w:p>
            <w:pPr>
              <w:spacing w:after="0"/>
              <w:rPr>
                <w:sz w:val="18"/>
                <w:szCs w:val="18"/>
                <w:color w:val="auto"/>
              </w:rPr>
            </w:pPr>
          </w:p>
        </w:tc>
        <w:tc>
          <w:tcPr>
            <w:tcW w:w="2300" w:type="dxa"/>
            <w:vAlign w:val="bottom"/>
          </w:tcPr>
          <w:p>
            <w:pPr>
              <w:ind w:left="1800"/>
              <w:spacing w:after="0"/>
              <w:rPr>
                <w:sz w:val="20"/>
                <w:szCs w:val="20"/>
                <w:color w:val="auto"/>
              </w:rPr>
            </w:pPr>
            <w:r>
              <w:rPr>
                <w:rFonts w:ascii="Arial" w:cs="Arial" w:eastAsia="Arial" w:hAnsi="Arial"/>
                <w:sz w:val="18"/>
                <w:szCs w:val="18"/>
                <w:color w:val="auto"/>
                <w:w w:val="90"/>
              </w:rPr>
              <w:t>Name:</w:t>
            </w:r>
          </w:p>
        </w:tc>
        <w:tc>
          <w:tcPr>
            <w:tcW w:w="20" w:type="dxa"/>
            <w:vAlign w:val="bottom"/>
          </w:tcPr>
          <w:p>
            <w:pPr>
              <w:spacing w:after="0"/>
              <w:rPr>
                <w:sz w:val="18"/>
                <w:szCs w:val="18"/>
                <w:color w:val="auto"/>
              </w:rPr>
            </w:pPr>
          </w:p>
        </w:tc>
        <w:tc>
          <w:tcPr>
            <w:tcW w:w="52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William E. Dordelman</w:t>
            </w:r>
          </w:p>
        </w:tc>
      </w:tr>
      <w:tr>
        <w:trPr>
          <w:trHeight w:val="230"/>
        </w:trPr>
        <w:tc>
          <w:tcPr>
            <w:tcW w:w="3480" w:type="dxa"/>
            <w:vAlign w:val="bottom"/>
          </w:tcPr>
          <w:p>
            <w:pPr>
              <w:spacing w:after="0"/>
              <w:rPr>
                <w:sz w:val="20"/>
                <w:szCs w:val="20"/>
                <w:color w:val="auto"/>
              </w:rPr>
            </w:pPr>
          </w:p>
        </w:tc>
        <w:tc>
          <w:tcPr>
            <w:tcW w:w="2300" w:type="dxa"/>
            <w:vAlign w:val="bottom"/>
          </w:tcPr>
          <w:p>
            <w:pPr>
              <w:ind w:left="18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Senior Vice President and Treasurer</w:t>
            </w:r>
          </w:p>
        </w:tc>
      </w:tr>
      <w:tr>
        <w:trPr>
          <w:trHeight w:val="432"/>
        </w:trPr>
        <w:tc>
          <w:tcPr>
            <w:tcW w:w="3480" w:type="dxa"/>
            <w:vAlign w:val="bottom"/>
          </w:tcPr>
          <w:p>
            <w:pPr>
              <w:spacing w:after="0"/>
              <w:rPr>
                <w:sz w:val="24"/>
                <w:szCs w:val="24"/>
                <w:color w:val="auto"/>
              </w:rPr>
            </w:pPr>
          </w:p>
        </w:tc>
        <w:tc>
          <w:tcPr>
            <w:tcW w:w="7560" w:type="dxa"/>
            <w:vAlign w:val="bottom"/>
            <w:gridSpan w:val="3"/>
          </w:tcPr>
          <w:p>
            <w:pPr>
              <w:ind w:left="1800"/>
              <w:spacing w:after="0"/>
              <w:rPr>
                <w:sz w:val="20"/>
                <w:szCs w:val="20"/>
                <w:color w:val="auto"/>
              </w:rPr>
            </w:pPr>
            <w:r>
              <w:rPr>
                <w:rFonts w:ascii="Arial" w:cs="Arial" w:eastAsia="Arial" w:hAnsi="Arial"/>
                <w:sz w:val="18"/>
                <w:szCs w:val="18"/>
                <w:b w:val="1"/>
                <w:bCs w:val="1"/>
                <w:color w:val="auto"/>
              </w:rPr>
              <w:t>NBCUNIVERSAL MEDIA, LLC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February 5, 2020</w:t>
            </w:r>
          </w:p>
        </w:tc>
        <w:tc>
          <w:tcPr>
            <w:tcW w:w="2300" w:type="dxa"/>
            <w:vAlign w:val="bottom"/>
          </w:tcPr>
          <w:p>
            <w:pPr>
              <w:ind w:left="180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/s/ William E. Dordelman</w:t>
            </w:r>
          </w:p>
        </w:tc>
      </w:tr>
      <w:tr>
        <w:trPr>
          <w:trHeight w:val="209"/>
        </w:trPr>
        <w:tc>
          <w:tcPr>
            <w:tcW w:w="3480" w:type="dxa"/>
            <w:vAlign w:val="bottom"/>
          </w:tcPr>
          <w:p>
            <w:pPr>
              <w:spacing w:after="0"/>
              <w:rPr>
                <w:sz w:val="18"/>
                <w:szCs w:val="18"/>
                <w:color w:val="auto"/>
              </w:rPr>
            </w:pPr>
          </w:p>
        </w:tc>
        <w:tc>
          <w:tcPr>
            <w:tcW w:w="2300" w:type="dxa"/>
            <w:vAlign w:val="bottom"/>
          </w:tcPr>
          <w:p>
            <w:pPr>
              <w:ind w:left="1800"/>
              <w:spacing w:after="0"/>
              <w:rPr>
                <w:sz w:val="20"/>
                <w:szCs w:val="20"/>
                <w:color w:val="auto"/>
              </w:rPr>
            </w:pPr>
            <w:r>
              <w:rPr>
                <w:rFonts w:ascii="Arial" w:cs="Arial" w:eastAsia="Arial" w:hAnsi="Arial"/>
                <w:sz w:val="18"/>
                <w:szCs w:val="18"/>
                <w:color w:val="auto"/>
                <w:w w:val="90"/>
              </w:rPr>
              <w:t>Name:</w:t>
            </w:r>
          </w:p>
        </w:tc>
        <w:tc>
          <w:tcPr>
            <w:tcW w:w="20" w:type="dxa"/>
            <w:vAlign w:val="bottom"/>
          </w:tcPr>
          <w:p>
            <w:pPr>
              <w:spacing w:after="0"/>
              <w:rPr>
                <w:sz w:val="18"/>
                <w:szCs w:val="18"/>
                <w:color w:val="auto"/>
              </w:rPr>
            </w:pPr>
          </w:p>
        </w:tc>
        <w:tc>
          <w:tcPr>
            <w:tcW w:w="52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William E. Dordelman</w:t>
            </w:r>
          </w:p>
        </w:tc>
      </w:tr>
      <w:tr>
        <w:trPr>
          <w:trHeight w:val="230"/>
        </w:trPr>
        <w:tc>
          <w:tcPr>
            <w:tcW w:w="3480" w:type="dxa"/>
            <w:vAlign w:val="bottom"/>
          </w:tcPr>
          <w:p>
            <w:pPr>
              <w:spacing w:after="0"/>
              <w:rPr>
                <w:sz w:val="20"/>
                <w:szCs w:val="20"/>
                <w:color w:val="auto"/>
              </w:rPr>
            </w:pPr>
          </w:p>
        </w:tc>
        <w:tc>
          <w:tcPr>
            <w:tcW w:w="2300" w:type="dxa"/>
            <w:vAlign w:val="bottom"/>
          </w:tcPr>
          <w:p>
            <w:pPr>
              <w:ind w:left="18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1" w:lineRule="exact"/>
        <w:rPr>
          <w:sz w:val="20"/>
          <w:szCs w:val="20"/>
          <w:color w:val="auto"/>
        </w:rPr>
      </w:pPr>
    </w:p>
    <w:sectPr>
      <w:pgSz w:w="11900" w:h="16838" w:orient="portrait"/>
      <w:cols w:equalWidth="0" w:num="1">
        <w:col w:w="11040"/>
      </w:cols>
      <w:pgMar w:left="440" w:top="40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2020-02-05T16:30:08Z</dcterms:created>
  <dcterms:modified xsi:type="dcterms:W3CDTF">2020-02-05T16:30:08Z</dcterms:modified>
</cp:coreProperties>
</file>