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23,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12" w:lineRule="exact"/>
        <w:rPr>
          <w:sz w:val="24"/>
          <w:szCs w:val="24"/>
          <w:color w:val="auto"/>
        </w:rPr>
      </w:pPr>
    </w:p>
    <w:p>
      <w:pPr>
        <w:sectPr>
          <w:pgSz w:w="11900" w:h="16838" w:orient="portrait"/>
          <w:cols w:equalWidth="0" w:num="2">
            <w:col w:w="7180" w:space="720"/>
            <w:col w:w="3060"/>
          </w:cols>
          <w:pgMar w:left="440" w:top="225"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5" w:right="499" w:bottom="1440" w:gutter="0" w:footer="0" w:header="0"/>
          <w:type w:val="continuous"/>
        </w:sectPr>
      </w:pP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960"/>
          </w:cols>
          <w:pgMar w:left="440" w:top="225" w:right="499" w:bottom="1440"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COMCAST CORPORATION 2005 DEFERRED COMPENSATION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Thomas J. Reid,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General Instruction E of Form S-8, this Registration Statement on Form S-8 (the “Registration Statement”) is being filed in order to register an additional $500 million of deferred compensation obligations (“Deferred Compensation Obligations”) of Comcast Corporation (the “Registrant”) under the Comcast Corporation 2005 Deferred Compensation Plan, as amended and restated (the “Deferred Compensation Plan”), which are securities of the same class and relate to the same employee benefit plan as those deferred compensation obligations registered on the Registrant’s registration statements on Form S-8 previously filed with the Securities and Exchange Commission on February 26, 2021 (Registration No. </w:t>
      </w:r>
      <w:hyperlink r:id="rId17">
        <w:r>
          <w:rPr>
            <w:rFonts w:ascii="Times New Roman" w:cs="Times New Roman" w:eastAsia="Times New Roman" w:hAnsi="Times New Roman"/>
            <w:sz w:val="18"/>
            <w:szCs w:val="18"/>
            <w:u w:val="single" w:color="auto"/>
            <w:color w:val="0000EE"/>
          </w:rPr>
          <w:t>333-253621</w:t>
        </w:r>
      </w:hyperlink>
      <w:r>
        <w:rPr>
          <w:rFonts w:ascii="Times New Roman" w:cs="Times New Roman" w:eastAsia="Times New Roman" w:hAnsi="Times New Roman"/>
          <w:sz w:val="18"/>
          <w:szCs w:val="18"/>
          <w:color w:val="auto"/>
        </w:rPr>
        <w:t xml:space="preserve">), April 26, 2018 (Registration No. </w:t>
      </w:r>
      <w:hyperlink r:id="rId18">
        <w:r>
          <w:rPr>
            <w:rFonts w:ascii="Times New Roman" w:cs="Times New Roman" w:eastAsia="Times New Roman" w:hAnsi="Times New Roman"/>
            <w:sz w:val="18"/>
            <w:szCs w:val="18"/>
            <w:u w:val="single" w:color="auto"/>
            <w:color w:val="0000EE"/>
          </w:rPr>
          <w:t>333-224456</w:t>
        </w:r>
      </w:hyperlink>
      <w:r>
        <w:rPr>
          <w:rFonts w:ascii="Times New Roman" w:cs="Times New Roman" w:eastAsia="Times New Roman" w:hAnsi="Times New Roman"/>
          <w:sz w:val="18"/>
          <w:szCs w:val="18"/>
          <w:color w:val="auto"/>
        </w:rPr>
        <w:t xml:space="preserve">), March 10, 2016 (Registration No. </w:t>
      </w:r>
      <w:hyperlink r:id="rId19">
        <w:r>
          <w:rPr>
            <w:rFonts w:ascii="Times New Roman" w:cs="Times New Roman" w:eastAsia="Times New Roman" w:hAnsi="Times New Roman"/>
            <w:sz w:val="18"/>
            <w:szCs w:val="18"/>
            <w:u w:val="single" w:color="auto"/>
            <w:color w:val="0000EE"/>
          </w:rPr>
          <w:t>333-210085</w:t>
        </w:r>
      </w:hyperlink>
      <w:r>
        <w:rPr>
          <w:rFonts w:ascii="Times New Roman" w:cs="Times New Roman" w:eastAsia="Times New Roman" w:hAnsi="Times New Roman"/>
          <w:sz w:val="18"/>
          <w:szCs w:val="18"/>
          <w:color w:val="auto"/>
        </w:rPr>
        <w:t xml:space="preserve">), February 12, 2014 (Registration No. </w:t>
      </w:r>
      <w:hyperlink r:id="rId20">
        <w:r>
          <w:rPr>
            <w:rFonts w:ascii="Times New Roman" w:cs="Times New Roman" w:eastAsia="Times New Roman" w:hAnsi="Times New Roman"/>
            <w:sz w:val="18"/>
            <w:szCs w:val="18"/>
            <w:u w:val="single" w:color="auto"/>
            <w:color w:val="0000EE"/>
          </w:rPr>
          <w:t>333-193903</w:t>
        </w:r>
      </w:hyperlink>
      <w:r>
        <w:rPr>
          <w:rFonts w:ascii="Times New Roman" w:cs="Times New Roman" w:eastAsia="Times New Roman" w:hAnsi="Times New Roman"/>
          <w:sz w:val="18"/>
          <w:szCs w:val="18"/>
          <w:color w:val="auto"/>
        </w:rPr>
        <w:t xml:space="preserve">), February 23, 2012 (Registration No. </w:t>
      </w:r>
      <w:hyperlink r:id="rId21">
        <w:r>
          <w:rPr>
            <w:rFonts w:ascii="Times New Roman" w:cs="Times New Roman" w:eastAsia="Times New Roman" w:hAnsi="Times New Roman"/>
            <w:sz w:val="18"/>
            <w:szCs w:val="18"/>
            <w:u w:val="single" w:color="auto"/>
            <w:color w:val="0000EE"/>
          </w:rPr>
          <w:t>333-179638</w:t>
        </w:r>
      </w:hyperlink>
      <w:r>
        <w:rPr>
          <w:rFonts w:ascii="Times New Roman" w:cs="Times New Roman" w:eastAsia="Times New Roman" w:hAnsi="Times New Roman"/>
          <w:sz w:val="18"/>
          <w:szCs w:val="18"/>
          <w:color w:val="auto"/>
        </w:rPr>
        <w:t xml:space="preserve">), and December 8, 2004 (Registration No. </w:t>
      </w:r>
      <w:hyperlink r:id="rId22">
        <w:r>
          <w:rPr>
            <w:rFonts w:ascii="Times New Roman" w:cs="Times New Roman" w:eastAsia="Times New Roman" w:hAnsi="Times New Roman"/>
            <w:sz w:val="18"/>
            <w:szCs w:val="18"/>
            <w:u w:val="single" w:color="auto"/>
            <w:color w:val="0000EE"/>
          </w:rPr>
          <w:t>333-121082</w:t>
        </w:r>
      </w:hyperlink>
      <w:r>
        <w:rPr>
          <w:rFonts w:ascii="Times New Roman" w:cs="Times New Roman" w:eastAsia="Times New Roman" w:hAnsi="Times New Roman"/>
          <w:sz w:val="18"/>
          <w:szCs w:val="18"/>
          <w:color w:val="auto"/>
        </w:rPr>
        <w:t>), all of which are hereby incorporated by reference.</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information disclosed in this Item 4 provides a summary of the deferral provisions of the Deferred Compensation Plan, as amended through the date of this Registration Statement. The following description of the Deferred Compensation Obligations of the Registrant under the Deferred Compensation Plan is qualified by reference to the Deferred Compensation Plan, which is included as an exhibit to this Registration Statement. Capitalized terms used and not otherwise defined in this Registration Statement shall have the respective meanings attributed to such terms in the Deferred Compensation Plan.</w:t>
      </w:r>
    </w:p>
    <w:p>
      <w:pPr>
        <w:spacing w:after="0" w:line="164"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Deferred Compensation Plan, the Registrant will provide Eligible Employees of the Registrant and each of the Registrant’s subsidiaries which is a Participating Company, and Non-Employee Directors, with the opportunity to elect to defer all or a portion of the compensation to be received from the Registrant or another Participating Company, including compensation in the form of Restricted Stock Units granted under the Comcast Corporation 2023 Omnibus Equity Incentive Plan, provided that sales commissions or similar payments or awards or Severance Pay shall not be included as compensation for purposes of the Deferred Compensation Plan.</w:t>
      </w:r>
    </w:p>
    <w:p>
      <w:pPr>
        <w:spacing w:after="0" w:line="183"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for amounts credited to the Accounts of Participants who are Non-Employee Directors, Section 16 Officers, other individuals designated by the Administrator and Participants with respect to whom the amount credited to the Income Fund is $100 million or more (collectively, “Restricted Participants”), and Restricted Stock Units that are the subject of a deferral election, all amounts credited to Participant’s Accounts will be credited with income, gains and losses as if it were invested in the Income Fund. Amounts credited to the Accounts of Restricted Participants that are credited to other market-based investment funds, including a Company Stock Fund, will be credited with income, gains and losses as if it were invested in the other market-based investment fund.</w:t>
      </w:r>
    </w:p>
    <w:p>
      <w:pPr>
        <w:spacing w:after="0" w:line="187" w:lineRule="exact"/>
        <w:rPr>
          <w:rFonts w:ascii="Times New Roman" w:cs="Times New Roman" w:eastAsia="Times New Roman" w:hAnsi="Times New Roman"/>
          <w:sz w:val="18"/>
          <w:szCs w:val="18"/>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Restricted Stock Units that are subject to a deferral election are credited to an “RSU Account” which is established to track the value of Participants’ deferred Restricted Stock Units. After a Participant elects to defer the receipt of shares subject to Restricted Stock Units, Participants’ Accounts are credited to the RSU Account in the form of deferred stock units as of the date the deferral election becomes effective. Each deferred stock unit represents a hypothetical share of the Registrant’s Common Stock credited to the Account in lieu of delivery of the Shares to which the deferral election applies. Each Participant eligible to defer Restricted Stock Units (other than Non-Employee Directors) may, subject to Administrator approval, elect to have a portion of the Participant’s Account credited in the form of deferred stock units deemed liquidated, with the proceeds of the deemed liquidation credited to the Income Fund (the “Diversification Elections”) or another investment fund, provided that the Income Fund is not available for diversified amounts credited to the Accounts of Restricted Participants. Diversification Elections are available to participants at any time that a registration statement filed under the Securities Act of 1933, as amended, is effective with respect to the Deferred Compensation Plan. Once these conditions are met, Diversification Elections will become effective on the later of the date designated by the participant on his or her Diversification Election or the next business day following the lapse of six months from the date Deferred Stock Units are credited to his or her Account.</w:t>
      </w:r>
    </w:p>
    <w:p>
      <w:pPr>
        <w:sectPr>
          <w:pgSz w:w="11900" w:h="16838" w:orient="portrait"/>
          <w:cols w:equalWidth="0" w:num="1">
            <w:col w:w="10980"/>
          </w:cols>
          <w:pgMar w:left="440" w:top="266" w:right="479" w:bottom="1440" w:gutter="0" w:footer="0" w:header="0"/>
        </w:sectPr>
      </w:pPr>
    </w:p>
    <w:bookmarkStart w:id="2" w:name="page3"/>
    <w:bookmarkEnd w:id="2"/>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defined in the Deferred Compensation Plan, the Income Fund is a hypothetical investment fund pursuant to which income, gains and losses are credited to a Participant’s Account as if such Account, to the extent deemed invested in the Income Fund, were credited with interest at the Applicable Interest Rate. As defined in the Deferred Compensation Plan, the Applicable Interest Rate means 9% per annum, compounded annually as of the last day of the calendar year (the “Standard Applicable Interest Rate”), except to the extent the Administrator, in its sole discretion, designated for the period extending from the date of a Participant’s termination of employment to the date of his or her Account’s distribution in full an Applicable Interest Rate equal to the lesser of (i) the Standard Applicable Interest Rate and (ii) the Prime Rate plus one percent, compounded annually as of the last day of the calendar year.</w:t>
      </w:r>
    </w:p>
    <w:p>
      <w:pPr>
        <w:spacing w:after="0" w:line="18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case of a liquidation of the Registrant or a Change of Control, each Participant is permitted to specify by election the method of distribution of any amount credited to his or her Account. Under the terms of the Deferred Compensation Plan, a Participant may elect from among the following methods of distribution: (i) a lump sum payment; and (ii) substantially equal annual or monthly installments over a period of five or ten years.</w:t>
      </w:r>
    </w:p>
    <w:p>
      <w:pPr>
        <w:spacing w:after="0" w:line="180"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Whether or not the Registrant is a Participant’s employer, all compensation deferred under the Deferred Compensation Plan will continue for all purposes to be a part of the general funds of the Registrant and the Participant’s Account will at all times represent the general obligation of the Registrant. Each Participant will be a general creditor of the Registrant with respect to all of the Registrant’s Deferred Compensation Obligations to the Participant under the Deferred Compensation Plan, and will not have a secured or preferred position with respect to his or her Account. Nothing contained in the Deferred Compensation Plan shall be deemed to create an escrow, trust, custodial account or fiduciary relationship of any kind or to eliminate any priority or preferred position of a Participant in a bankruptcy matter with respect to claims for wages. Under the terms of the Deferred Compensation Plan, the right of a Participant in or to an Account, benefit or payment under the Deferred Compensation Plan shall not be subject in any manner to attachment or other legal process for the debts of such Participant; and no such Account, benefit or payment shall be subject to anticipation, alienation, sale, transfer, attachment, execution, garnishment, assignment or encumbrance. Because the Registrant has subsidiaries, the right of the Registrant, and hence the right of creditors of the Registrant (including Participants in the Deferred Compensation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90" w:lineRule="exact"/>
        <w:rPr>
          <w:sz w:val="20"/>
          <w:szCs w:val="20"/>
          <w:color w:val="auto"/>
        </w:rPr>
      </w:pPr>
    </w:p>
    <w:p>
      <w:pPr>
        <w:ind w:left="4" w:right="160"/>
        <w:spacing w:after="0" w:line="281" w:lineRule="auto"/>
        <w:rPr>
          <w:sz w:val="20"/>
          <w:szCs w:val="20"/>
          <w:color w:val="auto"/>
        </w:rPr>
      </w:pPr>
      <w:r>
        <w:rPr>
          <w:rFonts w:ascii="Times New Roman" w:cs="Times New Roman" w:eastAsia="Times New Roman" w:hAnsi="Times New Roman"/>
          <w:sz w:val="17"/>
          <w:szCs w:val="17"/>
          <w:color w:val="auto"/>
        </w:rPr>
        <w:t>The Registrant, by action of the Board or the Administrator, without the consent of the Participants, may amend or modify the Deferred Compensation Plan at any time, except that no such action shall change the Applicable Interest Rate with respect to the portion of a Participant’s Account that is attributable to an election made with respect to compensation earned in a calendar year and filed with the Administrator before the date of such action. The Registrant, by action of the Board, reserves the right at any time, or from time to time, to terminate the Deferred Compensation Plan.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Opinion of Blank Rome LLP (regarding validity).</w:t>
            </w: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35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Opinion of Blank Rome LLP (regarding ERISA).</w:t>
            </w:r>
          </w:p>
        </w:tc>
        <w:tc>
          <w:tcPr>
            <w:tcW w:w="20" w:type="dxa"/>
            <w:vAlign w:val="bottom"/>
            <w:tcBorders>
              <w:top w:val="single" w:sz="8" w:color="0000EE"/>
            </w:tcBorders>
          </w:tcPr>
          <w:p>
            <w:pPr>
              <w:spacing w:after="0"/>
              <w:rPr>
                <w:sz w:val="24"/>
                <w:szCs w:val="24"/>
                <w:color w:val="auto"/>
              </w:rPr>
            </w:pPr>
          </w:p>
        </w:tc>
        <w:tc>
          <w:tcPr>
            <w:tcW w:w="1100" w:type="dxa"/>
            <w:vAlign w:val="bottom"/>
            <w:gridSpan w:val="5"/>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Consent of Deloitte &amp; Touche LLP.</w:t>
            </w:r>
          </w:p>
        </w:tc>
        <w:tc>
          <w:tcPr>
            <w:tcW w:w="2120" w:type="dxa"/>
            <w:vAlign w:val="bottom"/>
            <w:gridSpan w:val="7"/>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6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 xml:space="preserve">Consent of Blank Rome LLP (contained in Exhibits </w:t>
            </w:r>
            <w:r>
              <w:rPr>
                <w:rFonts w:ascii="Times New Roman" w:cs="Times New Roman" w:eastAsia="Times New Roman" w:hAnsi="Times New Roman"/>
                <w:sz w:val="18"/>
                <w:szCs w:val="18"/>
                <w:color w:val="0000EE"/>
                <w:w w:val="99"/>
              </w:rPr>
              <w:t>5.1</w:t>
            </w:r>
            <w:r>
              <w:rPr>
                <w:rFonts w:ascii="Times New Roman" w:cs="Times New Roman" w:eastAsia="Times New Roman" w:hAnsi="Times New Roman"/>
                <w:sz w:val="18"/>
                <w:szCs w:val="18"/>
                <w:color w:val="auto"/>
                <w:w w:val="99"/>
              </w:rPr>
              <w:t xml:space="preserve"> and </w:t>
            </w:r>
            <w:r>
              <w:rPr>
                <w:rFonts w:ascii="Times New Roman" w:cs="Times New Roman" w:eastAsia="Times New Roman" w:hAnsi="Times New Roman"/>
                <w:sz w:val="18"/>
                <w:szCs w:val="18"/>
                <w:color w:val="0000EE"/>
                <w:w w:val="99"/>
              </w:rPr>
              <w:t>5.2</w:t>
            </w:r>
            <w:r>
              <w:rPr>
                <w:rFonts w:ascii="Times New Roman" w:cs="Times New Roman" w:eastAsia="Times New Roman" w:hAnsi="Times New Roman"/>
                <w:sz w:val="18"/>
                <w:szCs w:val="18"/>
                <w:color w:val="auto"/>
                <w:w w:val="99"/>
              </w:rPr>
              <w:t>).</w:t>
            </w:r>
          </w:p>
        </w:tc>
      </w:tr>
      <w:tr>
        <w:trPr>
          <w:trHeight w:val="20"/>
        </w:trPr>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64" w:hanging="1464"/>
        <w:spacing w:after="0"/>
        <w:tabs>
          <w:tab w:leader="none" w:pos="14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 (contained in the signature pages hereto).</w:t>
      </w:r>
    </w:p>
    <w:p>
      <w:pPr>
        <w:spacing w:after="0" w:line="117" w:lineRule="exact"/>
        <w:rPr>
          <w:sz w:val="20"/>
          <w:szCs w:val="20"/>
          <w:color w:val="auto"/>
        </w:rPr>
      </w:pPr>
    </w:p>
    <w:p>
      <w:pPr>
        <w:ind w:left="1464" w:right="260" w:hanging="1464"/>
        <w:spacing w:after="0" w:line="282" w:lineRule="auto"/>
        <w:tabs>
          <w:tab w:leader="none" w:pos="1464" w:val="left"/>
        </w:tabs>
        <w:numPr>
          <w:ilvl w:val="0"/>
          <w:numId w:val="2"/>
        </w:numPr>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Comcast Corporation 2005 Deferred Compensation Plan, as amended and restated, effective February 28, 2023 (incorporated by</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reference to Exhibit 10.7 to the Registrant’s Annual Report on Form 10-K for the year ended December 31, 2023).</w:t>
        </w:r>
      </w:hyperlink>
    </w:p>
    <w:p>
      <w:pPr>
        <w:spacing w:after="0" w:line="54" w:lineRule="exact"/>
        <w:rPr>
          <w:rFonts w:ascii="Times New Roman" w:cs="Times New Roman" w:eastAsia="Times New Roman" w:hAnsi="Times New Roman"/>
          <w:sz w:val="18"/>
          <w:szCs w:val="18"/>
          <w:color w:val="auto"/>
        </w:rPr>
      </w:pPr>
    </w:p>
    <w:p>
      <w:pPr>
        <w:ind w:left="1464" w:hanging="1464"/>
        <w:spacing w:after="0"/>
        <w:tabs>
          <w:tab w:leader="none" w:pos="14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ectPr>
          <w:pgSz w:w="11900" w:h="16838" w:orient="portrait"/>
          <w:cols w:equalWidth="0" w:num="1">
            <w:col w:w="11004"/>
          </w:cols>
          <w:pgMar w:left="436" w:top="270" w:right="4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February 23,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Legal Officer and Secretary</w:t>
      </w:r>
    </w:p>
    <w:p>
      <w:pPr>
        <w:sectPr>
          <w:pgSz w:w="11900" w:h="16838" w:orient="portrait"/>
          <w:cols w:equalWidth="0" w:num="1">
            <w:col w:w="10920"/>
          </w:cols>
          <w:pgMar w:left="440" w:top="266" w:right="5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Brian L. Roberts, Michael J. Cavanagh, Jason S. Armstrong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L. Roberts</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 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L. Roberts</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S. Armstrong</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S. Armstrong</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 C. Murdock</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Accounting Officer and Controller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C. Murdock</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Kenneth J. Bacon</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Kenneth J. Bacon</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J. Baltimore</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J. Baltimore</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Madeline S. Bell</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Madeline S. Bell</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Louise F. Brady</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Louise F. Brady</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D. Breen</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Edward D. Breen</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L. Hassell</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Gerald L. Hassell</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A. Honickman</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A. Honickman</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Maritza G. Montiel</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Maritza G. Montiel</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Asuka Nakahara</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Asuka Nakahara</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C. Novak</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C. Novak</w:t>
            </w:r>
          </w:p>
        </w:tc>
        <w:tc>
          <w:tcPr>
            <w:tcW w:w="512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4277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84277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Logan Square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18th Street |Philadelphia, PA 19103-6998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$500,000,000 of deferred compensation obligations (the “Deferred Compensation Obligations”), which represent general unsecured obligations to pay deferred compensation in the future in accordance with the Comcast Corporation 2005 Deferred Compensation Plan, as amended and restated effective February 28, 2023 (the “Deferred Compensation Plan”). This opinion is furnished pursuant to the requirements of Item 601(b)(5) of Regulation S-K.</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rendering this opinion, we have examined the following documents: (i) the Company’s Amended and Restated Articles of Incorporation; (ii) the Company’s Amended and Restated By-Laws; (iii) resolutions adopted by the Compensation and Human Capital Committee of the Board of Directors (the “Board”); (iv) resolutions adopted by the Board; (v) the Registration Statement (including all exhibits thereto); (vi) the Deferred Compensation Plan; and (vii) a certificate from an assistant secretary of the Company.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 is limited to the Pennsylvania Business Corporation Law of 1988, as amended.</w:t>
      </w:r>
    </w:p>
    <w:p>
      <w:pPr>
        <w:spacing w:after="0" w:line="22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Deferred Compensation Obligations, when issued in accordance with the Deferred Compensation Plan, will constitute valid and binding obligations of the Company enforceable against the Company in accordance with the terms of the Deferred Compensation Plan, except to the extent that enforcement thereof may be limited by (a) bankruptcy, insolvency, reorganization, receivership, fraudulent transfer, moratorium or other laws relating to or affecting creditors’ rights generally and (b) general principles of equity, regardless of whether enforceability is considered in a proceeding at law or in equity.</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no other or more extensive opinion is intended, implied or to be inferred beyond the matters expressly stated herein.</w:t>
      </w:r>
    </w:p>
    <w:p>
      <w:pPr>
        <w:sectPr>
          <w:pgSz w:w="11900" w:h="16838" w:orient="portrait"/>
          <w:cols w:equalWidth="0" w:num="1">
            <w:col w:w="11020"/>
          </w:cols>
          <w:pgMar w:left="440" w:top="117" w:right="439" w:bottom="1440" w:gutter="0" w:footer="0" w:header="0"/>
        </w:sectPr>
      </w:pPr>
    </w:p>
    <w:bookmarkStart w:id="6" w:name="page7"/>
    <w:bookmarkEnd w:id="6"/>
    <w:p>
      <w:pPr>
        <w:jc w:val="both"/>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BLANK ROME LLP</w:t>
      </w:r>
    </w:p>
    <w:p>
      <w:pPr>
        <w:sectPr>
          <w:pgSz w:w="11900" w:h="16838" w:orient="portrait"/>
          <w:cols w:equalWidth="0" w:num="1">
            <w:col w:w="10980"/>
          </w:cols>
          <w:pgMar w:left="440" w:top="270" w:right="4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4277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84277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Logan Square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18th Street |Philadelphia, PA 19103-6998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Comcast Corporation 2005 Deferred Compensation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have served as counsel to Comcast Corporation, a Pennsylvania Corporation (the “Company”), in connection with the registration by the Company of obligations (“Deferred Compensation Obligations”) which may be incurred by the Company pursuant to the Company’s 2005 Deferred Compensation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16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Plan was established to permit eligible employees and non-employee directors to defer the receipt of compensation otherwise payable to such non-employee directors and eligible employees in accordance with the terms of the Plan. The Plan states that it is unfunded and is maintained primarily for the purpose of providing deferred compensation to non-employee directors and to a select group of management or highly compensated employees. For the purpose of this opinion, we have assumed that (1) the Plan, as amended and restated, effective as of February 28, 2023, in its current form has been duly adopted, and (2) the Plan is maintained primarily for the purpose of providing the opportunity to defer the receipt of compensation by non-employee directors and a select group of management or highly compensated employees.</w:t>
      </w:r>
    </w:p>
    <w:p>
      <w:pPr>
        <w:spacing w:after="0" w:line="18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non-</w:t>
      </w:r>
    </w:p>
    <w:p>
      <w:pPr>
        <w:sectPr>
          <w:pgSz w:w="11900" w:h="16838" w:orient="portrait"/>
          <w:cols w:equalWidth="0" w:num="1">
            <w:col w:w="11020"/>
          </w:cols>
          <w:pgMar w:left="440" w:top="117" w:right="439" w:bottom="1440" w:gutter="0" w:footer="0" w:header="0"/>
        </w:sectPr>
      </w:pPr>
    </w:p>
    <w:bookmarkStart w:id="8" w:name="page9"/>
    <w:bookmarkEnd w:id="8"/>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directors and to a select group of management or highly compensated employees, the Plan is subject to parts 1 and 5 of Title I of ERISA, but not to any other provisions of ERISA. The Plan is not designed or operated with the purpose of satisfying the requirements for qualification under section 401(a) of the Internal Revenue Code of 1986, as amended. 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200" w:lineRule="exact"/>
        <w:rPr>
          <w:sz w:val="20"/>
          <w:szCs w:val="20"/>
          <w:color w:val="auto"/>
        </w:rPr>
      </w:pPr>
    </w:p>
    <w:p>
      <w:pPr>
        <w:spacing w:after="0" w:line="204"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provisions of the written document constituting the Plan comply with the requirements of ERISA pertaining to such provisions.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Blank Rome LLP</w:t>
      </w:r>
    </w:p>
    <w:p>
      <w:pPr>
        <w:sectPr>
          <w:pgSz w:w="11900" w:h="16838" w:orient="portrait"/>
          <w:cols w:equalWidth="0" w:num="1">
            <w:col w:w="10980"/>
          </w:cols>
          <w:pgMar w:left="440" w:top="270" w:right="4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January 31, 2024, relating to the financial statements of Comcast Corporation and the effectiveness of Comcast Corporation’s internal control over financial reporting, appearing in the Annual Report on Form 10-K of Comcast Corporation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2500" w:type="dxa"/>
            <w:vAlign w:val="bottom"/>
            <w:tcBorders>
              <w:top w:val="single" w:sz="8" w:color="auto"/>
              <w:lef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2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Security</w:t>
            </w:r>
          </w:p>
        </w:tc>
        <w:tc>
          <w:tcPr>
            <w:tcW w:w="7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0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ind w:left="6"/>
              <w:spacing w:after="0" w:line="128"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2500" w:type="dxa"/>
            <w:vAlign w:val="bottom"/>
            <w:tcBorders>
              <w:lef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780" w:type="dxa"/>
            <w:vAlign w:val="bottom"/>
            <w:tcBorders>
              <w:right w:val="single" w:sz="8" w:color="auto"/>
            </w:tcBorders>
          </w:tcPr>
          <w:p>
            <w:pPr>
              <w:jc w:val="center"/>
              <w:ind w:left="6"/>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c>
          <w:tcPr>
            <w:tcW w:w="0" w:type="dxa"/>
            <w:vAlign w:val="bottom"/>
          </w:tcPr>
          <w:p>
            <w:pPr>
              <w:spacing w:after="0"/>
              <w:rPr>
                <w:sz w:val="1"/>
                <w:szCs w:val="1"/>
                <w:color w:val="auto"/>
              </w:rPr>
            </w:pPr>
          </w:p>
        </w:tc>
      </w:tr>
      <w:tr>
        <w:trPr>
          <w:trHeight w:val="175"/>
        </w:trPr>
        <w:tc>
          <w:tcPr>
            <w:tcW w:w="2500" w:type="dxa"/>
            <w:vAlign w:val="bottom"/>
            <w:tcBorders>
              <w:left w:val="single" w:sz="8" w:color="auto"/>
              <w:bottom w:val="single" w:sz="8" w:color="auto"/>
            </w:tcBorders>
          </w:tcPr>
          <w:p>
            <w:pPr>
              <w:jc w:val="center"/>
              <w:ind w:left="1284"/>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12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78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18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4"/>
              </w:rPr>
              <w:t xml:space="preserve">Registered </w:t>
            </w:r>
            <w:r>
              <w:rPr>
                <w:rFonts w:ascii="Times New Roman" w:cs="Times New Roman" w:eastAsia="Times New Roman" w:hAnsi="Times New Roman"/>
                <w:sz w:val="18"/>
                <w:szCs w:val="18"/>
                <w:b w:val="1"/>
                <w:bCs w:val="1"/>
                <w:color w:val="auto"/>
                <w:w w:val="94"/>
                <w:vertAlign w:val="superscript"/>
              </w:rPr>
              <w:t>(1)</w:t>
            </w:r>
          </w:p>
        </w:tc>
        <w:tc>
          <w:tcPr>
            <w:tcW w:w="7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0"/>
              </w:rPr>
              <w:t xml:space="preserve">Unit </w:t>
            </w:r>
            <w:r>
              <w:rPr>
                <w:rFonts w:ascii="Times New Roman" w:cs="Times New Roman" w:eastAsia="Times New Roman" w:hAnsi="Times New Roman"/>
                <w:sz w:val="18"/>
                <w:szCs w:val="18"/>
                <w:b w:val="1"/>
                <w:bCs w:val="1"/>
                <w:color w:val="auto"/>
                <w:w w:val="90"/>
                <w:vertAlign w:val="superscript"/>
              </w:rPr>
              <w:t>(1)</w:t>
            </w:r>
          </w:p>
        </w:tc>
        <w:tc>
          <w:tcPr>
            <w:tcW w:w="12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0"/>
              </w:rPr>
              <w:t xml:space="preserve">Price </w:t>
            </w:r>
            <w:r>
              <w:rPr>
                <w:rFonts w:ascii="Times New Roman" w:cs="Times New Roman" w:eastAsia="Times New Roman" w:hAnsi="Times New Roman"/>
                <w:sz w:val="18"/>
                <w:szCs w:val="18"/>
                <w:b w:val="1"/>
                <w:bCs w:val="1"/>
                <w:color w:val="auto"/>
                <w:w w:val="90"/>
                <w:vertAlign w:val="superscript"/>
              </w:rPr>
              <w:t>(2)</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205"/>
        </w:trPr>
        <w:tc>
          <w:tcPr>
            <w:tcW w:w="2500" w:type="dxa"/>
            <w:vAlign w:val="bottom"/>
            <w:tcBorders>
              <w:left w:val="single" w:sz="8" w:color="auto"/>
            </w:tcBorders>
          </w:tcPr>
          <w:p>
            <w:pPr>
              <w:jc w:val="center"/>
              <w:ind w:left="1284"/>
              <w:spacing w:after="0" w:line="205" w:lineRule="exact"/>
              <w:rPr>
                <w:sz w:val="20"/>
                <w:szCs w:val="20"/>
                <w:color w:val="auto"/>
              </w:rPr>
            </w:pPr>
            <w:r>
              <w:rPr>
                <w:rFonts w:ascii="Times New Roman" w:cs="Times New Roman" w:eastAsia="Times New Roman" w:hAnsi="Times New Roman"/>
                <w:sz w:val="18"/>
                <w:szCs w:val="18"/>
                <w:color w:val="auto"/>
                <w:w w:val="97"/>
              </w:rPr>
              <w:t>Debt</w:t>
            </w:r>
          </w:p>
        </w:tc>
        <w:tc>
          <w:tcPr>
            <w:tcW w:w="12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left="4"/>
              <w:spacing w:after="0" w:line="205" w:lineRule="exact"/>
              <w:rPr>
                <w:sz w:val="20"/>
                <w:szCs w:val="20"/>
                <w:color w:val="auto"/>
              </w:rPr>
            </w:pPr>
            <w:r>
              <w:rPr>
                <w:rFonts w:ascii="Times New Roman" w:cs="Times New Roman" w:eastAsia="Times New Roman" w:hAnsi="Times New Roman"/>
                <w:sz w:val="18"/>
                <w:szCs w:val="18"/>
                <w:color w:val="auto"/>
                <w:w w:val="99"/>
              </w:rPr>
              <w:t>Deferred</w:t>
            </w:r>
          </w:p>
        </w:tc>
        <w:tc>
          <w:tcPr>
            <w:tcW w:w="780" w:type="dxa"/>
            <w:vAlign w:val="bottom"/>
            <w:tcBorders>
              <w:right w:val="single" w:sz="8" w:color="auto"/>
            </w:tcBorders>
          </w:tcPr>
          <w:p>
            <w:pPr>
              <w:jc w:val="center"/>
              <w:ind w:left="6"/>
              <w:spacing w:after="0" w:line="205" w:lineRule="exact"/>
              <w:rPr>
                <w:sz w:val="20"/>
                <w:szCs w:val="20"/>
                <w:color w:val="auto"/>
              </w:rPr>
            </w:pPr>
            <w:r>
              <w:rPr>
                <w:rFonts w:ascii="Times New Roman" w:cs="Times New Roman" w:eastAsia="Times New Roman" w:hAnsi="Times New Roman"/>
                <w:sz w:val="18"/>
                <w:szCs w:val="18"/>
                <w:color w:val="auto"/>
                <w:w w:val="99"/>
              </w:rPr>
              <w:t>Rule</w:t>
            </w:r>
          </w:p>
        </w:tc>
        <w:tc>
          <w:tcPr>
            <w:tcW w:w="11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$500,000,000</w:t>
            </w:r>
          </w:p>
        </w:tc>
        <w:tc>
          <w:tcPr>
            <w:tcW w:w="7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100%</w:t>
            </w:r>
          </w:p>
        </w:tc>
        <w:tc>
          <w:tcPr>
            <w:tcW w:w="12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$500,000,000</w:t>
            </w:r>
          </w:p>
        </w:tc>
        <w:tc>
          <w:tcPr>
            <w:tcW w:w="960" w:type="dxa"/>
            <w:vAlign w:val="bottom"/>
            <w:tcBorders>
              <w:right w:val="single" w:sz="8" w:color="auto"/>
            </w:tcBorders>
          </w:tcPr>
          <w:p>
            <w:pPr>
              <w:jc w:val="right"/>
              <w:ind w:right="81"/>
              <w:spacing w:after="0" w:line="205" w:lineRule="exact"/>
              <w:rPr>
                <w:sz w:val="20"/>
                <w:szCs w:val="20"/>
                <w:color w:val="auto"/>
              </w:rPr>
            </w:pPr>
            <w:r>
              <w:rPr>
                <w:rFonts w:ascii="Times New Roman" w:cs="Times New Roman" w:eastAsia="Times New Roman" w:hAnsi="Times New Roman"/>
                <w:sz w:val="18"/>
                <w:szCs w:val="18"/>
                <w:color w:val="auto"/>
              </w:rPr>
              <w:t>$147.60</w:t>
            </w:r>
          </w:p>
        </w:tc>
        <w:tc>
          <w:tcPr>
            <w:tcW w:w="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$73,800.00</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Compensation</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1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per</w:t>
            </w: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Obligations</w:t>
            </w:r>
          </w:p>
        </w:tc>
        <w:tc>
          <w:tcPr>
            <w:tcW w:w="7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500" w:type="dxa"/>
            <w:vAlign w:val="bottom"/>
            <w:tcBorders>
              <w:left w:val="single" w:sz="8" w:color="auto"/>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center"/>
              <w:ind w:right="324"/>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$500,000,000</w:t>
            </w:r>
          </w:p>
        </w:tc>
        <w:tc>
          <w:tcPr>
            <w:tcW w:w="9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$73,800.00</w:t>
            </w:r>
          </w:p>
        </w:tc>
        <w:tc>
          <w:tcPr>
            <w:tcW w:w="0" w:type="dxa"/>
            <w:vAlign w:val="bottom"/>
          </w:tcPr>
          <w:p>
            <w:pPr>
              <w:spacing w:after="0"/>
              <w:rPr>
                <w:sz w:val="1"/>
                <w:szCs w:val="1"/>
                <w:color w:val="auto"/>
              </w:rPr>
            </w:pPr>
          </w:p>
        </w:tc>
      </w:tr>
      <w:tr>
        <w:trPr>
          <w:trHeight w:val="236"/>
        </w:trPr>
        <w:tc>
          <w:tcPr>
            <w:tcW w:w="2500" w:type="dxa"/>
            <w:vAlign w:val="bottom"/>
            <w:tcBorders>
              <w:left w:val="single" w:sz="8" w:color="auto"/>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center"/>
              <w:ind w:right="324"/>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center"/>
              <w:ind w:right="324"/>
              <w:spacing w:after="0"/>
              <w:rPr>
                <w:sz w:val="20"/>
                <w:szCs w:val="20"/>
                <w:color w:val="auto"/>
              </w:rPr>
            </w:pPr>
            <w:r>
              <w:rPr>
                <w:rFonts w:ascii="Times New Roman" w:cs="Times New Roman" w:eastAsia="Times New Roman" w:hAnsi="Times New Roman"/>
                <w:sz w:val="18"/>
                <w:szCs w:val="18"/>
                <w:color w:val="auto"/>
              </w:rPr>
              <w:t>Net Fee Due</w:t>
            </w:r>
          </w:p>
        </w:tc>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$73,800.00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0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Compensation Obligations to which this Registration Statement relates arise under the Comcast Corporation 2005 Deferred Compensation Plan, as amended and restated (the “Plan”), and are unsecured general obligations of Comcast Corporation to pay up to $500,000,000 of deferred compensation from time to time in the future pursuant to compensation deferral elections made by participants in the Plan in accordance with the terms of the Plan.</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457(h) under the Securities Act solely for the purpose of calculating the registration fee.</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4"/>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1"/>
      <w:numFmt w:val="decimal"/>
      <w:start w:val="107"/>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jpeg"/><Relationship Id="rId31" Type="http://schemas.openxmlformats.org/officeDocument/2006/relationships/image" Target="media/image17.png"/><Relationship Id="rId17" Type="http://schemas.openxmlformats.org/officeDocument/2006/relationships/hyperlink" Target="http://www.sec.gov/Archives/edgar/data/1166691/000119312521060628/d126023ds8.htm" TargetMode="External"/><Relationship Id="rId18" Type="http://schemas.openxmlformats.org/officeDocument/2006/relationships/hyperlink" Target="http://www.sec.gov/Archives/edgar/data/1166691/000119312518134422/d567946ds8.htm" TargetMode="External"/><Relationship Id="rId19" Type="http://schemas.openxmlformats.org/officeDocument/2006/relationships/hyperlink" Target="http://www.sec.gov/Archives/edgar/data/1166691/000119312516500287/d158990ds8.htm" TargetMode="External"/><Relationship Id="rId20" Type="http://schemas.openxmlformats.org/officeDocument/2006/relationships/hyperlink" Target="http://www.sec.gov/Archives/edgar/data/1166691/000119312514048022/d659565ds8.htm" TargetMode="External"/><Relationship Id="rId21" Type="http://schemas.openxmlformats.org/officeDocument/2006/relationships/hyperlink" Target="http://www.sec.gov/Archives/edgar/data/1166691/000119312512074870/d305700ds8.htm" TargetMode="External"/><Relationship Id="rId22" Type="http://schemas.openxmlformats.org/officeDocument/2006/relationships/hyperlink" Target="http://www.sec.gov/Archives/edgar/data/1166691/000119312504209540/ds8.htm" TargetMode="External"/><Relationship Id="rId24" Type="http://schemas.openxmlformats.org/officeDocument/2006/relationships/hyperlink" Target="http://www.sec.gov/Archives/edgar/data/1166691/000116669124000011/ex107-1231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2024-02-23T09:54:01Z</dcterms:created>
  <dcterms:modified xsi:type="dcterms:W3CDTF">2024-02-23T09:54:01Z</dcterms:modified>
</cp:coreProperties>
</file>