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Comcast Corporation</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Class A 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20030N101</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2015</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20030N101</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134,907,439</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134,907,439</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134,907,439</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5.5%</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20030N101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Comcast Corporation</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One Comcast Center</w:t>
      </w:r>
    </w:p>
    <w:p>
      <w:pPr>
        <w:ind w:left="740"/>
        <w:spacing w:after="0"/>
        <w:tabs>
          <w:tab w:leader="none" w:pos="2620" w:val="left"/>
        </w:tabs>
        <w:rPr>
          <w:sz w:val="20"/>
          <w:szCs w:val="20"/>
          <w:color w:val="auto"/>
        </w:rPr>
      </w:pPr>
      <w:r>
        <w:rPr>
          <w:rFonts w:ascii="Courier New" w:cs="Courier New" w:eastAsia="Courier New" w:hAnsi="Courier New"/>
          <w:sz w:val="18"/>
          <w:szCs w:val="18"/>
          <w:color w:val="auto"/>
        </w:rPr>
        <w:t>Philadelphia, PA</w:t>
      </w:r>
      <w:r>
        <w:rPr>
          <w:sz w:val="20"/>
          <w:szCs w:val="20"/>
          <w:color w:val="auto"/>
        </w:rPr>
        <w:tab/>
      </w:r>
      <w:r>
        <w:rPr>
          <w:rFonts w:ascii="Courier New" w:cs="Courier New" w:eastAsia="Courier New" w:hAnsi="Courier New"/>
          <w:sz w:val="16"/>
          <w:szCs w:val="16"/>
          <w:color w:val="auto"/>
        </w:rPr>
        <w:t>19103-2838</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3">
            <w:col w:w="960" w:space="520"/>
            <w:col w:w="1260" w:space="320"/>
            <w:col w:w="7159"/>
          </w:cols>
          <w:pgMar w:left="240" w:top="142" w:right="1440" w:bottom="0" w:gutter="0" w:footer="0" w:header="0"/>
          <w:type w:val="continuous"/>
        </w:sectPr>
      </w:pPr>
    </w:p>
    <w:p>
      <w:pPr>
        <w:spacing w:after="0" w:line="1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20030N101</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739" w:firstLine="421"/>
        <w:spacing w:after="0" w:line="236" w:lineRule="auto"/>
        <w:rPr>
          <w:sz w:val="20"/>
          <w:szCs w:val="20"/>
          <w:color w:val="auto"/>
        </w:rPr>
      </w:pPr>
      <w:r>
        <w:rPr>
          <w:rFonts w:ascii="Courier New" w:cs="Courier New" w:eastAsia="Courier New" w:hAnsi="Courier New"/>
          <w:sz w:val="18"/>
          <w:szCs w:val="18"/>
          <w:color w:val="auto"/>
        </w:rPr>
        <w:t>If this statement is filed pursuant to sections 240.13d-1(b) or 240.13d-2(b) or (c), check whether the person filing is a: (e) [X] An investment adviser in accordance with</w:t>
      </w:r>
    </w:p>
    <w:p>
      <w:pPr>
        <w:sectPr>
          <w:pgSz w:w="11900" w:h="16838" w:orient="portrait"/>
          <w:cols w:equalWidth="0" w:num="2">
            <w:col w:w="640" w:space="100"/>
            <w:col w:w="947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is deemed to be the beneficial owner of 134,907,439 shares or 5.5% of the 2,436,465,724 shares believed to be outstanding as a result of CRMC acting as investment adviser to various investment companies registered under Section 8 of the Investment Company Act of 1940.</w:t>
      </w:r>
    </w:p>
    <w:p>
      <w:pPr>
        <w:spacing w:after="0" w:line="200" w:lineRule="exact"/>
        <w:rPr>
          <w:sz w:val="20"/>
          <w:szCs w:val="20"/>
          <w:color w:val="auto"/>
        </w:rPr>
      </w:pPr>
    </w:p>
    <w:p>
      <w:pPr>
        <w:spacing w:after="0" w:line="20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20030N101</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10,</w:t>
            </w:r>
          </w:p>
        </w:tc>
        <w:tc>
          <w:tcPr>
            <w:tcW w:w="2220" w:type="dxa"/>
            <w:vAlign w:val="bottom"/>
          </w:tcPr>
          <w:p>
            <w:pPr>
              <w:spacing w:after="0"/>
              <w:rPr>
                <w:sz w:val="20"/>
                <w:szCs w:val="20"/>
                <w:color w:val="auto"/>
              </w:rPr>
            </w:pPr>
            <w:r>
              <w:rPr>
                <w:rFonts w:ascii="Courier New" w:cs="Courier New" w:eastAsia="Courier New" w:hAnsi="Courier New"/>
                <w:sz w:val="18"/>
                <w:szCs w:val="18"/>
                <w:color w:val="auto"/>
              </w:rPr>
              <w:t>2016</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Alan</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Berro***</w:t>
            </w:r>
          </w:p>
        </w:tc>
        <w:tc>
          <w:tcPr>
            <w:tcW w:w="2220" w:type="dxa"/>
            <w:vAlign w:val="bottom"/>
          </w:tcPr>
          <w:p>
            <w:pPr>
              <w:spacing w:after="0"/>
              <w:rPr>
                <w:sz w:val="24"/>
                <w:szCs w:val="24"/>
                <w:color w:val="auto"/>
              </w:rPr>
            </w:pP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Alan</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Berro -</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Senior Vice President</w:t>
            </w:r>
          </w:p>
        </w:tc>
      </w:tr>
      <w:tr>
        <w:trPr>
          <w:trHeight w:val="203"/>
        </w:trPr>
        <w:tc>
          <w:tcPr>
            <w:tcW w:w="1360" w:type="dxa"/>
            <w:vAlign w:val="bottom"/>
          </w:tcPr>
          <w:p>
            <w:pPr>
              <w:spacing w:after="0"/>
              <w:rPr>
                <w:sz w:val="17"/>
                <w:szCs w:val="17"/>
                <w:color w:val="auto"/>
              </w:rPr>
            </w:pPr>
          </w:p>
        </w:tc>
        <w:tc>
          <w:tcPr>
            <w:tcW w:w="38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Capital World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Michael Triessl</w:t>
      </w:r>
    </w:p>
    <w:p>
      <w:pPr>
        <w:ind w:left="1580"/>
        <w:spacing w:after="0" w:line="238" w:lineRule="auto"/>
        <w:rPr>
          <w:sz w:val="20"/>
          <w:szCs w:val="20"/>
          <w:color w:val="auto"/>
        </w:rPr>
      </w:pPr>
      <w:r>
        <w:rPr>
          <w:rFonts w:ascii="Courier New" w:cs="Courier New" w:eastAsia="Courier New" w:hAnsi="Courier New"/>
          <w:sz w:val="18"/>
          <w:szCs w:val="18"/>
          <w:color w:val="auto"/>
        </w:rPr>
        <w:t>Michael Triessl</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75" w:lineRule="auto"/>
        <w:rPr>
          <w:sz w:val="20"/>
          <w:szCs w:val="20"/>
          <w:color w:val="auto"/>
        </w:rPr>
      </w:pPr>
      <w:r>
        <w:rPr>
          <w:rFonts w:ascii="Courier New" w:cs="Courier New" w:eastAsia="Courier New" w:hAnsi="Courier New"/>
          <w:sz w:val="16"/>
          <w:szCs w:val="16"/>
          <w:color w:val="auto"/>
        </w:rPr>
        <w:t>Signed pursuant to a Power of Attorney dated December 19, 2014 included as an Exhibit to Schedule 13G filed with the Securities and Exchange Commission by Capital World Investors on February 6, 2015 with respect to Hudbay Minerals Inc.</w:t>
      </w:r>
    </w:p>
    <w:p>
      <w:pPr>
        <w:sectPr>
          <w:pgSz w:w="11900" w:h="16838" w:orient="portrait"/>
          <w:cols w:equalWidth="0" w:num="1">
            <w:col w:w="10219"/>
          </w:cols>
          <w:pgMar w:left="240" w:top="136" w:right="1440" w:bottom="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20030N101</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2019-12-07T16:00:54Z</dcterms:created>
  <dcterms:modified xsi:type="dcterms:W3CDTF">2019-12-07T16:00:54Z</dcterms:modified>
</cp:coreProperties>
</file>