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944318ds8.htm"/>
      <w:bookmarkStart w:id="1" w:name="ksd944318ds8"/>
      <w:bookmarkEnd w:id="0"/>
      <w:bookmarkEnd w:id="1"/>
      <w:r>
        <w:rPr>
          <w:rFonts w:ascii="Times New Roman" w:hAnsi="Times New Roman"/>
          <w:b/>
          <w:sz w:val="20"/>
        </w:rPr>
        <w:t xml:space="preserve">As Filed with the Securities and Exchange Commission on July 2, 2025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Pennsylvania</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27-0000798</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One Comcast Center </w:t>
      </w:r>
    </w:p>
    <w:p>
      <w:pPr>
        <w:pStyle w:val="TextBody"/>
        <w:bidi w:val="0"/>
        <w:spacing w:before="0" w:after="0"/>
        <w:jc w:val="center"/>
        <w:rPr>
          <w:rFonts w:ascii="Times New Roman" w:hAnsi="Times New Roman"/>
          <w:b/>
          <w:sz w:val="20"/>
        </w:rPr>
      </w:pPr>
      <w:r>
        <w:rPr>
          <w:rFonts w:ascii="Times New Roman" w:hAnsi="Times New Roman"/>
          <w:b/>
          <w:sz w:val="20"/>
        </w:rPr>
        <w:t xml:space="preserve">Philadelphia, PA 19103-2838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COMCAST-NBCUNIVERSAL 2011 EMPLOYEE STOCK PURCHASE PLAN</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Thomas J. Reid, Esq. </w:t>
      </w:r>
    </w:p>
    <w:p>
      <w:pPr>
        <w:pStyle w:val="TextBody"/>
        <w:bidi w:val="0"/>
        <w:spacing w:before="0" w:after="0"/>
        <w:jc w:val="center"/>
        <w:rPr>
          <w:rFonts w:ascii="Times New Roman" w:hAnsi="Times New Roman"/>
          <w:b/>
          <w:sz w:val="20"/>
        </w:rPr>
      </w:pPr>
      <w:r>
        <w:rPr>
          <w:rFonts w:ascii="Times New Roman" w:hAnsi="Times New Roman"/>
          <w:b/>
          <w:sz w:val="20"/>
        </w:rPr>
        <w:t xml:space="preserve">Chief Legal Officer and Secretary </w:t>
      </w:r>
    </w:p>
    <w:p>
      <w:pPr>
        <w:pStyle w:val="TextBody"/>
        <w:bidi w:val="0"/>
        <w:spacing w:before="0" w:after="0"/>
        <w:jc w:val="center"/>
        <w:rPr>
          <w:rFonts w:ascii="Times New Roman" w:hAnsi="Times New Roman"/>
          <w:b/>
          <w:sz w:val="20"/>
        </w:rPr>
      </w:pPr>
      <w:r>
        <w:rPr>
          <w:rFonts w:ascii="Times New Roman" w:hAnsi="Times New Roman"/>
          <w:b/>
          <w:sz w:val="20"/>
        </w:rPr>
        <w:t xml:space="preserve">Comcast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One Comcast Center </w:t>
      </w:r>
    </w:p>
    <w:p>
      <w:pPr>
        <w:pStyle w:val="TextBody"/>
        <w:bidi w:val="0"/>
        <w:spacing w:before="0" w:after="0"/>
        <w:jc w:val="center"/>
        <w:rPr>
          <w:rFonts w:ascii="Times New Roman" w:hAnsi="Times New Roman"/>
          <w:b/>
          <w:sz w:val="20"/>
        </w:rPr>
      </w:pPr>
      <w:r>
        <w:rPr>
          <w:rFonts w:ascii="Times New Roman" w:hAnsi="Times New Roman"/>
          <w:b/>
          <w:sz w:val="20"/>
        </w:rPr>
        <w:t xml:space="preserve">Philadelphia, PA 19103-2838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(215) 286-1700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200"/>
        <w:gridCol w:w="103"/>
        <w:gridCol w:w="4780"/>
        <w:gridCol w:w="127"/>
        <w:gridCol w:w="2636"/>
        <w:gridCol w:w="103"/>
        <w:gridCol w:w="256"/>
      </w:tblGrid>
      <w:tr>
        <w:trPr/>
        <w:tc>
          <w:tcPr>
            <w:tcW w:w="220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78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263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pPr>
            <w:r>
              <w:rPr/>
              <w:t>☐</w:t>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200" w:type="dxa"/>
            <w:tcBorders/>
            <w:vAlign w:val="center"/>
          </w:tcPr>
          <w:p>
            <w:pPr>
              <w:pStyle w:val="TableContents"/>
              <w:bidi w:val="0"/>
              <w:spacing w:before="0" w:after="283"/>
              <w:jc w:val="left"/>
              <w:rPr>
                <w:sz w:val="4"/>
                <w:szCs w:val="4"/>
              </w:rPr>
            </w:pPr>
            <w:r>
              <w:rPr>
                <w:sz w:val="4"/>
                <w:szCs w:val="4"/>
              </w:rPr>
            </w:r>
          </w:p>
        </w:tc>
        <w:tc>
          <w:tcPr>
            <w:tcW w:w="4883"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200"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780"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263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pPr>
      <w:r>
        <w:rPr>
          <w:rFonts w:ascii="Times New Roman" w:hAnsi="Times New Roman"/>
          <w:sz w:val="20"/>
        </w:rPr>
        <w:t xml:space="preserve">Pursuant to General Instruction E of Form S-8, this Registration Statement on Form S-8 (the Registration Statement) is being filed in order to register an additional 10,000,000 shares of Class A Common Stock, par value $0.01 per share (Common Stock), of Comcast Corporation (the Registrant) issuable under the Amended and Restated Comcast-NBCUniversal 2011 Employee Stock Purchase Plan, which are securities of the same class and relate to the same employee benefit plan, as those shares of Common Stock registered on the Registrants registration statements on Form S-8 previously filed with the Securities and Exchange Commission on </w:t>
      </w:r>
      <w:hyperlink r:id="rId2">
        <w:r>
          <w:rPr>
            <w:rStyle w:val="InternetLink"/>
            <w:rFonts w:ascii="Times New Roman" w:hAnsi="Times New Roman"/>
            <w:sz w:val="20"/>
          </w:rPr>
          <w:t>May 23, 2011</w:t>
        </w:r>
      </w:hyperlink>
      <w:r>
        <w:rPr>
          <w:rFonts w:ascii="Times New Roman" w:hAnsi="Times New Roman"/>
          <w:sz w:val="20"/>
        </w:rPr>
        <w:t xml:space="preserve"> (Registration No. 333-174417), </w:t>
      </w:r>
      <w:hyperlink r:id="rId3">
        <w:r>
          <w:rPr>
            <w:rStyle w:val="InternetLink"/>
            <w:rFonts w:ascii="Times New Roman" w:hAnsi="Times New Roman"/>
            <w:sz w:val="20"/>
          </w:rPr>
          <w:t>August 2, 2012</w:t>
        </w:r>
      </w:hyperlink>
      <w:r>
        <w:rPr>
          <w:rFonts w:ascii="Times New Roman" w:hAnsi="Times New Roman"/>
          <w:sz w:val="20"/>
        </w:rPr>
        <w:t xml:space="preserve"> (Registration No. 333-183008) and </w:t>
      </w:r>
      <w:hyperlink r:id="rId4">
        <w:r>
          <w:rPr>
            <w:rStyle w:val="InternetLink"/>
            <w:rFonts w:ascii="Times New Roman" w:hAnsi="Times New Roman"/>
            <w:sz w:val="20"/>
          </w:rPr>
          <w:t>July 28, 2016</w:t>
        </w:r>
      </w:hyperlink>
      <w:r>
        <w:rPr>
          <w:rFonts w:ascii="Times New Roman" w:hAnsi="Times New Roman"/>
          <w:sz w:val="20"/>
        </w:rPr>
        <w:t xml:space="preserve"> (Registration No. 333-212716), all of which are hereby incorporated by reference.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Sections 1741 through 1750 of Subchapter D, Chapter 17, of the Pennsylvania Business Corporation Law of 1988, as amended (PBCL), contain provisions for mandatory and discretionary indemnification of a corporations directors, officers and other personnel, and related matters.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 </w:t>
      </w:r>
    </w:p>
    <w:p>
      <w:pPr>
        <w:pStyle w:val="TextBody"/>
        <w:bidi w:val="0"/>
        <w:spacing w:before="240" w:after="0"/>
        <w:jc w:val="left"/>
        <w:rPr>
          <w:rFonts w:ascii="Times New Roman" w:hAnsi="Times New Roman"/>
          <w:sz w:val="20"/>
        </w:rPr>
      </w:pPr>
      <w:r>
        <w:rPr>
          <w:rFonts w:ascii="Times New Roman" w:hAnsi="Times New Roman"/>
          <w:sz w:val="20"/>
        </w:rPr>
        <w:t xml:space="preserve">Under Section 1743 of the PBCL, indemnification is mandatory to the extent that the officer or director has been successful on the merits or otherwise in defense of any action or proceeding referred to in Section 1741 or 1742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or she is not entitled to be indemnified by the corporation. Except as otherwise provided in the corporations bylaws, advancement of expenses must be authorized by the board of directors.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 </w:t>
      </w:r>
    </w:p>
    <w:p>
      <w:pPr>
        <w:pStyle w:val="TextBody"/>
        <w:bidi w:val="0"/>
        <w:spacing w:before="240" w:after="0"/>
        <w:jc w:val="left"/>
        <w:rPr>
          <w:rFonts w:ascii="Times New Roman" w:hAnsi="Times New Roman"/>
          <w:sz w:val="20"/>
        </w:rPr>
      </w:pPr>
      <w:r>
        <w:rPr>
          <w:rFonts w:ascii="Times New Roman" w:hAnsi="Times New Roman"/>
          <w:sz w:val="20"/>
        </w:rPr>
        <w:t xml:space="preserve">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 </w:t>
      </w:r>
    </w:p>
    <w:p>
      <w:pPr>
        <w:pStyle w:val="TextBody"/>
        <w:bidi w:val="0"/>
        <w:spacing w:before="240" w:after="0"/>
        <w:jc w:val="left"/>
        <w:rPr>
          <w:rFonts w:ascii="Times New Roman" w:hAnsi="Times New Roman"/>
          <w:sz w:val="20"/>
        </w:rPr>
      </w:pPr>
      <w:r>
        <w:rPr>
          <w:rFonts w:ascii="Times New Roman" w:hAnsi="Times New Roman"/>
          <w:sz w:val="20"/>
        </w:rPr>
        <w:t xml:space="preserve">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 </w:t>
      </w:r>
    </w:p>
    <w:p>
      <w:pPr>
        <w:pStyle w:val="TextBody"/>
        <w:bidi w:val="0"/>
        <w:spacing w:before="240" w:after="0"/>
        <w:jc w:val="left"/>
        <w:rPr>
          <w:rFonts w:ascii="Times New Roman" w:hAnsi="Times New Roman"/>
          <w:sz w:val="20"/>
        </w:rPr>
      </w:pPr>
      <w:r>
        <w:rPr>
          <w:rFonts w:ascii="Times New Roman" w:hAnsi="Times New Roman"/>
          <w:sz w:val="20"/>
        </w:rPr>
        <w:t xml:space="preserve">Article Eleventh of the Registrants charter provides that no person who is or was a director of the Registrant will be personally liable, as such, for monetary damages (other than under criminal statutes and under laws imposing such liability on directors for the payment of taxes) unless such persons conduct constitutes self-dealing, willful misconduct or recklessness. Article Twelfth of the Registrants charter extends such protection to any person who is or was an officer of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Article 7 of the Registrants bylaws provides that each officer and director of the Registrant will be indemnified and held harmless by the Registrant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the Registrant), whether civil, criminal, administrative or investigative, including any appeal therefrom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the Registrant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the Registrant of an undertaking, by or on behalf of the director or officer, to repay all advanced amounts without interest if it is ultimately determined that the director or officer is not entitled to be so indemnified. </w:t>
      </w:r>
    </w:p>
    <w:p>
      <w:pPr>
        <w:pStyle w:val="TextBody"/>
        <w:bidi w:val="0"/>
        <w:spacing w:before="240" w:after="0"/>
        <w:jc w:val="left"/>
        <w:rPr>
          <w:rFonts w:ascii="Times New Roman" w:hAnsi="Times New Roman"/>
          <w:sz w:val="20"/>
        </w:rPr>
      </w:pPr>
      <w:r>
        <w:rPr>
          <w:rFonts w:ascii="Times New Roman" w:hAnsi="Times New Roman"/>
          <w:sz w:val="20"/>
        </w:rPr>
        <w:t xml:space="preserve">Article 7 of the Registrants bylaws also provides that the Registrant may purchase and maintain insurance, at its expense, for the benefit of any person on behalf of whom insurance is permitted to be purchased by Pennsylvania law against any expense, liability or loss, whether or not the Registrant would have the power to indemnify such person under Pennsylvania or any other law. The Registrant may also purchase and maintain insurance to insure its indemnification obligations.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Registrant has entered into indemnification agreements with all of its directors, to indemnify the directors to the fullest extent permitted by applicable law. The Registrant also maintains directors and officers insurance to insure such persons against certain liabilities.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statements are subject to the detailed provisions of the PBCL and to the applicable provisions of the Registrants charter, bylaws and indemnification agreements.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8.</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3"/>
        <w:gridCol w:w="602"/>
        <w:gridCol w:w="8410"/>
      </w:tblGrid>
      <w:tr>
        <w:trPr/>
        <w:tc>
          <w:tcPr>
            <w:tcW w:w="1193" w:type="dxa"/>
            <w:tcBorders/>
            <w:vAlign w:val="center"/>
          </w:tcPr>
          <w:p>
            <w:pPr>
              <w:pStyle w:val="TableContents"/>
              <w:bidi w:val="0"/>
              <w:spacing w:before="0" w:after="283"/>
              <w:jc w:val="left"/>
              <w:rPr>
                <w:sz w:val="4"/>
                <w:szCs w:val="4"/>
              </w:rPr>
            </w:pPr>
            <w:r>
              <w:rPr>
                <w:sz w:val="4"/>
                <w:szCs w:val="4"/>
              </w:rPr>
            </w:r>
          </w:p>
        </w:tc>
        <w:tc>
          <w:tcPr>
            <w:tcW w:w="602" w:type="dxa"/>
            <w:tcBorders/>
            <w:vAlign w:val="bottom"/>
          </w:tcPr>
          <w:p>
            <w:pPr>
              <w:pStyle w:val="TableContents"/>
              <w:bidi w:val="0"/>
              <w:spacing w:before="0" w:after="283"/>
              <w:jc w:val="left"/>
              <w:rPr>
                <w:sz w:val="4"/>
                <w:szCs w:val="4"/>
              </w:rPr>
            </w:pPr>
            <w:r>
              <w:rPr>
                <w:sz w:val="4"/>
                <w:szCs w:val="4"/>
              </w:rPr>
            </w:r>
          </w:p>
        </w:tc>
        <w:tc>
          <w:tcPr>
            <w:tcW w:w="8410" w:type="dxa"/>
            <w:tcBorders/>
            <w:vAlign w:val="center"/>
          </w:tcPr>
          <w:p>
            <w:pPr>
              <w:pStyle w:val="TableContents"/>
              <w:bidi w:val="0"/>
              <w:spacing w:before="0" w:after="283"/>
              <w:jc w:val="left"/>
              <w:rPr>
                <w:sz w:val="4"/>
                <w:szCs w:val="4"/>
              </w:rPr>
            </w:pPr>
            <w:r>
              <w:rPr>
                <w:sz w:val="4"/>
                <w:szCs w:val="4"/>
              </w:rPr>
            </w:r>
          </w:p>
        </w:tc>
      </w:tr>
      <w:tr>
        <w:trPr/>
        <w:tc>
          <w:tcPr>
            <w:tcW w:w="1193" w:type="dxa"/>
            <w:tcBorders/>
            <w:vAlign w:val="bottom"/>
          </w:tcPr>
          <w:p>
            <w:pPr>
              <w:pStyle w:val="TableContents"/>
              <w:bidi w:val="0"/>
              <w:spacing w:before="0" w:after="283"/>
              <w:jc w:val="center"/>
              <w:rPr>
                <w:b/>
              </w:rPr>
            </w:pPr>
            <w:r>
              <w:rPr>
                <w:b/>
              </w:rPr>
              <w:t>Exhibit No.</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b/>
              </w:rPr>
            </w:pPr>
            <w:r>
              <w:rPr>
                <w:b/>
              </w:rPr>
              <w:t>Description</w:t>
            </w:r>
          </w:p>
        </w:tc>
      </w:tr>
      <w:tr>
        <w:trPr/>
        <w:tc>
          <w:tcPr>
            <w:tcW w:w="1193" w:type="dxa"/>
            <w:tcBorders/>
          </w:tcPr>
          <w:p>
            <w:pPr>
              <w:pStyle w:val="TableContents"/>
              <w:bidi w:val="0"/>
              <w:spacing w:before="0" w:after="283"/>
              <w:jc w:val="left"/>
              <w:rPr/>
            </w:pPr>
            <w:r>
              <w:rPr/>
              <w:t>5.1</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pPr>
            <w:hyperlink w:anchor="d944318dex51.htm">
              <w:r>
                <w:rPr>
                  <w:rStyle w:val="InternetLink"/>
                </w:rPr>
                <w:t xml:space="preserve">Opinion of Blank Rome LLP (regarding validity) </w:t>
              </w:r>
            </w:hyperlink>
          </w:p>
        </w:tc>
      </w:tr>
      <w:tr>
        <w:trPr/>
        <w:tc>
          <w:tcPr>
            <w:tcW w:w="1193" w:type="dxa"/>
            <w:tcBorders/>
          </w:tcPr>
          <w:p>
            <w:pPr>
              <w:pStyle w:val="TableContents"/>
              <w:bidi w:val="0"/>
              <w:spacing w:before="0" w:after="283"/>
              <w:jc w:val="left"/>
              <w:rPr/>
            </w:pPr>
            <w:r>
              <w:rPr/>
              <w:t>23.1</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pPr>
            <w:hyperlink w:anchor="d944318dex231.htm">
              <w:r>
                <w:rPr>
                  <w:rStyle w:val="InternetLink"/>
                </w:rPr>
                <w:t xml:space="preserve">Consent of Deloitte &amp; Touche LLP </w:t>
              </w:r>
            </w:hyperlink>
          </w:p>
        </w:tc>
      </w:tr>
      <w:tr>
        <w:trPr/>
        <w:tc>
          <w:tcPr>
            <w:tcW w:w="1193" w:type="dxa"/>
            <w:tcBorders/>
          </w:tcPr>
          <w:p>
            <w:pPr>
              <w:pStyle w:val="TableContents"/>
              <w:bidi w:val="0"/>
              <w:spacing w:before="0" w:after="283"/>
              <w:jc w:val="left"/>
              <w:rPr/>
            </w:pPr>
            <w:r>
              <w:rPr/>
              <w:t>23.2</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pPr>
            <w:hyperlink w:anchor="d944318dex51.htm">
              <w:r>
                <w:rPr>
                  <w:rStyle w:val="InternetLink"/>
                </w:rPr>
                <w:t xml:space="preserve">Consent of Blank Rome LLP (contained in Exhibit 5.1) </w:t>
              </w:r>
            </w:hyperlink>
          </w:p>
        </w:tc>
      </w:tr>
      <w:tr>
        <w:trPr/>
        <w:tc>
          <w:tcPr>
            <w:tcW w:w="1193" w:type="dxa"/>
            <w:tcBorders/>
          </w:tcPr>
          <w:p>
            <w:pPr>
              <w:pStyle w:val="TableContents"/>
              <w:bidi w:val="0"/>
              <w:spacing w:before="0" w:after="283"/>
              <w:jc w:val="left"/>
              <w:rPr/>
            </w:pPr>
            <w:r>
              <w:rPr/>
              <w:t>24</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pPr>
            <w:hyperlink w:anchor="sig">
              <w:r>
                <w:rPr>
                  <w:rStyle w:val="InternetLink"/>
                </w:rPr>
                <w:t xml:space="preserve">Power of Attorney (contained in the signature pages hereto) </w:t>
              </w:r>
            </w:hyperlink>
          </w:p>
        </w:tc>
      </w:tr>
      <w:tr>
        <w:trPr/>
        <w:tc>
          <w:tcPr>
            <w:tcW w:w="1193" w:type="dxa"/>
            <w:tcBorders/>
          </w:tcPr>
          <w:p>
            <w:pPr>
              <w:pStyle w:val="TableContents"/>
              <w:bidi w:val="0"/>
              <w:spacing w:before="0" w:after="283"/>
              <w:jc w:val="left"/>
              <w:rPr/>
            </w:pPr>
            <w:r>
              <w:rPr/>
              <w:t>99</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pPr>
            <w:hyperlink r:id="rId5">
              <w:r>
                <w:rPr>
                  <w:rStyle w:val="InternetLink"/>
                </w:rPr>
                <w:t xml:space="preserve">Amended and Restated Comcast-NBCUniversal 2011 Employee Stock Purchase Plan, effective June  18, 2025 (incorporated by reference to Exhibit 10.1 to the Registrants Current Report on Form 8-K filed on June 20, 2025) </w:t>
              </w:r>
            </w:hyperlink>
          </w:p>
        </w:tc>
      </w:tr>
      <w:tr>
        <w:trPr/>
        <w:tc>
          <w:tcPr>
            <w:tcW w:w="1193" w:type="dxa"/>
            <w:tcBorders/>
          </w:tcPr>
          <w:p>
            <w:pPr>
              <w:pStyle w:val="TableContents"/>
              <w:bidi w:val="0"/>
              <w:spacing w:before="0" w:after="283"/>
              <w:jc w:val="left"/>
              <w:rPr/>
            </w:pPr>
            <w:r>
              <w:rPr/>
              <w:t>107</w:t>
            </w:r>
          </w:p>
        </w:tc>
        <w:tc>
          <w:tcPr>
            <w:tcW w:w="602" w:type="dxa"/>
            <w:tcBorders/>
            <w:vAlign w:val="bottom"/>
          </w:tcPr>
          <w:p>
            <w:pPr>
              <w:pStyle w:val="TableContents"/>
              <w:bidi w:val="0"/>
              <w:spacing w:before="0" w:after="283"/>
              <w:jc w:val="left"/>
              <w:rPr/>
            </w:pPr>
            <w:r>
              <w:rPr/>
              <w:t>  </w:t>
            </w:r>
          </w:p>
        </w:tc>
        <w:tc>
          <w:tcPr>
            <w:tcW w:w="8410" w:type="dxa"/>
            <w:tcBorders/>
            <w:vAlign w:val="bottom"/>
          </w:tcPr>
          <w:p>
            <w:pPr>
              <w:pStyle w:val="TableContents"/>
              <w:bidi w:val="0"/>
              <w:spacing w:before="0" w:after="283"/>
              <w:jc w:val="left"/>
              <w:rPr/>
            </w:pPr>
            <w:hyperlink w:anchor="d944318dexfilingfees.htm">
              <w:r>
                <w:rPr>
                  <w:rStyle w:val="InternetLink"/>
                </w:rPr>
                <w:t xml:space="preserve">Filing Fee Table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Philadelphia, Commonwealth of Pennsylvania, on July 2,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64"/>
        <w:gridCol w:w="60"/>
        <w:gridCol w:w="658"/>
        <w:gridCol w:w="60"/>
        <w:gridCol w:w="2940"/>
      </w:tblGrid>
      <w:tr>
        <w:trPr/>
        <w:tc>
          <w:tcPr>
            <w:tcW w:w="36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0"/>
              <w:jc w:val="left"/>
              <w:rPr>
                <w:rFonts w:ascii="Times New Roman" w:hAnsi="Times New Roman"/>
                <w:b/>
                <w:sz w:val="20"/>
              </w:rPr>
            </w:pPr>
            <w:r>
              <w:rPr>
                <w:rFonts w:ascii="Times New Roman" w:hAnsi="Times New Roman"/>
                <w:b/>
                <w:sz w:val="20"/>
              </w:rPr>
              <w:t>COMCAST CORPORATION</w:t>
            </w:r>
          </w:p>
          <w:p>
            <w:pPr>
              <w:pStyle w:val="TableContents"/>
              <w:bidi w:val="0"/>
              <w:spacing w:before="0" w:after="20"/>
              <w:jc w:val="left"/>
              <w:rPr/>
            </w:pPr>
            <w:r>
              <w:rPr/>
              <w:t> </w:t>
            </w:r>
          </w:p>
        </w:tc>
      </w:tr>
      <w:tr>
        <w:trPr/>
        <w:tc>
          <w:tcPr>
            <w:tcW w:w="36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8"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J. Reid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Thomas J. Reid</w:t>
            </w:r>
          </w:p>
        </w:tc>
      </w:tr>
      <w:tr>
        <w:trPr/>
        <w:tc>
          <w:tcPr>
            <w:tcW w:w="36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5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40" w:type="dxa"/>
            <w:tcBorders/>
          </w:tcPr>
          <w:p>
            <w:pPr>
              <w:pStyle w:val="TableContents"/>
              <w:bidi w:val="0"/>
              <w:spacing w:before="0" w:after="283"/>
              <w:jc w:val="left"/>
              <w:rPr/>
            </w:pPr>
            <w:r>
              <w:rPr/>
              <w:t>Chief Legal Officer and Secretary</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MEN BY THESE PRESENTS, that each person whose signature appears below hereby constitutes and appoints Brian L. Roberts, Michael J. Cavanagh, Jason S. Armstrong and Thomas J. Reid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either of them, or their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03"/>
        <w:gridCol w:w="120"/>
        <w:gridCol w:w="5034"/>
        <w:gridCol w:w="120"/>
        <w:gridCol w:w="2028"/>
      </w:tblGrid>
      <w:tr>
        <w:trPr/>
        <w:tc>
          <w:tcPr>
            <w:tcW w:w="290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r>
      <w:tr>
        <w:trPr/>
        <w:tc>
          <w:tcPr>
            <w:tcW w:w="2903" w:type="dxa"/>
            <w:tcBorders/>
            <w:vAlign w:val="bottom"/>
          </w:tcPr>
          <w:p>
            <w:pPr>
              <w:pStyle w:val="TableContents"/>
              <w:bidi w:val="0"/>
              <w:spacing w:before="0" w:after="283"/>
              <w:jc w:val="center"/>
              <w:rPr>
                <w:b/>
              </w:rPr>
            </w:pPr>
            <w:r>
              <w:rPr>
                <w:b/>
              </w:rPr>
              <w:t>Signature</w:t>
            </w:r>
          </w:p>
        </w:tc>
        <w:tc>
          <w:tcPr>
            <w:tcW w:w="120" w:type="dxa"/>
            <w:tcBorders/>
            <w:vAlign w:val="bottom"/>
          </w:tcPr>
          <w:p>
            <w:pPr>
              <w:pStyle w:val="TableContents"/>
              <w:bidi w:val="0"/>
              <w:spacing w:before="0" w:after="283"/>
              <w:jc w:val="left"/>
              <w:rPr/>
            </w:pPr>
            <w:r>
              <w:rPr/>
              <w:t>  </w:t>
            </w:r>
          </w:p>
        </w:tc>
        <w:tc>
          <w:tcPr>
            <w:tcW w:w="5034" w:type="dxa"/>
            <w:tcBorders/>
            <w:vAlign w:val="bottom"/>
          </w:tcPr>
          <w:p>
            <w:pPr>
              <w:pStyle w:val="TableContents"/>
              <w:bidi w:val="0"/>
              <w:spacing w:before="0" w:after="283"/>
              <w:jc w:val="center"/>
              <w:rPr>
                <w:b/>
              </w:rPr>
            </w:pPr>
            <w:r>
              <w:rPr>
                <w:b/>
              </w:rPr>
              <w:t>Title</w:t>
            </w:r>
          </w:p>
        </w:tc>
        <w:tc>
          <w:tcPr>
            <w:tcW w:w="120" w:type="dxa"/>
            <w:tcBorders/>
            <w:vAlign w:val="bottom"/>
          </w:tcPr>
          <w:p>
            <w:pPr>
              <w:pStyle w:val="TableContents"/>
              <w:bidi w:val="0"/>
              <w:spacing w:before="0" w:after="283"/>
              <w:jc w:val="left"/>
              <w:rPr/>
            </w:pPr>
            <w:r>
              <w:rPr/>
              <w:t>  </w:t>
            </w:r>
          </w:p>
        </w:tc>
        <w:tc>
          <w:tcPr>
            <w:tcW w:w="2028" w:type="dxa"/>
            <w:tcBorders/>
            <w:vAlign w:val="bottom"/>
          </w:tcPr>
          <w:p>
            <w:pPr>
              <w:pStyle w:val="TableContents"/>
              <w:bidi w:val="0"/>
              <w:spacing w:before="0" w:after="283"/>
              <w:jc w:val="center"/>
              <w:rPr>
                <w:b/>
              </w:rPr>
            </w:pPr>
            <w:r>
              <w:rPr>
                <w:b/>
              </w:rPr>
              <w:t>Date</w:t>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Brian L. Roberts</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Chairman and Chief Executive Officer; Director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Brian L. Roberts</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(Principal Executive Officer)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Jason S. Armstrong</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Chief Financial Officer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Jason S. Armstrong</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(Principal Financial Officer)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Daniel C. Murdock</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Executive Vice President, Chief Accounting</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Daniel C. Murdock</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0"/>
              <w:jc w:val="center"/>
              <w:rPr>
                <w:rFonts w:ascii="Times New Roman" w:hAnsi="Times New Roman"/>
                <w:sz w:val="20"/>
              </w:rPr>
            </w:pPr>
            <w:r>
              <w:rPr>
                <w:rFonts w:ascii="Times New Roman" w:hAnsi="Times New Roman"/>
                <w:sz w:val="20"/>
              </w:rPr>
              <w:t>Officer and Controller</w:t>
            </w:r>
          </w:p>
          <w:p>
            <w:pPr>
              <w:pStyle w:val="TableContents"/>
              <w:bidi w:val="0"/>
              <w:spacing w:before="0" w:after="20"/>
              <w:jc w:val="center"/>
              <w:rPr>
                <w:rFonts w:ascii="Times New Roman" w:hAnsi="Times New Roman"/>
                <w:sz w:val="20"/>
              </w:rPr>
            </w:pPr>
            <w:r>
              <w:rPr>
                <w:rFonts w:ascii="Times New Roman" w:hAnsi="Times New Roman"/>
                <w:sz w:val="20"/>
              </w:rPr>
              <w:t>(Principal Accounting Officer)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Kenneth J. Bacon</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Kenneth J. Bacon</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Thomas J. Baltimore</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Thomas J. Baltimore</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Madeline S. Bell</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Madeline S. Bell</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Louise F. Brady</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Louise F. Brady</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r>
        <w:trPr>
          <w:trHeight w:val="240" w:hRule="atLeast"/>
        </w:trPr>
        <w:tc>
          <w:tcPr>
            <w:tcW w:w="2903" w:type="dxa"/>
            <w:tcBorders/>
            <w:vAlign w:val="center"/>
          </w:tcPr>
          <w:p>
            <w:pPr>
              <w:pStyle w:val="TableContents"/>
              <w:bidi w:val="0"/>
              <w:spacing w:before="0" w:after="283"/>
              <w:jc w:val="left"/>
              <w:rPr>
                <w:sz w:val="4"/>
                <w:szCs w:val="4"/>
              </w:rPr>
            </w:pPr>
            <w:r>
              <w:rPr>
                <w:sz w:val="4"/>
                <w:szCs w:val="4"/>
              </w:rPr>
            </w:r>
          </w:p>
        </w:tc>
        <w:tc>
          <w:tcPr>
            <w:tcW w:w="5154" w:type="dxa"/>
            <w:gridSpan w:val="2"/>
            <w:tcBorders/>
            <w:vAlign w:val="center"/>
          </w:tcPr>
          <w:p>
            <w:pPr>
              <w:pStyle w:val="TableContents"/>
              <w:bidi w:val="0"/>
              <w:spacing w:before="0" w:after="283"/>
              <w:jc w:val="left"/>
              <w:rPr>
                <w:sz w:val="4"/>
                <w:szCs w:val="4"/>
              </w:rPr>
            </w:pPr>
            <w:r>
              <w:rPr>
                <w:sz w:val="4"/>
                <w:szCs w:val="4"/>
              </w:rPr>
            </w:r>
          </w:p>
        </w:tc>
        <w:tc>
          <w:tcPr>
            <w:tcW w:w="2148" w:type="dxa"/>
            <w:gridSpan w:val="2"/>
            <w:tcBorders/>
            <w:vAlign w:val="center"/>
          </w:tcPr>
          <w:p>
            <w:pPr>
              <w:pStyle w:val="TableContents"/>
              <w:bidi w:val="0"/>
              <w:spacing w:before="0" w:after="283"/>
              <w:jc w:val="left"/>
              <w:rPr>
                <w:sz w:val="4"/>
                <w:szCs w:val="4"/>
              </w:rPr>
            </w:pPr>
            <w:r>
              <w:rPr>
                <w:sz w:val="4"/>
                <w:szCs w:val="4"/>
              </w:rPr>
            </w:r>
          </w:p>
        </w:tc>
      </w:tr>
      <w:tr>
        <w:trPr/>
        <w:tc>
          <w:tcPr>
            <w:tcW w:w="2903"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Edward D. Breen</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center"/>
              <w:rPr/>
            </w:pPr>
            <w:r>
              <w:rPr/>
              <w:t>Director</w:t>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center"/>
              <w:rPr/>
            </w:pPr>
            <w:r>
              <w:rPr/>
              <w:t>July 2, 2025</w:t>
            </w:r>
          </w:p>
        </w:tc>
      </w:tr>
      <w:tr>
        <w:trPr/>
        <w:tc>
          <w:tcPr>
            <w:tcW w:w="2903" w:type="dxa"/>
            <w:tcBorders/>
          </w:tcPr>
          <w:p>
            <w:pPr>
              <w:pStyle w:val="TableContents"/>
              <w:bidi w:val="0"/>
              <w:spacing w:before="0" w:after="283"/>
              <w:jc w:val="center"/>
              <w:rPr/>
            </w:pPr>
            <w:r>
              <w:rPr/>
              <w:t>Edward D. Breen</w:t>
            </w:r>
          </w:p>
        </w:tc>
        <w:tc>
          <w:tcPr>
            <w:tcW w:w="120" w:type="dxa"/>
            <w:tcBorders/>
            <w:vAlign w:val="bottom"/>
          </w:tcPr>
          <w:p>
            <w:pPr>
              <w:pStyle w:val="TableContents"/>
              <w:bidi w:val="0"/>
              <w:spacing w:before="0" w:after="283"/>
              <w:jc w:val="left"/>
              <w:rPr/>
            </w:pPr>
            <w:r>
              <w:rPr/>
              <w:t>  </w:t>
            </w:r>
          </w:p>
        </w:tc>
        <w:tc>
          <w:tcPr>
            <w:tcW w:w="5034"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02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44"/>
        <w:gridCol w:w="121"/>
        <w:gridCol w:w="4997"/>
        <w:gridCol w:w="121"/>
        <w:gridCol w:w="2022"/>
      </w:tblGrid>
      <w:tr>
        <w:trPr/>
        <w:tc>
          <w:tcPr>
            <w:tcW w:w="294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9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022"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2944" w:type="dxa"/>
            <w:tcBorders/>
            <w:vAlign w:val="center"/>
          </w:tcPr>
          <w:p>
            <w:pPr>
              <w:pStyle w:val="TableContents"/>
              <w:bidi w:val="0"/>
              <w:spacing w:before="0" w:after="283"/>
              <w:jc w:val="left"/>
              <w:rPr>
                <w:sz w:val="4"/>
                <w:szCs w:val="4"/>
              </w:rPr>
            </w:pPr>
            <w:r>
              <w:rPr>
                <w:sz w:val="4"/>
                <w:szCs w:val="4"/>
              </w:rPr>
            </w:r>
          </w:p>
        </w:tc>
        <w:tc>
          <w:tcPr>
            <w:tcW w:w="5118"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Jeffrey A. Honickman</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July 2, 2025</w:t>
            </w:r>
          </w:p>
        </w:tc>
      </w:tr>
      <w:tr>
        <w:trPr/>
        <w:tc>
          <w:tcPr>
            <w:tcW w:w="2944" w:type="dxa"/>
            <w:tcBorders/>
          </w:tcPr>
          <w:p>
            <w:pPr>
              <w:pStyle w:val="TableContents"/>
              <w:bidi w:val="0"/>
              <w:spacing w:before="0" w:after="283"/>
              <w:jc w:val="center"/>
              <w:rPr/>
            </w:pPr>
            <w:r>
              <w:rPr/>
              <w:t>Jeffrey A. Honickman</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sz w:val="4"/>
                <w:szCs w:val="4"/>
              </w:rPr>
            </w:pPr>
            <w:r>
              <w:rPr>
                <w:sz w:val="4"/>
                <w:szCs w:val="4"/>
              </w:rPr>
            </w:r>
          </w:p>
        </w:tc>
      </w:tr>
      <w:tr>
        <w:trPr>
          <w:trHeight w:val="240" w:hRule="atLeast"/>
        </w:trPr>
        <w:tc>
          <w:tcPr>
            <w:tcW w:w="2944" w:type="dxa"/>
            <w:tcBorders/>
            <w:vAlign w:val="center"/>
          </w:tcPr>
          <w:p>
            <w:pPr>
              <w:pStyle w:val="TableContents"/>
              <w:bidi w:val="0"/>
              <w:spacing w:before="0" w:after="283"/>
              <w:jc w:val="left"/>
              <w:rPr>
                <w:sz w:val="4"/>
                <w:szCs w:val="4"/>
              </w:rPr>
            </w:pPr>
            <w:r>
              <w:rPr>
                <w:sz w:val="4"/>
                <w:szCs w:val="4"/>
              </w:rPr>
            </w:r>
          </w:p>
        </w:tc>
        <w:tc>
          <w:tcPr>
            <w:tcW w:w="5118"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Wonya Y. Lucas</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July 2, 2025</w:t>
            </w:r>
          </w:p>
        </w:tc>
      </w:tr>
      <w:tr>
        <w:trPr/>
        <w:tc>
          <w:tcPr>
            <w:tcW w:w="2944" w:type="dxa"/>
            <w:tcBorders/>
          </w:tcPr>
          <w:p>
            <w:pPr>
              <w:pStyle w:val="TableContents"/>
              <w:bidi w:val="0"/>
              <w:spacing w:before="0" w:after="283"/>
              <w:jc w:val="center"/>
              <w:rPr/>
            </w:pPr>
            <w:r>
              <w:rPr/>
              <w:t>Wonya Y. Lucas</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sz w:val="4"/>
                <w:szCs w:val="4"/>
              </w:rPr>
            </w:pPr>
            <w:r>
              <w:rPr>
                <w:sz w:val="4"/>
                <w:szCs w:val="4"/>
              </w:rPr>
            </w:r>
          </w:p>
        </w:tc>
      </w:tr>
      <w:tr>
        <w:trPr>
          <w:trHeight w:val="240" w:hRule="atLeast"/>
        </w:trPr>
        <w:tc>
          <w:tcPr>
            <w:tcW w:w="2944" w:type="dxa"/>
            <w:tcBorders/>
            <w:vAlign w:val="center"/>
          </w:tcPr>
          <w:p>
            <w:pPr>
              <w:pStyle w:val="TableContents"/>
              <w:bidi w:val="0"/>
              <w:spacing w:before="0" w:after="283"/>
              <w:jc w:val="left"/>
              <w:rPr>
                <w:sz w:val="4"/>
                <w:szCs w:val="4"/>
              </w:rPr>
            </w:pPr>
            <w:r>
              <w:rPr>
                <w:sz w:val="4"/>
                <w:szCs w:val="4"/>
              </w:rPr>
            </w:r>
          </w:p>
        </w:tc>
        <w:tc>
          <w:tcPr>
            <w:tcW w:w="5118"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Asuka Nakahara</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July 2, 2025</w:t>
            </w:r>
          </w:p>
        </w:tc>
      </w:tr>
      <w:tr>
        <w:trPr/>
        <w:tc>
          <w:tcPr>
            <w:tcW w:w="2944" w:type="dxa"/>
            <w:tcBorders/>
          </w:tcPr>
          <w:p>
            <w:pPr>
              <w:pStyle w:val="TableContents"/>
              <w:bidi w:val="0"/>
              <w:spacing w:before="0" w:after="283"/>
              <w:jc w:val="center"/>
              <w:rPr/>
            </w:pPr>
            <w:r>
              <w:rPr/>
              <w:t>Asuka Nakahara</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sz w:val="4"/>
                <w:szCs w:val="4"/>
              </w:rPr>
            </w:pPr>
            <w:r>
              <w:rPr>
                <w:sz w:val="4"/>
                <w:szCs w:val="4"/>
              </w:rPr>
            </w:r>
          </w:p>
        </w:tc>
      </w:tr>
      <w:tr>
        <w:trPr>
          <w:trHeight w:val="240" w:hRule="atLeast"/>
        </w:trPr>
        <w:tc>
          <w:tcPr>
            <w:tcW w:w="2944" w:type="dxa"/>
            <w:tcBorders/>
            <w:vAlign w:val="center"/>
          </w:tcPr>
          <w:p>
            <w:pPr>
              <w:pStyle w:val="TableContents"/>
              <w:bidi w:val="0"/>
              <w:spacing w:before="0" w:after="283"/>
              <w:jc w:val="left"/>
              <w:rPr>
                <w:sz w:val="4"/>
                <w:szCs w:val="4"/>
              </w:rPr>
            </w:pPr>
            <w:r>
              <w:rPr>
                <w:sz w:val="4"/>
                <w:szCs w:val="4"/>
              </w:rPr>
            </w:r>
          </w:p>
        </w:tc>
        <w:tc>
          <w:tcPr>
            <w:tcW w:w="5118"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944" w:type="dxa"/>
            <w:tcBorders/>
          </w:tcPr>
          <w:p>
            <w:pPr>
              <w:pStyle w:val="TableContents"/>
              <w:pBdr>
                <w:bottom w:val="single" w:sz="2" w:space="1" w:color="000000"/>
              </w:pBdr>
              <w:bidi w:val="0"/>
              <w:spacing w:before="0" w:after="20"/>
              <w:jc w:val="center"/>
              <w:rPr>
                <w:rFonts w:ascii="Times New Roman" w:hAnsi="Times New Roman"/>
                <w:sz w:val="20"/>
              </w:rPr>
            </w:pPr>
            <w:r>
              <w:rPr>
                <w:rFonts w:ascii="Times New Roman" w:hAnsi="Times New Roman"/>
                <w:sz w:val="20"/>
              </w:rPr>
              <w:t>/s/ David C. Novak</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center"/>
              <w:rPr/>
            </w:pPr>
            <w:r>
              <w:rPr/>
              <w:t>Director</w:t>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center"/>
              <w:rPr/>
            </w:pPr>
            <w:r>
              <w:rPr/>
              <w:t>July 2, 2025</w:t>
            </w:r>
          </w:p>
        </w:tc>
      </w:tr>
      <w:tr>
        <w:trPr/>
        <w:tc>
          <w:tcPr>
            <w:tcW w:w="2944" w:type="dxa"/>
            <w:tcBorders/>
          </w:tcPr>
          <w:p>
            <w:pPr>
              <w:pStyle w:val="TableContents"/>
              <w:bidi w:val="0"/>
              <w:spacing w:before="0" w:after="283"/>
              <w:jc w:val="center"/>
              <w:rPr/>
            </w:pPr>
            <w:r>
              <w:rPr/>
              <w:t>David C. Novak</w:t>
            </w:r>
          </w:p>
        </w:tc>
        <w:tc>
          <w:tcPr>
            <w:tcW w:w="121" w:type="dxa"/>
            <w:tcBorders/>
            <w:vAlign w:val="bottom"/>
          </w:tcPr>
          <w:p>
            <w:pPr>
              <w:pStyle w:val="TableContents"/>
              <w:bidi w:val="0"/>
              <w:spacing w:before="0" w:after="283"/>
              <w:jc w:val="left"/>
              <w:rPr/>
            </w:pPr>
            <w:r>
              <w:rPr/>
              <w:t>  </w:t>
            </w:r>
          </w:p>
        </w:tc>
        <w:tc>
          <w:tcPr>
            <w:tcW w:w="499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022"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right"/>
        <w:rPr>
          <w:rFonts w:ascii="Times New Roman" w:hAnsi="Times New Roman"/>
          <w:b/>
          <w:sz w:val="20"/>
        </w:rPr>
      </w:pPr>
      <w:bookmarkStart w:id="3" w:name="d944318dex51.htm"/>
      <w:bookmarkStart w:id="4" w:name="ksd944318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647825" cy="190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1647825" cy="1905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One Logan Square </w:t>
      </w:r>
    </w:p>
    <w:p>
      <w:pPr>
        <w:pStyle w:val="TextBody"/>
        <w:bidi w:val="0"/>
        <w:spacing w:before="0" w:after="0"/>
        <w:jc w:val="left"/>
        <w:rPr>
          <w:rFonts w:ascii="Times New Roman" w:hAnsi="Times New Roman"/>
          <w:sz w:val="20"/>
        </w:rPr>
      </w:pPr>
      <w:r>
        <w:rPr>
          <w:rFonts w:ascii="Times New Roman" w:hAnsi="Times New Roman"/>
          <w:sz w:val="20"/>
        </w:rPr>
        <w:t xml:space="preserve">130 North 18th Street | Philadelphia, PA 19103-6998 </w:t>
      </w:r>
    </w:p>
    <w:p>
      <w:pPr>
        <w:pStyle w:val="TextBody"/>
        <w:bidi w:val="0"/>
        <w:spacing w:before="0" w:after="0"/>
        <w:jc w:val="left"/>
        <w:rPr>
          <w:rFonts w:ascii="Times New Roman" w:hAnsi="Times New Roman"/>
          <w:sz w:val="20"/>
        </w:rPr>
      </w:pPr>
      <w:r>
        <w:rPr>
          <w:rFonts w:ascii="Times New Roman" w:hAnsi="Times New Roman"/>
          <w:sz w:val="20"/>
        </w:rPr>
        <w:t xml:space="preserve">blankrome.com </w:t>
      </w:r>
    </w:p>
    <w:p>
      <w:pPr>
        <w:pStyle w:val="TextBody"/>
        <w:bidi w:val="0"/>
        <w:spacing w:before="240" w:after="0"/>
        <w:jc w:val="right"/>
        <w:rPr>
          <w:rFonts w:ascii="Times New Roman" w:hAnsi="Times New Roman"/>
          <w:sz w:val="20"/>
        </w:rPr>
      </w:pPr>
      <w:r>
        <w:rPr>
          <w:rFonts w:ascii="Times New Roman" w:hAnsi="Times New Roman"/>
          <w:sz w:val="20"/>
        </w:rPr>
        <w:t xml:space="preserve">July 2, 2025 </w:t>
      </w:r>
    </w:p>
    <w:p>
      <w:pPr>
        <w:pStyle w:val="TextBody"/>
        <w:bidi w:val="0"/>
        <w:spacing w:before="360" w:after="0"/>
        <w:jc w:val="left"/>
        <w:rPr>
          <w:rFonts w:ascii="Times New Roman" w:hAnsi="Times New Roman"/>
          <w:sz w:val="20"/>
        </w:rPr>
      </w:pPr>
      <w:r>
        <w:rPr>
          <w:rFonts w:ascii="Times New Roman" w:hAnsi="Times New Roman"/>
          <w:sz w:val="20"/>
        </w:rPr>
        <w:t xml:space="preserve">Comcast Corporation </w:t>
      </w:r>
    </w:p>
    <w:p>
      <w:pPr>
        <w:pStyle w:val="TextBody"/>
        <w:bidi w:val="0"/>
        <w:spacing w:before="0" w:after="0"/>
        <w:jc w:val="left"/>
        <w:rPr>
          <w:rFonts w:ascii="Times New Roman" w:hAnsi="Times New Roman"/>
          <w:sz w:val="20"/>
        </w:rPr>
      </w:pPr>
      <w:r>
        <w:rPr>
          <w:rFonts w:ascii="Times New Roman" w:hAnsi="Times New Roman"/>
          <w:sz w:val="20"/>
        </w:rPr>
        <w:t xml:space="preserve">One Comcast Center </w:t>
      </w:r>
    </w:p>
    <w:p>
      <w:pPr>
        <w:pStyle w:val="TextBody"/>
        <w:bidi w:val="0"/>
        <w:spacing w:before="0" w:after="0"/>
        <w:jc w:val="left"/>
        <w:rPr>
          <w:rFonts w:ascii="Times New Roman" w:hAnsi="Times New Roman"/>
          <w:sz w:val="20"/>
        </w:rPr>
      </w:pPr>
      <w:r>
        <w:rPr>
          <w:rFonts w:ascii="Times New Roman" w:hAnsi="Times New Roman"/>
          <w:sz w:val="20"/>
        </w:rPr>
        <w:t xml:space="preserve">Philadelphia, PA 19103-2838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counsel to Comcast Corporation, a Pennsylvania corporation (the Company), in connection with the preparation of the Registration Statement on Form S-8 (the Registration Statement) to be filed by the Company with the Securities and Exchange Commission under the Securities Act of 1933, as amended (the Act), relating to the registration by the Company of 10,000,000 shares (the Shares) of Class A common stock, par value $0.01 per share (Common Stock), issuable pursuant to the Amended and Restated Comcast-NBCUniversal 2011 Employee Stock Purchase Plan (the Plan). This opinion is furnished pursuant to the requirements of Item 601(b)(5) of Regulation S-K. </w:t>
      </w:r>
    </w:p>
    <w:p>
      <w:pPr>
        <w:pStyle w:val="TextBody"/>
        <w:bidi w:val="0"/>
        <w:spacing w:before="240" w:after="0"/>
        <w:jc w:val="left"/>
        <w:rPr>
          <w:rFonts w:ascii="Times New Roman" w:hAnsi="Times New Roman"/>
          <w:sz w:val="20"/>
        </w:rPr>
      </w:pPr>
      <w:r>
        <w:rPr>
          <w:rFonts w:ascii="Times New Roman" w:hAnsi="Times New Roman"/>
          <w:sz w:val="20"/>
        </w:rPr>
        <w:t xml:space="preserve">Although as counsel to the Company we have advised the Company in connection with a variety of matters referred to us by it, our services are limited to specific matters so referred. Consequently, we do not have knowledge of many transactions in which the Company has engaged or its day-to-day operations.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examined the following documents: (i) a certificate from an assistant secretary of the Company (including all attachments thereto); (ii) the Registration Statement (including all exhibits thereto); (iii) the Plan; and (iv) such other documents as we deem relevant and necessary as a basis for the opinion hereinafter expressed. We have not made any independent investigation in rendering this opinion other than the document examination described. We have assumed and relied, as to questions of fact and mixed questions of law and fact, on the truth, completeness, authenticity and due authorization of all certificates, documents and records examined and the genuineness of all signatures.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this opinion, we have assumed that, at the time of issuance of any Shares, there shall be a sufficient number of duly authorized and unissued shares of the Companys Common Stock to accommodate the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limited to the Pennsylvania Business Corporation Law of 1988, as amended. </w:t>
      </w:r>
    </w:p>
    <w:p>
      <w:pPr>
        <w:pStyle w:val="TextBody"/>
        <w:bidi w:val="0"/>
        <w:spacing w:before="240" w:after="0"/>
        <w:jc w:val="left"/>
        <w:rPr>
          <w:rFonts w:ascii="Times New Roman" w:hAnsi="Times New Roman"/>
          <w:sz w:val="20"/>
        </w:rPr>
      </w:pPr>
      <w:r>
        <w:rPr>
          <w:rFonts w:ascii="Times New Roman" w:hAnsi="Times New Roman"/>
          <w:sz w:val="20"/>
        </w:rPr>
        <w:t xml:space="preserve">Based upon and subject to the foregoing, we are of the opinion that the Shares, when issued in accordance with the terms of the Plan,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given as of the date hereof. We assume no obligation to update or supplement this opinion to reflect any facts or circumstances which may hereafter come to our attention or any changes in laws which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strictly limited to the matters stated herein and no other or more extensive opinion is intended, implied or to be inferred beyond the matters expressly stated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In giving such consent, we do not thereby admit that we are included in the category of persons whose consent is required under Section 7 of the Act or the rules and regulations of the Securities and Exchange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Blank Rome LLP</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BLANK ROME LLP</w:t>
            </w:r>
          </w:p>
        </w:tc>
      </w:tr>
    </w:tbl>
    <w:p>
      <w:pPr>
        <w:pStyle w:val="TextBody"/>
        <w:bidi w:val="0"/>
        <w:spacing w:before="0" w:after="0"/>
        <w:jc w:val="right"/>
        <w:rPr>
          <w:rFonts w:ascii="Times New Roman" w:hAnsi="Times New Roman"/>
          <w:b/>
          <w:sz w:val="20"/>
        </w:rPr>
      </w:pPr>
      <w:bookmarkStart w:id="5" w:name="d944318dex231.htm"/>
      <w:bookmarkStart w:id="6" w:name="ksd944318dex231"/>
      <w:bookmarkEnd w:id="5"/>
      <w:bookmarkEnd w:id="6"/>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January 31, 2025, relating to the financial statements of Comcast Corporation and the effectiveness of Comcast Corporations internal control over financial reporting, appearing in the Annual Report on Form 10-K of Comcast Corporation for the year ended December 31, 2024. </w:t>
      </w:r>
    </w:p>
    <w:p>
      <w:pPr>
        <w:pStyle w:val="TextBody"/>
        <w:bidi w:val="0"/>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bidi w:val="0"/>
        <w:spacing w:before="240" w:after="0"/>
        <w:jc w:val="left"/>
        <w:rPr>
          <w:rFonts w:ascii="Times New Roman" w:hAnsi="Times New Roman"/>
          <w:sz w:val="20"/>
        </w:rPr>
      </w:pPr>
      <w:r>
        <w:rPr>
          <w:rFonts w:ascii="Times New Roman" w:hAnsi="Times New Roman"/>
          <w:sz w:val="20"/>
        </w:rPr>
        <w:t xml:space="preserve">Philadelphia, Pennsylvania </w:t>
      </w:r>
    </w:p>
    <w:p>
      <w:pPr>
        <w:pStyle w:val="TextBody"/>
        <w:bidi w:val="0"/>
        <w:spacing w:before="0" w:after="0"/>
        <w:jc w:val="left"/>
        <w:rPr>
          <w:rFonts w:ascii="Times New Roman" w:hAnsi="Times New Roman"/>
          <w:sz w:val="20"/>
        </w:rPr>
      </w:pPr>
      <w:r>
        <w:rPr>
          <w:rFonts w:ascii="Times New Roman" w:hAnsi="Times New Roman"/>
          <w:sz w:val="20"/>
        </w:rPr>
        <w:t xml:space="preserve">July 2, 2025 </w:t>
      </w:r>
    </w:p>
    <w:p>
      <w:pPr>
        <w:pStyle w:val="TextBody"/>
        <w:bidi w:val="0"/>
        <w:spacing w:before="0" w:after="0"/>
        <w:jc w:val="right"/>
        <w:rPr>
          <w:rFonts w:ascii="Times New Roman" w:hAnsi="Times New Roman"/>
          <w:b/>
          <w:sz w:val="20"/>
        </w:rPr>
      </w:pPr>
      <w:bookmarkStart w:id="7" w:name="d944318dexfilingfees.htm"/>
      <w:bookmarkStart w:id="8" w:name="ksd944318dexfilingfees"/>
      <w:bookmarkEnd w:id="7"/>
      <w:bookmarkEnd w:id="8"/>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bidi w:val="0"/>
        <w:spacing w:before="240" w:after="0"/>
        <w:jc w:val="center"/>
        <w:rPr>
          <w:rFonts w:ascii="Times New Roman" w:hAnsi="Times New Roman"/>
          <w:b/>
          <w:sz w:val="20"/>
        </w:rPr>
      </w:pPr>
      <w:r>
        <w:rPr>
          <w:rFonts w:ascii="Times New Roman" w:hAnsi="Times New Roman"/>
          <w:b/>
          <w:sz w:val="20"/>
        </w:rPr>
        <w:t xml:space="preserve">FORM </w:t>
      </w:r>
    </w:p>
    <w:p>
      <w:pPr>
        <w:pStyle w:val="TextBody"/>
        <w:bidi w:val="0"/>
        <w:spacing w:before="240" w:after="0"/>
        <w:jc w:val="center"/>
        <w:rPr>
          <w:rFonts w:ascii="Times New Roman" w:hAnsi="Times New Roman"/>
          <w:b/>
          <w:spacing w:val="0"/>
          <w:sz w:val="20"/>
        </w:rPr>
      </w:pPr>
      <w:r>
        <w:rPr>
          <w:rFonts w:ascii="Times New Roman" w:hAnsi="Times New Roman"/>
          <w:b/>
          <w:spacing w:val="0"/>
          <w:sz w:val="20"/>
        </w:rPr>
        <w:t>S-8</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COMCAST CORPORATION</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z w:val="20"/>
        </w:rPr>
      </w:pPr>
      <w:r>
        <w:rPr>
          <w:rFonts w:ascii="Times New Roman" w:hAnsi="Times New Roman"/>
          <w:sz w:val="20"/>
        </w:rPr>
        <w:t xml:space="preserve">Table 1: Newly Registered Securities </w:t>
      </w:r>
    </w:p>
    <w:p>
      <w:pPr>
        <w:pStyle w:val="TextBody"/>
        <w:bidi w:val="0"/>
        <w:spacing w:before="0" w:after="0"/>
        <w:jc w:val="left"/>
        <w:rPr/>
      </w:pPr>
      <w:r>
        <w:rPr/>
        <w:t> </w:t>
      </w:r>
    </w:p>
    <w:tbl>
      <w:tblPr>
        <w:tblW w:w="10270" w:type="dxa"/>
        <w:jc w:val="left"/>
        <w:tblInd w:w="0" w:type="dxa"/>
        <w:tblLayout w:type="fixed"/>
        <w:tblCellMar>
          <w:top w:w="0" w:type="dxa"/>
          <w:left w:w="0" w:type="dxa"/>
          <w:bottom w:w="0" w:type="dxa"/>
          <w:right w:w="0" w:type="dxa"/>
        </w:tblCellMar>
      </w:tblPr>
      <w:tblGrid>
        <w:gridCol w:w="815"/>
        <w:gridCol w:w="60"/>
        <w:gridCol w:w="2345"/>
        <w:gridCol w:w="60"/>
        <w:gridCol w:w="1100"/>
        <w:gridCol w:w="60"/>
        <w:gridCol w:w="1100"/>
        <w:gridCol w:w="60"/>
        <w:gridCol w:w="995"/>
        <w:gridCol w:w="60"/>
        <w:gridCol w:w="1340"/>
        <w:gridCol w:w="60"/>
        <w:gridCol w:w="980"/>
        <w:gridCol w:w="60"/>
        <w:gridCol w:w="11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r>
      <w:tr>
        <w:trPr/>
        <w:tc>
          <w:tcPr>
            <w:tcW w:w="81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tcBorders>
            <w:tcMar>
              <w:left w:w="160" w:type="dxa"/>
            </w:tcMar>
            <w:vAlign w:val="center"/>
          </w:tcPr>
          <w:p>
            <w:pPr>
              <w:pStyle w:val="TableContents"/>
              <w:bidi w:val="0"/>
              <w:spacing w:before="0" w:after="283"/>
              <w:jc w:val="center"/>
              <w:rPr/>
            </w:pPr>
            <w:r>
              <w:rPr/>
              <w:t>Security Type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Security</w:t>
            </w:r>
          </w:p>
          <w:p>
            <w:pPr>
              <w:pStyle w:val="TableContents"/>
              <w:bidi w:val="0"/>
              <w:spacing w:before="0" w:after="0"/>
              <w:jc w:val="center"/>
              <w:rPr>
                <w:rFonts w:ascii="Times New Roman" w:hAnsi="Times New Roman"/>
                <w:sz w:val="14"/>
              </w:rPr>
            </w:pPr>
            <w:r>
              <w:rPr>
                <w:rFonts w:ascii="Times New Roman" w:hAnsi="Times New Roman"/>
                <w:sz w:val="14"/>
              </w:rPr>
              <w:t>Class</w:t>
            </w:r>
          </w:p>
          <w:p>
            <w:pPr>
              <w:pStyle w:val="TableContents"/>
              <w:bidi w:val="0"/>
              <w:spacing w:before="0" w:after="20"/>
              <w:jc w:val="center"/>
              <w:rPr>
                <w:rFonts w:ascii="Times New Roman" w:hAnsi="Times New Roman"/>
                <w:sz w:val="14"/>
              </w:rPr>
            </w:pPr>
            <w:r>
              <w:rPr>
                <w:rFonts w:ascii="Times New Roman" w:hAnsi="Times New Roman"/>
                <w:sz w:val="14"/>
              </w:rPr>
              <w:t>Title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Fee</w:t>
              <w:br/>
              <w:t>Calculation</w:t>
              <w:br/>
              <w:t>Rule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jc w:val="center"/>
              <w:rPr/>
            </w:pPr>
            <w:r>
              <w:rPr/>
              <w:t>Amount</w:t>
              <w:br/>
              <w:t>Registered</w:t>
            </w:r>
          </w:p>
          <w:p>
            <w:pPr>
              <w:pStyle w:val="TableContents"/>
              <w:bidi w:val="0"/>
              <w:spacing w:before="0" w:after="0"/>
              <w:jc w:val="center"/>
              <w:rPr>
                <w:sz w:val="8"/>
              </w:rPr>
            </w:pPr>
            <w:r>
              <w:rPr>
                <w:sz w:val="8"/>
              </w:rPr>
              <w:t>(1)</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center"/>
              <w:rPr/>
            </w:pPr>
            <w:r>
              <w:rPr/>
              <w:t>Proposed</w:t>
              <w:br/>
              <w:t>Maximum</w:t>
              <w:br/>
              <w:t>Offering</w:t>
              <w:br/>
              <w:t>Price Per</w:t>
              <w:br/>
              <w:t>Unit</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Maximum</w:t>
              <w:br/>
              <w:t>Aggregate</w:t>
              <w:br/>
              <w:t>Offering</w:t>
              <w:br/>
              <w:t>Price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sz w:val="14"/>
              </w:rPr>
            </w:pPr>
            <w:r>
              <w:rPr>
                <w:rFonts w:ascii="Times New Roman" w:hAnsi="Times New Roman"/>
                <w:sz w:val="14"/>
              </w:rPr>
              <w:t>Fee</w:t>
            </w:r>
          </w:p>
          <w:p>
            <w:pPr>
              <w:pStyle w:val="TableContents"/>
              <w:bidi w:val="0"/>
              <w:spacing w:before="0" w:after="20"/>
              <w:jc w:val="center"/>
              <w:rPr>
                <w:rFonts w:ascii="Times New Roman" w:hAnsi="Times New Roman"/>
                <w:sz w:val="14"/>
              </w:rPr>
            </w:pPr>
            <w:r>
              <w:rPr>
                <w:rFonts w:ascii="Times New Roman" w:hAnsi="Times New Roman"/>
                <w:sz w:val="14"/>
              </w:rPr>
              <w:t>Rate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Amount of</w:t>
              <w:br/>
              <w:t>Registration</w:t>
              <w:br/>
              <w:t>Fee</w:t>
            </w:r>
          </w:p>
        </w:tc>
      </w:tr>
      <w:tr>
        <w:trPr/>
        <w:tc>
          <w:tcPr>
            <w:tcW w:w="81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240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6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815" w:type="dxa"/>
            <w:tcBorders>
              <w:left w:val="single" w:sz="6" w:space="0" w:color="000000"/>
            </w:tcBorders>
            <w:tcMar>
              <w:left w:w="160" w:type="dxa"/>
            </w:tcMar>
            <w:vAlign w:val="center"/>
          </w:tcPr>
          <w:p>
            <w:pPr>
              <w:pStyle w:val="TableContents"/>
              <w:bidi w:val="0"/>
              <w:spacing w:before="0" w:after="283"/>
              <w:jc w:val="center"/>
              <w:rPr/>
            </w:pPr>
            <w:r>
              <w:rPr/>
              <w:t>Equity</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0"/>
              <w:jc w:val="center"/>
              <w:rPr/>
            </w:pPr>
            <w:r>
              <w:rPr/>
              <w:t>Class A Common Stock, $0.01 par value per share (“Common Stock”), reserved for issuance pursuant to the Amended and Restated Comcast-NBCUniversal 2011 Employee Stock Purchase Plan (the “Plan”)</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457(h)</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10,000,000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0"/>
              <w:jc w:val="center"/>
              <w:rPr/>
            </w:pPr>
            <w:r>
              <w:rPr/>
              <w:t>$34.995</w:t>
            </w:r>
          </w:p>
          <w:p>
            <w:pPr>
              <w:pStyle w:val="TableContents"/>
              <w:bidi w:val="0"/>
              <w:spacing w:before="0" w:after="0"/>
              <w:jc w:val="center"/>
              <w:rPr>
                <w:sz w:val="12"/>
              </w:rPr>
            </w:pPr>
            <w:r>
              <w:rPr>
                <w:sz w:val="12"/>
              </w:rPr>
              <w:t>(2)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$349,950,000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pPr>
            <w:r>
              <w:rPr/>
              <w:t>$ </w:t>
            </w:r>
          </w:p>
          <w:p>
            <w:pPr>
              <w:pStyle w:val="TableContents"/>
              <w:bidi w:val="0"/>
              <w:spacing w:before="0" w:after="0"/>
              <w:jc w:val="center"/>
              <w:rPr/>
            </w:pPr>
            <w:r>
              <w:rPr/>
              <w:t>153.10</w:t>
            </w:r>
          </w:p>
          <w:p>
            <w:pPr>
              <w:pStyle w:val="TableContents"/>
              <w:bidi w:val="0"/>
              <w:spacing w:before="0" w:after="0"/>
              <w:jc w:val="center"/>
              <w:rPr/>
            </w:pPr>
            <w:r>
              <w:rPr/>
              <w:t> </w:t>
            </w:r>
            <w:r>
              <w:rPr/>
              <w:t>per $</w:t>
            </w:r>
          </w:p>
          <w:p>
            <w:pPr>
              <w:pStyle w:val="TableContents"/>
              <w:bidi w:val="0"/>
              <w:spacing w:before="0" w:after="0"/>
              <w:jc w:val="center"/>
              <w:rPr/>
            </w:pPr>
            <w:r>
              <w:rPr/>
              <w:t>1,000,000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$53,577.35</w:t>
            </w:r>
          </w:p>
        </w:tc>
      </w:tr>
      <w:tr>
        <w:trPr/>
        <w:tc>
          <w:tcPr>
            <w:tcW w:w="5540" w:type="dxa"/>
            <w:gridSpan w:val="7"/>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540" w:type="dxa"/>
            <w:gridSpan w:val="7"/>
            <w:tcBorders>
              <w:left w:val="single" w:sz="6" w:space="0" w:color="000000"/>
            </w:tcBorders>
            <w:tcMar>
              <w:left w:w="160" w:type="dxa"/>
            </w:tcMar>
            <w:vAlign w:val="center"/>
          </w:tcPr>
          <w:p>
            <w:pPr>
              <w:pStyle w:val="TableContents"/>
              <w:bidi w:val="0"/>
              <w:spacing w:before="0" w:after="283"/>
              <w:jc w:val="center"/>
              <w:rPr/>
            </w:pPr>
            <w:r>
              <w:rPr/>
              <w:t>Total Offering Amounts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center"/>
              <w:rPr/>
            </w:pPr>
            <w:r>
              <w:rPr/>
              <w:t>$349,950,000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$53,577.35</w:t>
            </w:r>
          </w:p>
        </w:tc>
      </w:tr>
      <w:tr>
        <w:trPr/>
        <w:tc>
          <w:tcPr>
            <w:tcW w:w="5540" w:type="dxa"/>
            <w:gridSpan w:val="7"/>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540" w:type="dxa"/>
            <w:gridSpan w:val="7"/>
            <w:tcBorders>
              <w:left w:val="single" w:sz="6" w:space="0" w:color="000000"/>
            </w:tcBorders>
            <w:tcMar>
              <w:left w:w="160" w:type="dxa"/>
            </w:tcMar>
            <w:vAlign w:val="center"/>
          </w:tcPr>
          <w:p>
            <w:pPr>
              <w:pStyle w:val="TableContents"/>
              <w:bidi w:val="0"/>
              <w:spacing w:before="0" w:after="283"/>
              <w:jc w:val="center"/>
              <w:rPr/>
            </w:pPr>
            <w:r>
              <w:rPr/>
              <w:t>Total Fee Offsets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75" w:type="dxa"/>
            <w:tcBorders>
              <w:right w:val="single" w:sz="6" w:space="0" w:color="000000"/>
            </w:tcBorders>
            <w:tcMar>
              <w:right w:w="40" w:type="dxa"/>
            </w:tcMar>
            <w:vAlign w:val="center"/>
          </w:tcPr>
          <w:p>
            <w:pPr>
              <w:pStyle w:val="TableContents"/>
              <w:bidi w:val="0"/>
              <w:spacing w:before="0" w:after="283"/>
              <w:jc w:val="center"/>
              <w:rPr/>
            </w:pPr>
            <w:r>
              <w:rPr/>
              <w:t>—</w:t>
            </w:r>
          </w:p>
        </w:tc>
      </w:tr>
      <w:tr>
        <w:trPr/>
        <w:tc>
          <w:tcPr>
            <w:tcW w:w="5540" w:type="dxa"/>
            <w:gridSpan w:val="7"/>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055"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40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4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3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5540" w:type="dxa"/>
            <w:gridSpan w:val="7"/>
            <w:tcBorders>
              <w:left w:val="single" w:sz="6" w:space="0" w:color="000000"/>
              <w:bottom w:val="single" w:sz="6" w:space="0" w:color="000000"/>
            </w:tcBorders>
            <w:tcMar>
              <w:left w:w="160" w:type="dxa"/>
              <w:bottom w:w="28" w:type="dxa"/>
            </w:tcMar>
            <w:vAlign w:val="center"/>
          </w:tcPr>
          <w:p>
            <w:pPr>
              <w:pStyle w:val="TableContents"/>
              <w:bidi w:val="0"/>
              <w:spacing w:before="0" w:after="283"/>
              <w:jc w:val="center"/>
              <w:rPr/>
            </w:pPr>
            <w:r>
              <w:rPr/>
              <w:t>Net Fee Due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95"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4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98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7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$53,577.35</w:t>
            </w:r>
          </w:p>
        </w:tc>
      </w:tr>
    </w:tbl>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(1)</w:t>
            </w:r>
          </w:p>
        </w:tc>
        <w:tc>
          <w:tcPr>
            <w:tcW w:w="994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Pursuant to Rule 416(a) under the Securities Act of 1933, as amended (the “Securities Act”), this Registration Statement shall also cover any additional shares of Common Stock that become issuable under the Plan by reason of any stock dividend, stock split or similar transactions. </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 xml:space="preserve">Estimated in accordance with Rule 457(h) under the Securities Act solely for purposes of calculating the registration fee, based on the average of the high and low sales prices per share of Common Stock, as reported on The Nasdaq Stock Market LLC on June 25, 2025.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66691/000119312511147902/ds8.htm" TargetMode="External"/><Relationship Id="rId3" Type="http://schemas.openxmlformats.org/officeDocument/2006/relationships/hyperlink" Target="http://www.sec.gov/Archives/edgar/data/1166691/000119312512330640/d385630ds8.htm" TargetMode="External"/><Relationship Id="rId4" Type="http://schemas.openxmlformats.org/officeDocument/2006/relationships/hyperlink" Target="http://www.sec.gov/Archives/edgar/data/1166691/000119312516661805/d230333ds8.htm" TargetMode="External"/><Relationship Id="rId5" Type="http://schemas.openxmlformats.org/officeDocument/2006/relationships/hyperlink" Target="http://www.sec.gov/Archives/edgar/data/1166691/000116669125000027/exhibit101-nbcuespp.htm"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3164</Words>
  <Characters>16469</Characters>
  <CharactersWithSpaces>19658</CharactersWithSpaces>
  <Paragraphs>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