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364"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77" w:lineRule="exact"/>
        <w:rPr>
          <w:sz w:val="24"/>
          <w:szCs w:val="24"/>
          <w:color w:val="auto"/>
        </w:rPr>
      </w:pPr>
    </w:p>
    <w:p>
      <w:pPr>
        <w:ind w:left="354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001-32871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118110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229235</wp:posOffset>
            </wp:positionV>
            <wp:extent cx="2933065" cy="763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33065" cy="7632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COMCAST CORPORATION</w:t>
      </w:r>
    </w:p>
    <w:p>
      <w:pPr>
        <w:spacing w:after="0" w:line="4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7" w:lineRule="exact"/>
        <w:rPr>
          <w:sz w:val="24"/>
          <w:szCs w:val="24"/>
          <w:color w:val="auto"/>
        </w:rPr>
      </w:pPr>
    </w:p>
    <w:tbl>
      <w:tblPr>
        <w:tblLayout w:type="fixed"/>
        <w:tblInd w:w="1360" w:type="dxa"/>
        <w:tblCellMar>
          <w:top w:w="0" w:type="dxa"/>
          <w:left w:w="0" w:type="dxa"/>
          <w:bottom w:w="0" w:type="dxa"/>
          <w:right w:w="0" w:type="dxa"/>
        </w:tblCellMar>
      </w:tblP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94"/>
              </w:rPr>
              <w:t>PENNSYLVANIA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27-0000798</w:t>
            </w:r>
          </w:p>
        </w:tc>
      </w:tr>
      <w:tr>
        <w:trPr>
          <w:trHeight w:val="216"/>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(State or other jurisdiction of</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0"/>
              </w:rPr>
              <w:t>(I.R.S. Employer</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89"/>
              </w:rPr>
              <w:t>incorporation or organization)</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4820" w:type="dxa"/>
            <w:vAlign w:val="bottom"/>
          </w:tcPr>
          <w:p>
            <w:pPr>
              <w:jc w:val="center"/>
              <w:ind w:right="1832"/>
              <w:spacing w:after="0"/>
              <w:rPr>
                <w:sz w:val="20"/>
                <w:szCs w:val="20"/>
                <w:color w:val="auto"/>
              </w:rPr>
            </w:pPr>
            <w:r>
              <w:rPr>
                <w:rFonts w:ascii="Arial" w:cs="Arial" w:eastAsia="Arial" w:hAnsi="Arial"/>
                <w:sz w:val="18"/>
                <w:szCs w:val="18"/>
                <w:b w:val="1"/>
                <w:bCs w:val="1"/>
                <w:color w:val="auto"/>
                <w:w w:val="88"/>
              </w:rPr>
              <w:t>One Comcast Center, Philadelphia, PA</w:t>
            </w:r>
          </w:p>
        </w:tc>
        <w:tc>
          <w:tcPr>
            <w:tcW w:w="3220" w:type="dxa"/>
            <w:vAlign w:val="bottom"/>
          </w:tcPr>
          <w:p>
            <w:pPr>
              <w:jc w:val="center"/>
              <w:ind w:left="1812"/>
              <w:spacing w:after="0"/>
              <w:rPr>
                <w:sz w:val="20"/>
                <w:szCs w:val="20"/>
                <w:color w:val="auto"/>
              </w:rPr>
            </w:pPr>
            <w:r>
              <w:rPr>
                <w:rFonts w:ascii="Arial" w:cs="Arial" w:eastAsia="Arial" w:hAnsi="Arial"/>
                <w:sz w:val="18"/>
                <w:szCs w:val="18"/>
                <w:b w:val="1"/>
                <w:bCs w:val="1"/>
                <w:color w:val="auto"/>
                <w:w w:val="87"/>
              </w:rPr>
              <w:t>19103-2838</w:t>
            </w:r>
          </w:p>
        </w:tc>
      </w:tr>
      <w:tr>
        <w:trPr>
          <w:trHeight w:val="222"/>
        </w:trPr>
        <w:tc>
          <w:tcPr>
            <w:tcW w:w="4820" w:type="dxa"/>
            <w:vAlign w:val="bottom"/>
          </w:tcPr>
          <w:p>
            <w:pPr>
              <w:jc w:val="center"/>
              <w:ind w:right="1832"/>
              <w:spacing w:after="0"/>
              <w:rPr>
                <w:sz w:val="20"/>
                <w:szCs w:val="20"/>
                <w:color w:val="auto"/>
              </w:rPr>
            </w:pPr>
            <w:r>
              <w:rPr>
                <w:rFonts w:ascii="Arial" w:cs="Arial" w:eastAsia="Arial" w:hAnsi="Arial"/>
                <w:sz w:val="18"/>
                <w:szCs w:val="18"/>
                <w:color w:val="auto"/>
                <w:w w:val="90"/>
              </w:rPr>
              <w:t>(Address of principal executive offices)</w:t>
            </w:r>
          </w:p>
        </w:tc>
        <w:tc>
          <w:tcPr>
            <w:tcW w:w="3220" w:type="dxa"/>
            <w:vAlign w:val="bottom"/>
          </w:tcPr>
          <w:p>
            <w:pPr>
              <w:jc w:val="center"/>
              <w:ind w:left="1812"/>
              <w:spacing w:after="0"/>
              <w:rPr>
                <w:sz w:val="20"/>
                <w:szCs w:val="20"/>
                <w:color w:val="auto"/>
              </w:rPr>
            </w:pPr>
            <w:r>
              <w:rPr>
                <w:rFonts w:ascii="Arial" w:cs="Arial" w:eastAsia="Arial" w:hAnsi="Arial"/>
                <w:sz w:val="18"/>
                <w:szCs w:val="18"/>
                <w:color w:val="auto"/>
                <w:w w:val="89"/>
              </w:rPr>
              <w:t>(Zip Code)</w:t>
            </w:r>
          </w:p>
        </w:tc>
      </w:tr>
    </w:tbl>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(215) 286-1700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9"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twelve months (or for such shorter period that the registrant was required to file such reports), and (2) has been subject to such filing requirements for the past 90 days.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126365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1"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period that the registrant was required to submit and post such files).</w:t>
      </w:r>
    </w:p>
    <w:p>
      <w:pPr>
        <w:spacing w:after="0" w:line="13"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jc w:val="both"/>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w:t>
      </w:r>
    </w:p>
    <w:p>
      <w:pPr>
        <w:spacing w:after="0" w:line="5" w:lineRule="exact"/>
        <w:rPr>
          <w:sz w:val="24"/>
          <w:szCs w:val="24"/>
          <w:color w:val="auto"/>
        </w:rPr>
      </w:pPr>
    </w:p>
    <w:p>
      <w:pPr>
        <w:ind w:right="1700" w:firstLine="1694"/>
        <w:spacing w:after="0" w:line="270"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Non-accelerated filer </w:t>
      </w:r>
      <w:r>
        <w:rPr>
          <w:rFonts w:ascii="MS PGothic" w:cs="MS PGothic" w:eastAsia="MS PGothic" w:hAnsi="MS PGothic"/>
          <w:sz w:val="18"/>
          <w:szCs w:val="18"/>
          <w:color w:val="auto"/>
        </w:rPr>
        <w:t>☐</w:t>
      </w:r>
      <w:r>
        <w:rPr>
          <w:rFonts w:ascii="Arial" w:cs="Arial" w:eastAsia="Arial" w:hAnsi="Arial"/>
          <w:sz w:val="18"/>
          <w:szCs w:val="18"/>
          <w:color w:val="auto"/>
        </w:rPr>
        <w:t xml:space="preserve"> Smaller reporting company </w:t>
      </w:r>
      <w:r>
        <w:rPr>
          <w:rFonts w:ascii="MS PGothic" w:cs="MS PGothic" w:eastAsia="MS PGothic" w:hAnsi="MS PGothic"/>
          <w:sz w:val="18"/>
          <w:szCs w:val="18"/>
          <w:color w:val="auto"/>
        </w:rPr>
        <w:t>☐</w:t>
      </w:r>
      <w:r>
        <w:rPr>
          <w:rFonts w:ascii="Arial" w:cs="Arial" w:eastAsia="Arial" w:hAnsi="Arial"/>
          <w:sz w:val="18"/>
          <w:szCs w:val="18"/>
          <w:color w:val="auto"/>
        </w:rPr>
        <w:t xml:space="preserve"> Indicate by check mark whether the Registrant is a shell company (as defined in Rule 12b-2 of the Act).</w:t>
      </w:r>
    </w:p>
    <w:p>
      <w:pPr>
        <w:spacing w:after="0" w:line="29"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9"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As of March 31, 2012, there were 2,109,694,188 shares of our Class A common stock, 577,031,322 shares of our Class A Special common stock and 9,444,375 shares of our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tbl>
      <w:tblPr>
        <w:tblLayout w:type="fixed"/>
        <w:tblInd w:w="0" w:type="dxa"/>
        <w:tblCellMar>
          <w:top w:w="0" w:type="dxa"/>
          <w:left w:w="0" w:type="dxa"/>
          <w:bottom w:w="0" w:type="dxa"/>
          <w:right w:w="0" w:type="dxa"/>
        </w:tblCellMar>
      </w:tblPr>
      <w:tr>
        <w:trPr>
          <w:trHeight w:val="152"/>
        </w:trPr>
        <w:tc>
          <w:tcPr>
            <w:tcW w:w="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580" w:type="dxa"/>
            <w:vAlign w:val="bottom"/>
          </w:tcPr>
          <w:p>
            <w:pPr>
              <w:jc w:val="right"/>
              <w:ind w:right="92"/>
              <w:spacing w:after="0" w:line="152" w:lineRule="exact"/>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Number</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820" w:type="dxa"/>
            <w:vAlign w:val="bottom"/>
            <w:gridSpan w:val="19"/>
          </w:tcPr>
          <w:p>
            <w:pPr>
              <w:spacing w:after="0" w:line="129" w:lineRule="exact"/>
              <w:rPr>
                <w:sz w:val="20"/>
                <w:szCs w:val="20"/>
                <w:color w:val="auto"/>
              </w:rPr>
            </w:pPr>
            <w:r>
              <w:rPr>
                <w:rFonts w:ascii="Arial" w:cs="Arial" w:eastAsia="Arial" w:hAnsi="Arial"/>
                <w:sz w:val="14"/>
                <w:szCs w:val="14"/>
                <w:b w:val="1"/>
                <w:bCs w:val="1"/>
                <w:color w:val="auto"/>
              </w:rPr>
              <w:t>PART I. FINANCIAL INFORMATION</w:t>
            </w: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1140" w:type="dxa"/>
            <w:vAlign w:val="bottom"/>
            <w:tcBorders>
              <w:bottom w:val="single" w:sz="8" w:color="0000EE"/>
            </w:tcBorders>
            <w:gridSpan w:val="4"/>
          </w:tcPr>
          <w:p>
            <w:pPr>
              <w:spacing w:after="0" w:line="148" w:lineRule="exact"/>
              <w:rPr>
                <w:rFonts w:ascii="Arial" w:cs="Arial" w:eastAsia="Arial" w:hAnsi="Arial"/>
                <w:sz w:val="14"/>
                <w:szCs w:val="14"/>
                <w:color w:val="0000EE"/>
                <w:w w:val="85"/>
              </w:rPr>
            </w:pPr>
            <w:hyperlink w:anchor="page3">
              <w:r>
                <w:rPr>
                  <w:rFonts w:ascii="Arial" w:cs="Arial" w:eastAsia="Arial" w:hAnsi="Arial"/>
                  <w:sz w:val="14"/>
                  <w:szCs w:val="14"/>
                  <w:color w:val="0000EE"/>
                  <w:w w:val="85"/>
                </w:rPr>
                <w:t>Financial Statements</w:t>
              </w:r>
            </w:hyperlink>
          </w:p>
        </w:tc>
        <w:tc>
          <w:tcPr>
            <w:tcW w:w="6700" w:type="dxa"/>
            <w:vAlign w:val="bottom"/>
            <w:gridSpan w:val="13"/>
          </w:tcPr>
          <w:p>
            <w:pPr>
              <w:spacing w:after="0"/>
              <w:rPr>
                <w:sz w:val="12"/>
                <w:szCs w:val="12"/>
                <w:color w:val="auto"/>
              </w:rPr>
            </w:pPr>
          </w:p>
        </w:tc>
        <w:tc>
          <w:tcPr>
            <w:tcW w:w="1580" w:type="dxa"/>
            <w:vAlign w:val="bottom"/>
          </w:tcPr>
          <w:p>
            <w:pPr>
              <w:jc w:val="right"/>
              <w:spacing w:after="0" w:line="148"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40" w:type="dxa"/>
            <w:vAlign w:val="bottom"/>
            <w:gridSpan w:val="17"/>
          </w:tcPr>
          <w:p>
            <w:pPr>
              <w:spacing w:after="0" w:line="129" w:lineRule="exact"/>
              <w:rPr>
                <w:rFonts w:ascii="Arial" w:cs="Arial" w:eastAsia="Arial" w:hAnsi="Arial"/>
                <w:sz w:val="14"/>
                <w:szCs w:val="14"/>
                <w:color w:val="0000EE"/>
              </w:rPr>
            </w:pPr>
            <w:hyperlink w:anchor="page3">
              <w:r>
                <w:rPr>
                  <w:rFonts w:ascii="Arial" w:cs="Arial" w:eastAsia="Arial" w:hAnsi="Arial"/>
                  <w:sz w:val="14"/>
                  <w:szCs w:val="14"/>
                  <w:color w:val="0000EE"/>
                </w:rPr>
                <w:t>Condensed Consolidated Balance Sheet as of March 31, 2012 and December 31, 2011 (Unaudited)</w:t>
              </w:r>
            </w:hyperlink>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340" w:type="dxa"/>
            <w:vAlign w:val="bottom"/>
            <w:tcBorders>
              <w:top w:val="single" w:sz="8" w:color="0000EE"/>
            </w:tcBorders>
            <w:gridSpan w:val="14"/>
          </w:tcPr>
          <w:p>
            <w:pPr>
              <w:spacing w:after="0" w:line="129" w:lineRule="exact"/>
              <w:rPr>
                <w:rFonts w:ascii="Arial" w:cs="Arial" w:eastAsia="Arial" w:hAnsi="Arial"/>
                <w:sz w:val="14"/>
                <w:szCs w:val="14"/>
                <w:color w:val="0000EE"/>
                <w:w w:val="93"/>
              </w:rPr>
            </w:pPr>
            <w:hyperlink w:anchor="page4">
              <w:r>
                <w:rPr>
                  <w:rFonts w:ascii="Arial" w:cs="Arial" w:eastAsia="Arial" w:hAnsi="Arial"/>
                  <w:sz w:val="14"/>
                  <w:szCs w:val="14"/>
                  <w:color w:val="0000EE"/>
                  <w:w w:val="93"/>
                </w:rPr>
                <w:t>Condensed Consolidated Statement of Income for the Three Months Ended March 31, 2012</w:t>
              </w:r>
            </w:hyperlink>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980" w:type="dxa"/>
            <w:vAlign w:val="bottom"/>
            <w:tcBorders>
              <w:top w:val="single" w:sz="8" w:color="0000EE"/>
            </w:tcBorders>
            <w:gridSpan w:val="13"/>
          </w:tcPr>
          <w:p>
            <w:pPr>
              <w:spacing w:after="0" w:line="129" w:lineRule="exact"/>
              <w:rPr>
                <w:rFonts w:ascii="Arial" w:cs="Arial" w:eastAsia="Arial" w:hAnsi="Arial"/>
                <w:sz w:val="14"/>
                <w:szCs w:val="14"/>
                <w:color w:val="0000EE"/>
              </w:rPr>
            </w:pPr>
            <w:hyperlink w:anchor="page4">
              <w:r>
                <w:rPr>
                  <w:rFonts w:ascii="Arial" w:cs="Arial" w:eastAsia="Arial" w:hAnsi="Arial"/>
                  <w:sz w:val="14"/>
                  <w:szCs w:val="14"/>
                  <w:color w:val="0000EE"/>
                </w:rPr>
                <w:t>and 2011 (Unaudited)</w:t>
              </w:r>
            </w:hyperlink>
          </w:p>
        </w:tc>
        <w:tc>
          <w:tcPr>
            <w:tcW w:w="1440" w:type="dxa"/>
            <w:vAlign w:val="bottom"/>
            <w:gridSpan w:val="2"/>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tcBorders>
              <w:top w:val="single" w:sz="8" w:color="0000EE"/>
            </w:tcBorders>
            <w:gridSpan w:val="5"/>
          </w:tcPr>
          <w:p>
            <w:pPr>
              <w:spacing w:after="0" w:line="129" w:lineRule="exact"/>
              <w:rPr>
                <w:rFonts w:ascii="Arial" w:cs="Arial" w:eastAsia="Arial" w:hAnsi="Arial"/>
                <w:sz w:val="14"/>
                <w:szCs w:val="14"/>
                <w:color w:val="0000EE"/>
                <w:w w:val="73"/>
              </w:rPr>
            </w:pPr>
            <w:hyperlink w:anchor="page5">
              <w:r>
                <w:rPr>
                  <w:rFonts w:ascii="Arial" w:cs="Arial" w:eastAsia="Arial" w:hAnsi="Arial"/>
                  <w:sz w:val="14"/>
                  <w:szCs w:val="14"/>
                  <w:color w:val="0000EE"/>
                  <w:w w:val="73"/>
                </w:rPr>
                <w:t>Condensed Consolidated</w:t>
              </w:r>
            </w:hyperlink>
          </w:p>
        </w:tc>
        <w:tc>
          <w:tcPr>
            <w:tcW w:w="160" w:type="dxa"/>
            <w:vAlign w:val="bottom"/>
          </w:tcPr>
          <w:p>
            <w:pPr>
              <w:spacing w:after="0"/>
              <w:rPr>
                <w:sz w:val="11"/>
                <w:szCs w:val="11"/>
                <w:color w:val="auto"/>
              </w:rPr>
            </w:pPr>
          </w:p>
        </w:tc>
        <w:tc>
          <w:tcPr>
            <w:tcW w:w="6500" w:type="dxa"/>
            <w:vAlign w:val="bottom"/>
            <w:gridSpan w:val="11"/>
          </w:tcPr>
          <w:p>
            <w:pPr>
              <w:ind w:left="40"/>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Statement of Comprehensive Income for the Three Months Ended</w:t>
              </w:r>
            </w:hyperlink>
          </w:p>
        </w:tc>
        <w:tc>
          <w:tcPr>
            <w:tcW w:w="15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960" w:type="dxa"/>
            <w:vAlign w:val="bottom"/>
            <w:tcBorders>
              <w:top w:val="single" w:sz="8" w:color="0000EE"/>
            </w:tcBorders>
            <w:gridSpan w:val="12"/>
          </w:tcPr>
          <w:p>
            <w:pPr>
              <w:spacing w:after="0" w:line="129" w:lineRule="exact"/>
              <w:rPr>
                <w:rFonts w:ascii="Arial" w:cs="Arial" w:eastAsia="Arial" w:hAnsi="Arial"/>
                <w:sz w:val="14"/>
                <w:szCs w:val="14"/>
                <w:color w:val="0000EE"/>
              </w:rPr>
            </w:pPr>
            <w:hyperlink w:anchor="page5">
              <w:r>
                <w:rPr>
                  <w:rFonts w:ascii="Arial" w:cs="Arial" w:eastAsia="Arial" w:hAnsi="Arial"/>
                  <w:sz w:val="14"/>
                  <w:szCs w:val="14"/>
                  <w:color w:val="0000EE"/>
                </w:rPr>
                <w:t>March 31, 2012 and 2011 (Unaudited)</w:t>
              </w:r>
            </w:hyperlink>
          </w:p>
        </w:tc>
        <w:tc>
          <w:tcPr>
            <w:tcW w:w="1460" w:type="dxa"/>
            <w:vAlign w:val="bottom"/>
            <w:gridSpan w:val="3"/>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80" w:type="dxa"/>
            <w:vAlign w:val="bottom"/>
            <w:tcBorders>
              <w:top w:val="single" w:sz="8" w:color="0000EE"/>
              <w:bottom w:val="single" w:sz="8" w:color="0000EE"/>
            </w:tcBorders>
            <w:gridSpan w:val="7"/>
          </w:tcPr>
          <w:p>
            <w:pPr>
              <w:spacing w:after="0" w:line="129" w:lineRule="exact"/>
              <w:rPr>
                <w:rFonts w:ascii="Arial" w:cs="Arial" w:eastAsia="Arial" w:hAnsi="Arial"/>
                <w:sz w:val="14"/>
                <w:szCs w:val="14"/>
                <w:color w:val="0000EE"/>
                <w:w w:val="85"/>
              </w:rPr>
            </w:pPr>
            <w:hyperlink w:anchor="page6">
              <w:r>
                <w:rPr>
                  <w:rFonts w:ascii="Arial" w:cs="Arial" w:eastAsia="Arial" w:hAnsi="Arial"/>
                  <w:sz w:val="14"/>
                  <w:szCs w:val="14"/>
                  <w:color w:val="0000EE"/>
                  <w:w w:val="85"/>
                </w:rPr>
                <w:t>Condensed Consolidated Statement of</w:t>
              </w:r>
            </w:hyperlink>
          </w:p>
        </w:tc>
        <w:tc>
          <w:tcPr>
            <w:tcW w:w="4340" w:type="dxa"/>
            <w:vAlign w:val="bottom"/>
            <w:tcBorders>
              <w:bottom w:val="single" w:sz="8" w:color="0000EE"/>
            </w:tcBorders>
            <w:gridSpan w:val="8"/>
          </w:tcPr>
          <w:p>
            <w:pPr>
              <w:jc w:val="center"/>
              <w:spacing w:after="0" w:line="129" w:lineRule="exact"/>
              <w:rPr>
                <w:rFonts w:ascii="Arial" w:cs="Arial" w:eastAsia="Arial" w:hAnsi="Arial"/>
                <w:sz w:val="14"/>
                <w:szCs w:val="14"/>
                <w:color w:val="0000EE"/>
                <w:w w:val="87"/>
              </w:rPr>
            </w:pPr>
            <w:hyperlink w:anchor="page6">
              <w:r>
                <w:rPr>
                  <w:rFonts w:ascii="Arial" w:cs="Arial" w:eastAsia="Arial" w:hAnsi="Arial"/>
                  <w:sz w:val="14"/>
                  <w:szCs w:val="14"/>
                  <w:color w:val="0000EE"/>
                  <w:w w:val="87"/>
                </w:rPr>
                <w:t>Cash Flows for the Three Months Ended March 31, 2012 and 2011 (Unaudited)</w:t>
              </w:r>
            </w:hyperlink>
          </w:p>
        </w:tc>
        <w:tc>
          <w:tcPr>
            <w:tcW w:w="1420" w:type="dxa"/>
            <w:vAlign w:val="bottom"/>
            <w:gridSpan w:val="2"/>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840" w:type="dxa"/>
            <w:vAlign w:val="bottom"/>
            <w:gridSpan w:val="17"/>
          </w:tcPr>
          <w:p>
            <w:pPr>
              <w:spacing w:after="0" w:line="129" w:lineRule="exact"/>
              <w:rPr>
                <w:rFonts w:ascii="Arial" w:cs="Arial" w:eastAsia="Arial" w:hAnsi="Arial"/>
                <w:sz w:val="14"/>
                <w:szCs w:val="14"/>
                <w:color w:val="0000EE"/>
              </w:rPr>
            </w:pPr>
            <w:hyperlink w:anchor="page7">
              <w:r>
                <w:rPr>
                  <w:rFonts w:ascii="Arial" w:cs="Arial" w:eastAsia="Arial" w:hAnsi="Arial"/>
                  <w:sz w:val="14"/>
                  <w:szCs w:val="14"/>
                  <w:color w:val="0000EE"/>
                </w:rPr>
                <w:t>Condensed Consolidated Statement of Changes in Equity for the Three Months Ended March 31, 2012 and 2011 (Unaudited)</w:t>
              </w:r>
            </w:hyperlink>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Item 2.</w:t>
            </w:r>
          </w:p>
        </w:tc>
        <w:tc>
          <w:tcPr>
            <w:tcW w:w="6780" w:type="dxa"/>
            <w:vAlign w:val="bottom"/>
            <w:tcBorders>
              <w:top w:val="single" w:sz="8" w:color="0000EE"/>
            </w:tcBorders>
            <w:gridSpan w:val="16"/>
          </w:tcPr>
          <w:p>
            <w:pPr>
              <w:spacing w:after="0" w:line="129" w:lineRule="exact"/>
              <w:rPr>
                <w:rFonts w:ascii="Arial" w:cs="Arial" w:eastAsia="Arial" w:hAnsi="Arial"/>
                <w:sz w:val="14"/>
                <w:szCs w:val="14"/>
                <w:color w:val="0000EE"/>
              </w:rPr>
            </w:pPr>
            <w:hyperlink w:anchor="page8">
              <w:r>
                <w:rPr>
                  <w:rFonts w:ascii="Arial" w:cs="Arial" w:eastAsia="Arial" w:hAnsi="Arial"/>
                  <w:sz w:val="14"/>
                  <w:szCs w:val="14"/>
                  <w:color w:val="0000EE"/>
                </w:rPr>
                <w:t>Notes to Condensed Consolidated Financial Statements (Unaudited)</w:t>
              </w:r>
            </w:hyperlink>
          </w:p>
        </w:tc>
        <w:tc>
          <w:tcPr>
            <w:tcW w:w="106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vMerge w:val="continue"/>
          </w:tcPr>
          <w:p>
            <w:pPr>
              <w:spacing w:after="0"/>
              <w:rPr>
                <w:sz w:val="11"/>
                <w:szCs w:val="11"/>
                <w:color w:val="auto"/>
              </w:rPr>
            </w:pPr>
          </w:p>
        </w:tc>
        <w:tc>
          <w:tcPr>
            <w:tcW w:w="3700" w:type="dxa"/>
            <w:vAlign w:val="bottom"/>
            <w:tcBorders>
              <w:top w:val="single" w:sz="8" w:color="0000EE"/>
            </w:tcBorders>
            <w:gridSpan w:val="10"/>
          </w:tcPr>
          <w:p>
            <w:pPr>
              <w:spacing w:after="0" w:line="129" w:lineRule="exact"/>
              <w:rPr>
                <w:rFonts w:ascii="Arial" w:cs="Arial" w:eastAsia="Arial" w:hAnsi="Arial"/>
                <w:sz w:val="14"/>
                <w:szCs w:val="14"/>
                <w:color w:val="0000EE"/>
                <w:w w:val="89"/>
              </w:rPr>
            </w:pPr>
            <w:hyperlink w:anchor="page28">
              <w:r>
                <w:rPr>
                  <w:rFonts w:ascii="Arial" w:cs="Arial" w:eastAsia="Arial" w:hAnsi="Arial"/>
                  <w:sz w:val="14"/>
                  <w:szCs w:val="14"/>
                  <w:color w:val="0000EE"/>
                  <w:w w:val="89"/>
                </w:rPr>
                <w:t>Management’s Discussion and Analysis of Financial Condition and</w:t>
              </w:r>
            </w:hyperlink>
          </w:p>
        </w:tc>
        <w:tc>
          <w:tcPr>
            <w:tcW w:w="4140" w:type="dxa"/>
            <w:vAlign w:val="bottom"/>
            <w:gridSpan w:val="7"/>
          </w:tcPr>
          <w:p>
            <w:pPr>
              <w:jc w:val="center"/>
              <w:ind w:right="2980"/>
              <w:spacing w:after="0" w:line="129" w:lineRule="exact"/>
              <w:rPr>
                <w:rFonts w:ascii="Arial" w:cs="Arial" w:eastAsia="Arial" w:hAnsi="Arial"/>
                <w:sz w:val="14"/>
                <w:szCs w:val="14"/>
                <w:color w:val="0000EE"/>
                <w:w w:val="86"/>
              </w:rPr>
            </w:pPr>
            <w:hyperlink w:anchor="page28">
              <w:r>
                <w:rPr>
                  <w:rFonts w:ascii="Arial" w:cs="Arial" w:eastAsia="Arial" w:hAnsi="Arial"/>
                  <w:sz w:val="14"/>
                  <w:szCs w:val="14"/>
                  <w:color w:val="0000EE"/>
                  <w:w w:val="86"/>
                </w:rPr>
                <w:t>Results of Operations</w:t>
              </w:r>
            </w:hyperlink>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3.</w:t>
            </w:r>
          </w:p>
        </w:tc>
        <w:tc>
          <w:tcPr>
            <w:tcW w:w="4860" w:type="dxa"/>
            <w:vAlign w:val="bottom"/>
            <w:tcBorders>
              <w:top w:val="single" w:sz="8" w:color="0000EE"/>
            </w:tcBorders>
            <w:gridSpan w:val="11"/>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Quantitative and Qualitative Disclosures About Market Risk</w:t>
              </w:r>
            </w:hyperlink>
          </w:p>
        </w:tc>
        <w:tc>
          <w:tcPr>
            <w:tcW w:w="2980" w:type="dxa"/>
            <w:vAlign w:val="bottom"/>
            <w:gridSpan w:val="6"/>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4.</w:t>
            </w:r>
          </w:p>
        </w:tc>
        <w:tc>
          <w:tcPr>
            <w:tcW w:w="3280" w:type="dxa"/>
            <w:vAlign w:val="bottom"/>
            <w:tcBorders>
              <w:top w:val="single" w:sz="8" w:color="0000EE"/>
            </w:tcBorders>
            <w:gridSpan w:val="9"/>
          </w:tcPr>
          <w:p>
            <w:pPr>
              <w:spacing w:after="0" w:line="129" w:lineRule="exact"/>
              <w:rPr>
                <w:rFonts w:ascii="Arial" w:cs="Arial" w:eastAsia="Arial" w:hAnsi="Arial"/>
                <w:sz w:val="14"/>
                <w:szCs w:val="14"/>
                <w:color w:val="0000EE"/>
              </w:rPr>
            </w:pPr>
            <w:hyperlink w:anchor="page37">
              <w:r>
                <w:rPr>
                  <w:rFonts w:ascii="Arial" w:cs="Arial" w:eastAsia="Arial" w:hAnsi="Arial"/>
                  <w:sz w:val="14"/>
                  <w:szCs w:val="14"/>
                  <w:color w:val="0000EE"/>
                </w:rPr>
                <w:t>Controls and Procedures</w:t>
              </w:r>
            </w:hyperlink>
          </w:p>
        </w:tc>
        <w:tc>
          <w:tcPr>
            <w:tcW w:w="4560" w:type="dxa"/>
            <w:vAlign w:val="bottom"/>
            <w:gridSpan w:val="8"/>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94"/>
              </w:rPr>
              <w:t>PART II. OTHER INFORMATION</w:t>
            </w:r>
          </w:p>
        </w:tc>
        <w:tc>
          <w:tcPr>
            <w:tcW w:w="460" w:type="dxa"/>
            <w:vAlign w:val="bottom"/>
            <w:tcBorders>
              <w:top w:val="single" w:sz="8" w:color="0000EE"/>
            </w:tcBorders>
          </w:tcPr>
          <w:p>
            <w:pPr>
              <w:spacing w:after="0"/>
              <w:rPr>
                <w:sz w:val="11"/>
                <w:szCs w:val="11"/>
                <w:color w:val="auto"/>
              </w:rPr>
            </w:pPr>
          </w:p>
        </w:tc>
        <w:tc>
          <w:tcPr>
            <w:tcW w:w="220" w:type="dxa"/>
            <w:vAlign w:val="bottom"/>
            <w:tcBorders>
              <w:top w:val="single" w:sz="8" w:color="0000EE"/>
            </w:tcBorders>
          </w:tcPr>
          <w:p>
            <w:pPr>
              <w:spacing w:after="0"/>
              <w:rPr>
                <w:sz w:val="11"/>
                <w:szCs w:val="11"/>
                <w:color w:val="auto"/>
              </w:rPr>
            </w:pPr>
          </w:p>
        </w:tc>
        <w:tc>
          <w:tcPr>
            <w:tcW w:w="320" w:type="dxa"/>
            <w:vAlign w:val="bottom"/>
            <w:tcBorders>
              <w:top w:val="single" w:sz="8" w:color="0000EE"/>
            </w:tcBorders>
          </w:tcPr>
          <w:p>
            <w:pPr>
              <w:spacing w:after="0"/>
              <w:rPr>
                <w:sz w:val="11"/>
                <w:szCs w:val="11"/>
                <w:color w:val="auto"/>
              </w:rPr>
            </w:pPr>
          </w:p>
        </w:tc>
        <w:tc>
          <w:tcPr>
            <w:tcW w:w="340" w:type="dxa"/>
            <w:vAlign w:val="bottom"/>
            <w:tcBorders>
              <w:top w:val="single" w:sz="8" w:color="0000EE"/>
            </w:tcBorders>
            <w:gridSpan w:val="3"/>
          </w:tcPr>
          <w:p>
            <w:pPr>
              <w:spacing w:after="0"/>
              <w:rPr>
                <w:sz w:val="11"/>
                <w:szCs w:val="11"/>
                <w:color w:val="auto"/>
              </w:rPr>
            </w:pPr>
          </w:p>
        </w:tc>
        <w:tc>
          <w:tcPr>
            <w:tcW w:w="1920" w:type="dxa"/>
            <w:vAlign w:val="bottom"/>
            <w:gridSpan w:val="2"/>
          </w:tcPr>
          <w:p>
            <w:pPr>
              <w:spacing w:after="0"/>
              <w:rPr>
                <w:sz w:val="11"/>
                <w:szCs w:val="11"/>
                <w:color w:val="auto"/>
              </w:rPr>
            </w:pPr>
          </w:p>
        </w:tc>
        <w:tc>
          <w:tcPr>
            <w:tcW w:w="4580" w:type="dxa"/>
            <w:vAlign w:val="bottom"/>
            <w:gridSpan w:val="9"/>
          </w:tcPr>
          <w:p>
            <w:pPr>
              <w:spacing w:after="0"/>
              <w:rPr>
                <w:sz w:val="11"/>
                <w:szCs w:val="11"/>
                <w:color w:val="auto"/>
              </w:rPr>
            </w:pPr>
          </w:p>
        </w:tc>
        <w:tc>
          <w:tcPr>
            <w:tcW w:w="15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980" w:type="dxa"/>
            <w:vAlign w:val="bottom"/>
            <w:gridSpan w:val="2"/>
          </w:tcPr>
          <w:p>
            <w:pPr>
              <w:ind w:left="800"/>
              <w:spacing w:after="0" w:line="148" w:lineRule="exact"/>
              <w:rPr>
                <w:sz w:val="20"/>
                <w:szCs w:val="20"/>
                <w:color w:val="auto"/>
              </w:rPr>
            </w:pPr>
            <w:r>
              <w:rPr>
                <w:rFonts w:ascii="Arial" w:cs="Arial" w:eastAsia="Arial" w:hAnsi="Arial"/>
                <w:sz w:val="14"/>
                <w:szCs w:val="14"/>
                <w:b w:val="1"/>
                <w:bCs w:val="1"/>
                <w:color w:val="auto"/>
              </w:rPr>
              <w:t>Item 1.</w:t>
            </w:r>
          </w:p>
        </w:tc>
        <w:tc>
          <w:tcPr>
            <w:tcW w:w="7840" w:type="dxa"/>
            <w:vAlign w:val="bottom"/>
            <w:gridSpan w:val="17"/>
          </w:tcPr>
          <w:p>
            <w:pPr>
              <w:spacing w:after="0" w:line="148" w:lineRule="exact"/>
              <w:rPr>
                <w:rFonts w:ascii="Arial" w:cs="Arial" w:eastAsia="Arial" w:hAnsi="Arial"/>
                <w:sz w:val="14"/>
                <w:szCs w:val="14"/>
                <w:color w:val="0000EE"/>
              </w:rPr>
            </w:pPr>
            <w:hyperlink w:anchor="page38">
              <w:r>
                <w:rPr>
                  <w:rFonts w:ascii="Arial" w:cs="Arial" w:eastAsia="Arial" w:hAnsi="Arial"/>
                  <w:sz w:val="14"/>
                  <w:szCs w:val="14"/>
                  <w:color w:val="0000EE"/>
                </w:rPr>
                <w:t>Legal Proceedings</w:t>
              </w:r>
            </w:hyperlink>
          </w:p>
        </w:tc>
        <w:tc>
          <w:tcPr>
            <w:tcW w:w="1580" w:type="dxa"/>
            <w:vAlign w:val="bottom"/>
          </w:tcPr>
          <w:p>
            <w:pPr>
              <w:jc w:val="right"/>
              <w:spacing w:after="0" w:line="148"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1A.</w:t>
            </w:r>
          </w:p>
        </w:tc>
        <w:tc>
          <w:tcPr>
            <w:tcW w:w="1000" w:type="dxa"/>
            <w:vAlign w:val="bottom"/>
            <w:tcBorders>
              <w:top w:val="single" w:sz="8" w:color="0000EE"/>
            </w:tcBorders>
            <w:gridSpan w:val="3"/>
          </w:tcPr>
          <w:p>
            <w:pPr>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Risk Factors</w:t>
              </w:r>
            </w:hyperlink>
          </w:p>
        </w:tc>
        <w:tc>
          <w:tcPr>
            <w:tcW w:w="2260" w:type="dxa"/>
            <w:vAlign w:val="bottom"/>
            <w:gridSpan w:val="5"/>
          </w:tcPr>
          <w:p>
            <w:pPr>
              <w:spacing w:after="0"/>
              <w:rPr>
                <w:sz w:val="11"/>
                <w:szCs w:val="11"/>
                <w:color w:val="auto"/>
              </w:rPr>
            </w:pPr>
          </w:p>
        </w:tc>
        <w:tc>
          <w:tcPr>
            <w:tcW w:w="4580" w:type="dxa"/>
            <w:vAlign w:val="bottom"/>
            <w:gridSpan w:val="9"/>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2.</w:t>
            </w:r>
          </w:p>
        </w:tc>
        <w:tc>
          <w:tcPr>
            <w:tcW w:w="680" w:type="dxa"/>
            <w:vAlign w:val="bottom"/>
            <w:tcBorders>
              <w:top w:val="single" w:sz="8" w:color="0000EE"/>
            </w:tcBorders>
            <w:gridSpan w:val="2"/>
          </w:tcPr>
          <w:p>
            <w:pPr>
              <w:spacing w:after="0" w:line="129" w:lineRule="exact"/>
              <w:rPr>
                <w:rFonts w:ascii="Arial" w:cs="Arial" w:eastAsia="Arial" w:hAnsi="Arial"/>
                <w:sz w:val="14"/>
                <w:szCs w:val="14"/>
                <w:color w:val="0000EE"/>
                <w:w w:val="82"/>
              </w:rPr>
            </w:pPr>
            <w:hyperlink w:anchor="page38">
              <w:r>
                <w:rPr>
                  <w:rFonts w:ascii="Arial" w:cs="Arial" w:eastAsia="Arial" w:hAnsi="Arial"/>
                  <w:sz w:val="14"/>
                  <w:szCs w:val="14"/>
                  <w:color w:val="0000EE"/>
                  <w:w w:val="82"/>
                </w:rPr>
                <w:t>Unregistered</w:t>
              </w:r>
            </w:hyperlink>
          </w:p>
        </w:tc>
        <w:tc>
          <w:tcPr>
            <w:tcW w:w="7160" w:type="dxa"/>
            <w:vAlign w:val="bottom"/>
            <w:gridSpan w:val="15"/>
          </w:tcPr>
          <w:p>
            <w:pPr>
              <w:ind w:left="60"/>
              <w:spacing w:after="0" w:line="129" w:lineRule="exact"/>
              <w:rPr>
                <w:rFonts w:ascii="Arial" w:cs="Arial" w:eastAsia="Arial" w:hAnsi="Arial"/>
                <w:sz w:val="14"/>
                <w:szCs w:val="14"/>
                <w:color w:val="0000EE"/>
              </w:rPr>
            </w:pPr>
            <w:hyperlink w:anchor="page38">
              <w:r>
                <w:rPr>
                  <w:rFonts w:ascii="Arial" w:cs="Arial" w:eastAsia="Arial" w:hAnsi="Arial"/>
                  <w:sz w:val="14"/>
                  <w:szCs w:val="14"/>
                  <w:color w:val="0000EE"/>
                </w:rPr>
                <w:t>Sales of Equity Securities and Use of Proceeds</w:t>
              </w:r>
            </w:hyperlink>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gridSpan w:val="2"/>
          </w:tcPr>
          <w:p>
            <w:pPr>
              <w:ind w:left="800"/>
              <w:spacing w:after="0" w:line="129" w:lineRule="exact"/>
              <w:rPr>
                <w:sz w:val="20"/>
                <w:szCs w:val="20"/>
                <w:color w:val="auto"/>
              </w:rPr>
            </w:pPr>
            <w:r>
              <w:rPr>
                <w:rFonts w:ascii="Arial" w:cs="Arial" w:eastAsia="Arial" w:hAnsi="Arial"/>
                <w:sz w:val="14"/>
                <w:szCs w:val="14"/>
                <w:b w:val="1"/>
                <w:bCs w:val="1"/>
                <w:color w:val="auto"/>
              </w:rPr>
              <w:t>Item 6.</w:t>
            </w:r>
          </w:p>
        </w:tc>
        <w:tc>
          <w:tcPr>
            <w:tcW w:w="3260" w:type="dxa"/>
            <w:vAlign w:val="bottom"/>
            <w:tcBorders>
              <w:top w:val="single" w:sz="8" w:color="0000EE"/>
            </w:tcBorders>
            <w:gridSpan w:val="8"/>
          </w:tcPr>
          <w:p>
            <w:pPr>
              <w:spacing w:after="0" w:line="129" w:lineRule="exact"/>
              <w:rPr>
                <w:rFonts w:ascii="Arial" w:cs="Arial" w:eastAsia="Arial" w:hAnsi="Arial"/>
                <w:sz w:val="14"/>
                <w:szCs w:val="14"/>
                <w:color w:val="0000EE"/>
              </w:rPr>
            </w:pPr>
            <w:hyperlink w:anchor="page39">
              <w:r>
                <w:rPr>
                  <w:rFonts w:ascii="Arial" w:cs="Arial" w:eastAsia="Arial" w:hAnsi="Arial"/>
                  <w:sz w:val="14"/>
                  <w:szCs w:val="14"/>
                  <w:color w:val="0000EE"/>
                </w:rPr>
                <w:t>Exhibits</w:t>
              </w:r>
            </w:hyperlink>
          </w:p>
        </w:tc>
        <w:tc>
          <w:tcPr>
            <w:tcW w:w="4580" w:type="dxa"/>
            <w:vAlign w:val="bottom"/>
            <w:gridSpan w:val="9"/>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29"/>
        </w:trPr>
        <w:tc>
          <w:tcPr>
            <w:tcW w:w="2000" w:type="dxa"/>
            <w:vAlign w:val="bottom"/>
            <w:gridSpan w:val="3"/>
          </w:tcPr>
          <w:p>
            <w:pPr>
              <w:spacing w:after="0" w:line="129" w:lineRule="exact"/>
              <w:rPr>
                <w:rFonts w:ascii="Arial" w:cs="Arial" w:eastAsia="Arial" w:hAnsi="Arial"/>
                <w:sz w:val="14"/>
                <w:szCs w:val="14"/>
                <w:b w:val="1"/>
                <w:bCs w:val="1"/>
                <w:color w:val="0000EE"/>
              </w:rPr>
            </w:pPr>
            <w:hyperlink w:anchor="page40">
              <w:r>
                <w:rPr>
                  <w:rFonts w:ascii="Arial" w:cs="Arial" w:eastAsia="Arial" w:hAnsi="Arial"/>
                  <w:sz w:val="14"/>
                  <w:szCs w:val="14"/>
                  <w:b w:val="1"/>
                  <w:bCs w:val="1"/>
                  <w:color w:val="0000EE"/>
                </w:rPr>
                <w:t>SIGNATURES</w:t>
              </w:r>
            </w:hyperlink>
          </w:p>
        </w:tc>
        <w:tc>
          <w:tcPr>
            <w:tcW w:w="460" w:type="dxa"/>
            <w:vAlign w:val="bottom"/>
            <w:tcBorders>
              <w:top w:val="single" w:sz="8" w:color="0000EE"/>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80" w:type="dxa"/>
            <w:vAlign w:val="bottom"/>
          </w:tcPr>
          <w:p>
            <w:pPr>
              <w:jc w:val="right"/>
              <w:spacing w:after="0" w:line="129" w:lineRule="exact"/>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60" w:type="dxa"/>
            <w:vAlign w:val="bottom"/>
            <w:tcBorders>
              <w:top w:val="single" w:sz="8" w:color="0000EE"/>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tcPr>
          <w:p>
            <w:pPr>
              <w:spacing w:after="0"/>
              <w:rPr>
                <w:sz w:val="7"/>
                <w:szCs w:val="7"/>
                <w:color w:val="auto"/>
              </w:rPr>
            </w:pPr>
          </w:p>
        </w:tc>
        <w:tc>
          <w:tcPr>
            <w:tcW w:w="118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11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36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158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3"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This Quarterly Report on Form 10-Q is for the three months ended March 31, 2012. This Quarterly Report modifies and supersedes documents filed prior to this Quarterly Report. The Securities and Exchange Commission (“SEC”) allows us to “incorporate by reference” information that we file with it, which means that we can disclose important information to you by referring you directly to those documents. Information incorporated by reference is considered to be part of this Quarterly Report. In addition, information that we file with the SEC in the future will automatically update and supersede information contained in this Quarterly Report. Throughout this Quarterly Report, we refer to Comcast Corporation as “Comcast;” Comcast and its consolidated subsidiaries, including NBCUniversal, as “we,” “us” and “our;” and Comcast Holdings Corporation as “Comcast Holdings.”</w:t>
      </w:r>
    </w:p>
    <w:p>
      <w:pPr>
        <w:spacing w:after="0" w:line="19" w:lineRule="exact"/>
        <w:rPr>
          <w:sz w:val="20"/>
          <w:szCs w:val="20"/>
          <w:color w:val="auto"/>
        </w:rPr>
      </w:pPr>
    </w:p>
    <w:p>
      <w:pPr>
        <w:jc w:val="both"/>
        <w:spacing w:after="0" w:line="272" w:lineRule="auto"/>
        <w:rPr>
          <w:sz w:val="20"/>
          <w:szCs w:val="20"/>
          <w:color w:val="auto"/>
        </w:rPr>
      </w:pPr>
      <w:r>
        <w:rPr>
          <w:rFonts w:ascii="Arial" w:cs="Arial" w:eastAsia="Arial" w:hAnsi="Arial"/>
          <w:sz w:val="12"/>
          <w:szCs w:val="12"/>
          <w:color w:val="auto"/>
        </w:rPr>
        <w:t>You should carefully review the information contained in this Quarterly Report and particularly consider any risk factors set forth in this Quarterly Report and in other reports or documents that we file from time to time with the SEC. In this Quarterly Report, we state our beliefs of future events and of our future financial performance. In some cases, you can identify these so-called “forward-looking statements” by words such as “may,” “will,” “should,” “expects,” “believes,” “estimates,” “potential,” or “continue,” or the negative of those words, and other comparable words. You should be aware that those statements are only our predictions. In evaluating those statements, you should specifically consider various factors, including the risks outlined below and in other reports we file with the SEC. Actual events or our actual results may differ materially from any of our forward-looking statements. We undertake no obligation to update any forward-looking statements.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Our businesses may be affected by, among other things, the following:</w:t>
      </w:r>
    </w:p>
    <w:p>
      <w:pPr>
        <w:spacing w:after="0" w:line="15" w:lineRule="exact"/>
        <w:rPr>
          <w:sz w:val="20"/>
          <w:szCs w:val="20"/>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currently face a wide range of competition, and our businesses and results of operations could be adversely affected if we do not compete effectively</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changes in consumer behavior driven by new technologies may adversely affect our competitive position, businesses and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programming expenses for our video services are increasing, which could adversely affect our future results of operations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are subject to regulation by federal, state, local and foreign authorities, which may impose additional costs and restrictions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weak economic conditions may have a negative impact on our businesses, results of operations and financial condition</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 decline in advertising expenditures or changes in advertising markets could negatively impact our results of operations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3"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our programming distribution agreements, or the renewal of these agreements on less favorable terms, could adversely affect our businesses and results of operations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keeping pace with technological developments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businesses depend on using and protecting certain intellectual property rights and on not infringing the intellectual property rights of others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sales of DVDs have been declining</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rely on network and information systems and other technologies, as well as key properties, and a disruption, cyber attack, failure or destruction of such networks, systems, technologies or properties may disrupt our businesses</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may be unable to obtain necessary hardware, software and operational support</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labor disputes, whether involving employees or sports organizations, may disrupt our operations and adversely affect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arising from the outcome of various litigation matters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acquisitions and other strategic transactions present many risks, and we may not realize the financial and strategic goals that were contemplated at the time of any transaction</w:t>
      </w:r>
    </w:p>
    <w:p>
      <w:pPr>
        <w:spacing w:after="0" w:line="3"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loss of key management personnel or popular on-air and creative talent could have an adverse effect on our businesses</w:t>
      </w:r>
    </w:p>
    <w:p>
      <w:pPr>
        <w:spacing w:after="0" w:line="14" w:lineRule="exact"/>
        <w:rPr>
          <w:rFonts w:ascii="Arial" w:cs="Arial" w:eastAsia="Arial" w:hAnsi="Arial"/>
          <w:sz w:val="14"/>
          <w:szCs w:val="14"/>
          <w:color w:val="auto"/>
        </w:rPr>
      </w:pPr>
    </w:p>
    <w:p>
      <w:pPr>
        <w:ind w:left="1020" w:hanging="215"/>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we face risks relating to doing business internationally that could adversely affect our businesses</w:t>
      </w:r>
    </w:p>
    <w:p>
      <w:pPr>
        <w:spacing w:after="0" w:line="14"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 FINANCIAL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FINANCIAL STATEMENTS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260" w:type="dxa"/>
            <w:vAlign w:val="bottom"/>
            <w:gridSpan w:val="2"/>
          </w:tcPr>
          <w:p>
            <w:pPr>
              <w:jc w:val="right"/>
              <w:ind w:right="293"/>
              <w:spacing w:after="0"/>
              <w:rPr>
                <w:sz w:val="20"/>
                <w:szCs w:val="20"/>
                <w:color w:val="auto"/>
              </w:rPr>
            </w:pPr>
            <w:r>
              <w:rPr>
                <w:rFonts w:ascii="Arial" w:cs="Arial" w:eastAsia="Arial" w:hAnsi="Arial"/>
                <w:sz w:val="14"/>
                <w:szCs w:val="14"/>
                <w:color w:val="auto"/>
              </w:rPr>
              <w:t>March 31,</w:t>
            </w:r>
          </w:p>
        </w:tc>
        <w:tc>
          <w:tcPr>
            <w:tcW w:w="1120" w:type="dxa"/>
            <w:vAlign w:val="bottom"/>
            <w:gridSpan w:val="2"/>
          </w:tcPr>
          <w:p>
            <w:pPr>
              <w:ind w:left="240"/>
              <w:spacing w:after="0"/>
              <w:rPr>
                <w:sz w:val="20"/>
                <w:szCs w:val="20"/>
                <w:color w:val="auto"/>
              </w:rPr>
            </w:pPr>
            <w:r>
              <w:rPr>
                <w:rFonts w:ascii="Arial" w:cs="Arial" w:eastAsia="Arial" w:hAnsi="Arial"/>
                <w:sz w:val="14"/>
                <w:szCs w:val="14"/>
                <w:color w:val="auto"/>
                <w:w w:val="97"/>
              </w:rPr>
              <w:t>December 31,</w:t>
            </w:r>
          </w:p>
        </w:tc>
      </w:tr>
      <w:tr>
        <w:trPr>
          <w:trHeight w:val="159"/>
        </w:trPr>
        <w:tc>
          <w:tcPr>
            <w:tcW w:w="9040" w:type="dxa"/>
            <w:vAlign w:val="bottom"/>
            <w:gridSpan w:val="2"/>
          </w:tcPr>
          <w:p>
            <w:pPr>
              <w:spacing w:after="0" w:line="159" w:lineRule="exact"/>
              <w:rPr>
                <w:sz w:val="20"/>
                <w:szCs w:val="20"/>
                <w:color w:val="auto"/>
              </w:rPr>
            </w:pPr>
            <w:r>
              <w:rPr>
                <w:rFonts w:ascii="Arial" w:cs="Arial" w:eastAsia="Arial" w:hAnsi="Arial"/>
                <w:sz w:val="14"/>
                <w:szCs w:val="14"/>
                <w:color w:val="auto"/>
              </w:rPr>
              <w:t>(in millions, except share data)</w:t>
            </w:r>
          </w:p>
        </w:tc>
        <w:tc>
          <w:tcPr>
            <w:tcW w:w="360" w:type="dxa"/>
            <w:vAlign w:val="bottom"/>
          </w:tcPr>
          <w:p>
            <w:pPr>
              <w:spacing w:after="0"/>
              <w:rPr>
                <w:sz w:val="13"/>
                <w:szCs w:val="13"/>
                <w:color w:val="auto"/>
              </w:rPr>
            </w:pPr>
          </w:p>
        </w:tc>
        <w:tc>
          <w:tcPr>
            <w:tcW w:w="900" w:type="dxa"/>
            <w:vAlign w:val="bottom"/>
          </w:tcPr>
          <w:p>
            <w:pPr>
              <w:jc w:val="right"/>
              <w:ind w:right="433"/>
              <w:spacing w:after="0" w:line="159" w:lineRule="exact"/>
              <w:rPr>
                <w:sz w:val="20"/>
                <w:szCs w:val="20"/>
                <w:color w:val="auto"/>
              </w:rPr>
            </w:pPr>
            <w:r>
              <w:rPr>
                <w:rFonts w:ascii="Arial" w:cs="Arial" w:eastAsia="Arial" w:hAnsi="Arial"/>
                <w:sz w:val="14"/>
                <w:szCs w:val="14"/>
                <w:color w:val="auto"/>
              </w:rPr>
              <w:t>2012</w:t>
            </w:r>
          </w:p>
        </w:tc>
        <w:tc>
          <w:tcPr>
            <w:tcW w:w="380" w:type="dxa"/>
            <w:vAlign w:val="bottom"/>
          </w:tcPr>
          <w:p>
            <w:pPr>
              <w:spacing w:after="0"/>
              <w:rPr>
                <w:sz w:val="13"/>
                <w:szCs w:val="13"/>
                <w:color w:val="auto"/>
              </w:rPr>
            </w:pPr>
          </w:p>
        </w:tc>
        <w:tc>
          <w:tcPr>
            <w:tcW w:w="740" w:type="dxa"/>
            <w:vAlign w:val="bottom"/>
          </w:tcPr>
          <w:p>
            <w:pPr>
              <w:jc w:val="right"/>
              <w:ind w:right="273"/>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20" w:type="dxa"/>
            <w:vAlign w:val="bottom"/>
          </w:tcPr>
          <w:p>
            <w:pPr>
              <w:spacing w:after="0"/>
              <w:rPr>
                <w:sz w:val="18"/>
                <w:szCs w:val="18"/>
                <w:color w:val="auto"/>
              </w:rPr>
            </w:pPr>
          </w:p>
        </w:tc>
        <w:tc>
          <w:tcPr>
            <w:tcW w:w="90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6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Current Assets:</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2,207</w:t>
            </w:r>
          </w:p>
        </w:tc>
        <w:tc>
          <w:tcPr>
            <w:tcW w:w="38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1,620</w:t>
            </w: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4,379</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4,351</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 rights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1,011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987</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current assets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1,758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1,615</w:t>
            </w: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assets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9,355</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8,573</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Film and television costs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5,112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5,227</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Investments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10,149</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9,854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Property and equipment, net of accumulated depreciation of $37,275 and $36,528</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26,962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27,559</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59,364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59,376</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26,803</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26,874</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 of accumulated amortization of $6,978 and $6,665</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18,001</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18,165</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2,203</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2,190</w:t>
            </w:r>
          </w:p>
        </w:tc>
      </w:tr>
      <w:tr>
        <w:trPr>
          <w:trHeight w:val="217"/>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b w:val="1"/>
                <w:bCs w:val="1"/>
                <w:color w:val="auto"/>
                <w:w w:val="86"/>
              </w:rPr>
              <w:t>157,949</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157,818</w:t>
            </w:r>
          </w:p>
        </w:tc>
      </w:tr>
      <w:tr>
        <w:trPr>
          <w:trHeight w:val="309"/>
        </w:trPr>
        <w:tc>
          <w:tcPr>
            <w:tcW w:w="90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Accounts payable and accrued expenses related to trade creditors</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5,763</w:t>
            </w:r>
          </w:p>
        </w:tc>
        <w:tc>
          <w:tcPr>
            <w:tcW w:w="380" w:type="dxa"/>
            <w:vAlign w:val="bottom"/>
          </w:tcPr>
          <w:p>
            <w:pPr>
              <w:ind w:left="24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5,705</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Accrued participations and residuals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1,394</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1,255</w:t>
            </w: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5,770</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4,914</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Current portion of long-term debt</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2,705</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1,367</w:t>
            </w: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current liabilities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15,632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13,241</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Long-term debt, less current portion</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35,080</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37,942</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29,812</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29,932</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Other noncurrent liabilities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13,446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13,034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Commitments and contingencies (Note 14)</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16,158</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16,014</w:t>
            </w: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Equity:</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Preferred stock—authorized, 20,000,000 shares; issued, zero</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0"/>
              </w:rPr>
              <w:t>Class A common stock, $0.01 par value—authorized, 7,500,000,000 shares; issued, 2,475,154,938 and 2,460,937,253;</w:t>
            </w: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9020" w:type="dxa"/>
            <w:vAlign w:val="bottom"/>
          </w:tcPr>
          <w:p>
            <w:pPr>
              <w:ind w:left="640"/>
              <w:spacing w:after="0"/>
              <w:rPr>
                <w:sz w:val="20"/>
                <w:szCs w:val="20"/>
                <w:color w:val="auto"/>
              </w:rPr>
            </w:pPr>
            <w:r>
              <w:rPr>
                <w:rFonts w:ascii="Arial" w:cs="Arial" w:eastAsia="Arial" w:hAnsi="Arial"/>
                <w:sz w:val="18"/>
                <w:szCs w:val="18"/>
                <w:color w:val="auto"/>
              </w:rPr>
              <w:t>outstanding, 2,109,694,188 and 2,095,476,503</w:t>
            </w:r>
          </w:p>
        </w:tc>
        <w:tc>
          <w:tcPr>
            <w:tcW w:w="360" w:type="dxa"/>
            <w:vAlign w:val="bottom"/>
          </w:tcPr>
          <w:p>
            <w:pPr>
              <w:spacing w:after="0"/>
              <w:rPr>
                <w:sz w:val="19"/>
                <w:szCs w:val="19"/>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25</w:t>
            </w:r>
          </w:p>
        </w:tc>
        <w:tc>
          <w:tcPr>
            <w:tcW w:w="380" w:type="dxa"/>
            <w:vAlign w:val="bottom"/>
          </w:tcPr>
          <w:p>
            <w:pPr>
              <w:spacing w:after="0"/>
              <w:rPr>
                <w:sz w:val="19"/>
                <w:szCs w:val="19"/>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25</w:t>
            </w:r>
          </w:p>
        </w:tc>
      </w:tr>
      <w:tr>
        <w:trPr>
          <w:trHeight w:val="209"/>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w w:val="98"/>
              </w:rPr>
              <w:t>Class A Special common stock, $0.01 par value—authorized, 7,500,000,000 shares; issued, 647,966,086 and</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9020" w:type="dxa"/>
            <w:vAlign w:val="bottom"/>
            <w:shd w:val="clear" w:color="auto" w:fill="E5E5E5"/>
          </w:tcPr>
          <w:p>
            <w:pPr>
              <w:ind w:left="640"/>
              <w:spacing w:after="0"/>
              <w:rPr>
                <w:sz w:val="20"/>
                <w:szCs w:val="20"/>
                <w:color w:val="auto"/>
              </w:rPr>
            </w:pPr>
            <w:r>
              <w:rPr>
                <w:rFonts w:ascii="Arial" w:cs="Arial" w:eastAsia="Arial" w:hAnsi="Arial"/>
                <w:sz w:val="18"/>
                <w:szCs w:val="18"/>
                <w:color w:val="auto"/>
              </w:rPr>
              <w:t>671,947,577; outstanding, 577,031,322 and 601,012,813</w:t>
            </w:r>
          </w:p>
        </w:tc>
        <w:tc>
          <w:tcPr>
            <w:tcW w:w="360" w:type="dxa"/>
            <w:vAlign w:val="bottom"/>
            <w:shd w:val="clear" w:color="auto" w:fill="E5E5E5"/>
          </w:tcPr>
          <w:p>
            <w:pPr>
              <w:spacing w:after="0"/>
              <w:rPr>
                <w:sz w:val="19"/>
                <w:szCs w:val="19"/>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6</w:t>
            </w:r>
          </w:p>
        </w:tc>
        <w:tc>
          <w:tcPr>
            <w:tcW w:w="38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7</w:t>
            </w: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w w:val="99"/>
              </w:rPr>
              <w:t>Class B common stock, $0.01 par value—authorized, 75,000,000 shares; issued and outstanding, 9,444,375</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Additional paid-in capital</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40,893</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40,940</w:t>
            </w:r>
          </w:p>
        </w:tc>
      </w:tr>
      <w:tr>
        <w:trPr>
          <w:trHeight w:val="216"/>
        </w:trPr>
        <w:tc>
          <w:tcPr>
            <w:tcW w:w="20" w:type="dxa"/>
            <w:vAlign w:val="bottom"/>
          </w:tcPr>
          <w:p>
            <w:pPr>
              <w:spacing w:after="0"/>
              <w:rPr>
                <w:sz w:val="18"/>
                <w:szCs w:val="18"/>
                <w:color w:val="auto"/>
              </w:rPr>
            </w:pPr>
          </w:p>
        </w:tc>
        <w:tc>
          <w:tcPr>
            <w:tcW w:w="902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60" w:type="dxa"/>
            <w:vAlign w:val="bottom"/>
          </w:tcPr>
          <w:p>
            <w:pPr>
              <w:spacing w:after="0"/>
              <w:rPr>
                <w:sz w:val="18"/>
                <w:szCs w:val="18"/>
                <w:color w:val="auto"/>
              </w:rPr>
            </w:pPr>
          </w:p>
        </w:tc>
        <w:tc>
          <w:tcPr>
            <w:tcW w:w="900" w:type="dxa"/>
            <w:vAlign w:val="bottom"/>
          </w:tcPr>
          <w:p>
            <w:pPr>
              <w:jc w:val="right"/>
              <w:ind w:right="233"/>
              <w:spacing w:after="0"/>
              <w:rPr>
                <w:sz w:val="20"/>
                <w:szCs w:val="20"/>
                <w:color w:val="auto"/>
              </w:rPr>
            </w:pPr>
            <w:r>
              <w:rPr>
                <w:rFonts w:ascii="Arial" w:cs="Arial" w:eastAsia="Arial" w:hAnsi="Arial"/>
                <w:sz w:val="18"/>
                <w:szCs w:val="18"/>
                <w:color w:val="auto"/>
              </w:rPr>
              <w:t>14,217</w:t>
            </w:r>
          </w:p>
        </w:tc>
        <w:tc>
          <w:tcPr>
            <w:tcW w:w="38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13,971</w:t>
            </w:r>
          </w:p>
        </w:tc>
      </w:tr>
      <w:tr>
        <w:trPr>
          <w:trHeight w:val="216"/>
        </w:trPr>
        <w:tc>
          <w:tcPr>
            <w:tcW w:w="20" w:type="dxa"/>
            <w:vAlign w:val="bottom"/>
          </w:tcPr>
          <w:p>
            <w:pPr>
              <w:spacing w:after="0"/>
              <w:rPr>
                <w:sz w:val="18"/>
                <w:szCs w:val="18"/>
                <w:color w:val="auto"/>
              </w:rPr>
            </w:pPr>
          </w:p>
        </w:tc>
        <w:tc>
          <w:tcPr>
            <w:tcW w:w="90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Treasury stock, 365,460,750 Class A common shares and 70,934,764 Class A Special common shares</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(7,517)</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(7,517)</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Accumulated other comprehensive income (loss)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r>
      <w:tr>
        <w:trPr>
          <w:trHeight w:val="210"/>
        </w:trPr>
        <w:tc>
          <w:tcPr>
            <w:tcW w:w="20" w:type="dxa"/>
            <w:vAlign w:val="bottom"/>
          </w:tcPr>
          <w:p>
            <w:pPr>
              <w:spacing w:after="0"/>
              <w:rPr>
                <w:sz w:val="18"/>
                <w:szCs w:val="18"/>
                <w:color w:val="auto"/>
              </w:rPr>
            </w:pPr>
          </w:p>
        </w:tc>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6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233"/>
              <w:spacing w:after="0"/>
              <w:rPr>
                <w:sz w:val="20"/>
                <w:szCs w:val="20"/>
                <w:color w:val="auto"/>
              </w:rPr>
            </w:pPr>
            <w:r>
              <w:rPr>
                <w:rFonts w:ascii="Arial" w:cs="Arial" w:eastAsia="Arial" w:hAnsi="Arial"/>
                <w:sz w:val="18"/>
                <w:szCs w:val="18"/>
                <w:color w:val="auto"/>
              </w:rPr>
              <w:t>47,476</w:t>
            </w:r>
          </w:p>
        </w:tc>
        <w:tc>
          <w:tcPr>
            <w:tcW w:w="38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47,274</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color w:val="auto"/>
              </w:rPr>
              <w:t>345</w:t>
            </w: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r>
      <w:tr>
        <w:trPr>
          <w:trHeight w:val="210"/>
        </w:trPr>
        <w:tc>
          <w:tcPr>
            <w:tcW w:w="20" w:type="dxa"/>
            <w:vAlign w:val="bottom"/>
          </w:tcPr>
          <w:p>
            <w:pPr>
              <w:spacing w:after="0"/>
              <w:rPr>
                <w:sz w:val="18"/>
                <w:szCs w:val="18"/>
                <w:color w:val="auto"/>
              </w:rPr>
            </w:pPr>
          </w:p>
        </w:tc>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6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233"/>
              <w:spacing w:after="0"/>
              <w:rPr>
                <w:sz w:val="20"/>
                <w:szCs w:val="20"/>
                <w:color w:val="auto"/>
              </w:rPr>
            </w:pPr>
            <w:r>
              <w:rPr>
                <w:rFonts w:ascii="Arial" w:cs="Arial" w:eastAsia="Arial" w:hAnsi="Arial"/>
                <w:sz w:val="18"/>
                <w:szCs w:val="18"/>
                <w:color w:val="auto"/>
              </w:rPr>
              <w:t>47,821</w:t>
            </w:r>
          </w:p>
        </w:tc>
        <w:tc>
          <w:tcPr>
            <w:tcW w:w="38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47,655</w:t>
            </w:r>
          </w:p>
        </w:tc>
      </w:tr>
      <w:tr>
        <w:trPr>
          <w:trHeight w:val="217"/>
        </w:trPr>
        <w:tc>
          <w:tcPr>
            <w:tcW w:w="20" w:type="dxa"/>
            <w:vAlign w:val="bottom"/>
            <w:tcBorders>
              <w:bottom w:val="single" w:sz="8" w:color="auto"/>
            </w:tcBorders>
          </w:tcPr>
          <w:p>
            <w:pPr>
              <w:spacing w:after="0"/>
              <w:rPr>
                <w:sz w:val="18"/>
                <w:szCs w:val="18"/>
                <w:color w:val="auto"/>
              </w:rPr>
            </w:pPr>
          </w:p>
        </w:tc>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233"/>
              <w:spacing w:after="0"/>
              <w:rPr>
                <w:sz w:val="20"/>
                <w:szCs w:val="20"/>
                <w:color w:val="auto"/>
              </w:rPr>
            </w:pPr>
            <w:r>
              <w:rPr>
                <w:rFonts w:ascii="Arial" w:cs="Arial" w:eastAsia="Arial" w:hAnsi="Arial"/>
                <w:sz w:val="18"/>
                <w:szCs w:val="18"/>
                <w:b w:val="1"/>
                <w:bCs w:val="1"/>
                <w:color w:val="auto"/>
                <w:w w:val="86"/>
              </w:rPr>
              <w:t>157,949</w:t>
            </w:r>
          </w:p>
        </w:tc>
        <w:tc>
          <w:tcPr>
            <w:tcW w:w="3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20" w:type="dxa"/>
            <w:vAlign w:val="bottom"/>
            <w:gridSpan w:val="3"/>
          </w:tcPr>
          <w:p>
            <w:pPr>
              <w:jc w:val="right"/>
              <w:ind w:right="253"/>
              <w:spacing w:after="0"/>
              <w:rPr>
                <w:sz w:val="20"/>
                <w:szCs w:val="20"/>
                <w:color w:val="auto"/>
              </w:rPr>
            </w:pPr>
            <w:r>
              <w:rPr>
                <w:rFonts w:ascii="Arial" w:cs="Arial" w:eastAsia="Arial" w:hAnsi="Arial"/>
                <w:sz w:val="14"/>
                <w:szCs w:val="14"/>
                <w:color w:val="auto"/>
                <w:w w:val="96"/>
              </w:rPr>
              <w:t>Three Months Ended</w:t>
            </w:r>
          </w:p>
        </w:tc>
        <w:tc>
          <w:tcPr>
            <w:tcW w:w="0" w:type="dxa"/>
            <w:vAlign w:val="bottom"/>
          </w:tcPr>
          <w:p>
            <w:pPr>
              <w:spacing w:after="0"/>
              <w:rPr>
                <w:sz w:val="1"/>
                <w:szCs w:val="1"/>
                <w:color w:val="auto"/>
              </w:rPr>
            </w:pPr>
          </w:p>
        </w:tc>
      </w:tr>
      <w:tr>
        <w:trPr>
          <w:trHeight w:val="159"/>
        </w:trPr>
        <w:tc>
          <w:tcPr>
            <w:tcW w:w="9360" w:type="dxa"/>
            <w:vAlign w:val="bottom"/>
            <w:gridSpan w:val="2"/>
            <w:vMerge w:val="restart"/>
          </w:tcPr>
          <w:p>
            <w:pPr>
              <w:spacing w:after="0"/>
              <w:rPr>
                <w:sz w:val="20"/>
                <w:szCs w:val="20"/>
                <w:color w:val="auto"/>
              </w:rPr>
            </w:pPr>
            <w:r>
              <w:rPr>
                <w:rFonts w:ascii="Arial" w:cs="Arial" w:eastAsia="Arial" w:hAnsi="Arial"/>
                <w:sz w:val="14"/>
                <w:szCs w:val="14"/>
                <w:color w:val="auto"/>
              </w:rPr>
              <w:t>(in millions, except per share data)</w:t>
            </w:r>
          </w:p>
        </w:tc>
        <w:tc>
          <w:tcPr>
            <w:tcW w:w="4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36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jc w:val="right"/>
              <w:ind w:right="315"/>
              <w:spacing w:after="0" w:line="142" w:lineRule="exact"/>
              <w:rPr>
                <w:sz w:val="20"/>
                <w:szCs w:val="20"/>
                <w:color w:val="auto"/>
              </w:rPr>
            </w:pPr>
            <w:r>
              <w:rPr>
                <w:rFonts w:ascii="Arial" w:cs="Arial" w:eastAsia="Arial" w:hAnsi="Arial"/>
                <w:sz w:val="14"/>
                <w:szCs w:val="14"/>
                <w:color w:val="auto"/>
              </w:rPr>
              <w:t>2012</w:t>
            </w:r>
          </w:p>
        </w:tc>
        <w:tc>
          <w:tcPr>
            <w:tcW w:w="280" w:type="dxa"/>
            <w:vAlign w:val="bottom"/>
          </w:tcPr>
          <w:p>
            <w:pPr>
              <w:spacing w:after="0"/>
              <w:rPr>
                <w:sz w:val="12"/>
                <w:szCs w:val="12"/>
                <w:color w:val="auto"/>
              </w:rPr>
            </w:pPr>
          </w:p>
        </w:tc>
        <w:tc>
          <w:tcPr>
            <w:tcW w:w="600" w:type="dxa"/>
            <w:vAlign w:val="bottom"/>
          </w:tcPr>
          <w:p>
            <w:pPr>
              <w:jc w:val="right"/>
              <w:ind w:right="17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w w:val="83"/>
              </w:rPr>
              <w:t>14,878</w:t>
            </w:r>
          </w:p>
        </w:tc>
        <w:tc>
          <w:tcPr>
            <w:tcW w:w="2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w w:val="87"/>
              </w:rPr>
              <w:t>12,128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Costs and Expenses:</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w w:val="83"/>
              </w:rPr>
              <w:t>10,190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1,529</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color w:val="auto"/>
              </w:rPr>
              <w:t>401</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color w:val="auto"/>
                <w:w w:val="83"/>
              </w:rPr>
              <w:t>12,120</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9,904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Operating income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2,758</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Income (Expense):</w:t>
            </w:r>
          </w:p>
        </w:tc>
        <w:tc>
          <w:tcPr>
            <w:tcW w:w="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Interest expense</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(640)</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420"/>
              <w:spacing w:after="0"/>
              <w:rPr>
                <w:sz w:val="20"/>
                <w:szCs w:val="20"/>
                <w:color w:val="auto"/>
              </w:rPr>
            </w:pPr>
            <w:r>
              <w:rPr>
                <w:rFonts w:ascii="Arial" w:cs="Arial" w:eastAsia="Arial" w:hAnsi="Arial"/>
                <w:sz w:val="18"/>
                <w:szCs w:val="18"/>
                <w:color w:val="auto"/>
              </w:rPr>
              <w:t>Investment income (loss), net</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Equity in net income (losses) of investees, net</w:t>
            </w:r>
          </w:p>
        </w:tc>
        <w:tc>
          <w:tcPr>
            <w:tcW w:w="4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color w:val="auto"/>
              </w:rPr>
              <w:t>3</w:t>
            </w:r>
          </w:p>
        </w:tc>
        <w:tc>
          <w:tcPr>
            <w:tcW w:w="280" w:type="dxa"/>
            <w:vAlign w:val="bottom"/>
            <w:shd w:val="clear" w:color="auto" w:fill="E5E5E5"/>
          </w:tcPr>
          <w:p>
            <w:pPr>
              <w:spacing w:after="0"/>
              <w:rPr>
                <w:sz w:val="18"/>
                <w:szCs w:val="18"/>
                <w:color w:val="auto"/>
              </w:rPr>
            </w:pPr>
          </w:p>
        </w:tc>
        <w:tc>
          <w:tcPr>
            <w:tcW w:w="6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 income (expense), net</w:t>
            </w:r>
          </w:p>
        </w:tc>
        <w:tc>
          <w:tcPr>
            <w:tcW w:w="4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color w:val="auto"/>
              </w:rPr>
              <w:t>(16)</w:t>
            </w:r>
          </w:p>
        </w:tc>
        <w:tc>
          <w:tcPr>
            <w:tcW w:w="2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(561)</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2,197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(750)</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Net income</w:t>
            </w:r>
          </w:p>
        </w:tc>
        <w:tc>
          <w:tcPr>
            <w:tcW w:w="440" w:type="dxa"/>
            <w:vAlign w:val="bottom"/>
          </w:tcPr>
          <w:p>
            <w:pPr>
              <w:spacing w:after="0"/>
              <w:rPr>
                <w:sz w:val="18"/>
                <w:szCs w:val="18"/>
                <w:color w:val="auto"/>
              </w:rPr>
            </w:pPr>
          </w:p>
        </w:tc>
        <w:tc>
          <w:tcPr>
            <w:tcW w:w="740" w:type="dxa"/>
            <w:vAlign w:val="bottom"/>
          </w:tcPr>
          <w:p>
            <w:pPr>
              <w:jc w:val="right"/>
              <w:ind w:right="175"/>
              <w:spacing w:after="0"/>
              <w:rPr>
                <w:sz w:val="20"/>
                <w:szCs w:val="20"/>
                <w:color w:val="auto"/>
              </w:rPr>
            </w:pPr>
            <w:r>
              <w:rPr>
                <w:rFonts w:ascii="Arial" w:cs="Arial" w:eastAsia="Arial" w:hAnsi="Arial"/>
                <w:sz w:val="18"/>
                <w:szCs w:val="18"/>
                <w:color w:val="auto"/>
              </w:rPr>
              <w:t>1,447</w:t>
            </w:r>
          </w:p>
        </w:tc>
        <w:tc>
          <w:tcPr>
            <w:tcW w:w="28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4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color w:val="auto"/>
              </w:rPr>
              <w:t>(223)</w:t>
            </w:r>
          </w:p>
        </w:tc>
        <w:tc>
          <w:tcPr>
            <w:tcW w:w="28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3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tcPr>
          <w:p>
            <w:pPr>
              <w:jc w:val="right"/>
              <w:ind w:right="175"/>
              <w:spacing w:after="0"/>
              <w:rPr>
                <w:sz w:val="20"/>
                <w:szCs w:val="20"/>
                <w:color w:val="auto"/>
              </w:rPr>
            </w:pPr>
            <w:r>
              <w:rPr>
                <w:rFonts w:ascii="Arial" w:cs="Arial" w:eastAsia="Arial" w:hAnsi="Arial"/>
                <w:sz w:val="18"/>
                <w:szCs w:val="18"/>
                <w:b w:val="1"/>
                <w:bCs w:val="1"/>
                <w:color w:val="auto"/>
              </w:rPr>
              <w:t>1,224</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943</w:t>
            </w:r>
          </w:p>
        </w:tc>
        <w:tc>
          <w:tcPr>
            <w:tcW w:w="0" w:type="dxa"/>
            <w:vAlign w:val="bottom"/>
          </w:tcPr>
          <w:p>
            <w:pPr>
              <w:spacing w:after="0"/>
              <w:rPr>
                <w:sz w:val="1"/>
                <w:szCs w:val="1"/>
                <w:color w:val="auto"/>
              </w:rPr>
            </w:pPr>
          </w:p>
        </w:tc>
      </w:tr>
      <w:tr>
        <w:trPr>
          <w:trHeight w:val="95"/>
        </w:trPr>
        <w:tc>
          <w:tcPr>
            <w:tcW w:w="20" w:type="dxa"/>
            <w:vAlign w:val="bottom"/>
            <w:vMerge w:val="restart"/>
          </w:tcPr>
          <w:p>
            <w:pPr>
              <w:spacing w:after="0"/>
              <w:rPr>
                <w:sz w:val="8"/>
                <w:szCs w:val="8"/>
                <w:color w:val="auto"/>
              </w:rPr>
            </w:pPr>
          </w:p>
        </w:tc>
        <w:tc>
          <w:tcPr>
            <w:tcW w:w="9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Basic earnings per common share attributable to Comcast Corporation shareholders</w:t>
            </w: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shd w:val="clear" w:color="auto" w:fill="E5E5E5"/>
          </w:tcPr>
          <w:p>
            <w:pPr>
              <w:jc w:val="right"/>
              <w:ind w:right="175"/>
              <w:spacing w:after="0"/>
              <w:rPr>
                <w:sz w:val="20"/>
                <w:szCs w:val="20"/>
                <w:color w:val="auto"/>
              </w:rPr>
            </w:pPr>
            <w:r>
              <w:rPr>
                <w:rFonts w:ascii="Arial" w:cs="Arial" w:eastAsia="Arial" w:hAnsi="Arial"/>
                <w:sz w:val="18"/>
                <w:szCs w:val="18"/>
                <w:b w:val="1"/>
                <w:bCs w:val="1"/>
                <w:color w:val="auto"/>
              </w:rPr>
              <w:t>0.45</w:t>
            </w:r>
          </w:p>
        </w:tc>
        <w:tc>
          <w:tcPr>
            <w:tcW w:w="280" w:type="dxa"/>
            <w:vAlign w:val="bottom"/>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b w:val="1"/>
                <w:bCs w:val="1"/>
                <w:color w:val="auto"/>
              </w:rPr>
              <w:t>Diluted earnings per common share attributable to Comcast Corporation shareholders</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Pr>
          <w:p>
            <w:pPr>
              <w:jc w:val="right"/>
              <w:ind w:right="175"/>
              <w:spacing w:after="0"/>
              <w:rPr>
                <w:sz w:val="20"/>
                <w:szCs w:val="20"/>
                <w:color w:val="auto"/>
              </w:rPr>
            </w:pPr>
            <w:r>
              <w:rPr>
                <w:rFonts w:ascii="Arial" w:cs="Arial" w:eastAsia="Arial" w:hAnsi="Arial"/>
                <w:sz w:val="18"/>
                <w:szCs w:val="18"/>
                <w:b w:val="1"/>
                <w:bCs w:val="1"/>
                <w:color w:val="auto"/>
              </w:rPr>
              <w:t>0.45</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Pr>
          <w:p>
            <w:pPr>
              <w:jc w:val="right"/>
              <w:ind w:right="13"/>
              <w:spacing w:after="0"/>
              <w:rPr>
                <w:sz w:val="20"/>
                <w:szCs w:val="20"/>
                <w:color w:val="auto"/>
              </w:rPr>
            </w:pPr>
            <w:r>
              <w:rPr>
                <w:rFonts w:ascii="Arial" w:cs="Arial" w:eastAsia="Arial" w:hAnsi="Arial"/>
                <w:sz w:val="18"/>
                <w:szCs w:val="18"/>
                <w:b w:val="1"/>
                <w:bCs w:val="1"/>
                <w:color w:val="auto"/>
              </w:rPr>
              <w:t>0.34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Dividends declared per common share attributable to Comcast Corporation shareholders</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75"/>
              <w:spacing w:after="0"/>
              <w:rPr>
                <w:sz w:val="20"/>
                <w:szCs w:val="20"/>
                <w:color w:val="auto"/>
              </w:rPr>
            </w:pPr>
            <w:r>
              <w:rPr>
                <w:rFonts w:ascii="Arial" w:cs="Arial" w:eastAsia="Arial" w:hAnsi="Arial"/>
                <w:sz w:val="18"/>
                <w:szCs w:val="18"/>
                <w:b w:val="1"/>
                <w:bCs w:val="1"/>
                <w:color w:val="auto"/>
                <w:w w:val="83"/>
              </w:rPr>
              <w:t>0.1625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7"/>
              </w:rPr>
              <w:t>0.1125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14"/>
                <w:szCs w:val="14"/>
                <w:color w:val="auto"/>
              </w:rPr>
            </w:pPr>
          </w:p>
        </w:tc>
        <w:tc>
          <w:tcPr>
            <w:tcW w:w="2400" w:type="dxa"/>
            <w:vAlign w:val="bottom"/>
            <w:gridSpan w:val="3"/>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0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74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20" w:type="dxa"/>
            <w:vAlign w:val="bottom"/>
            <w:tcBorders>
              <w:bottom w:val="single" w:sz="8" w:color="auto"/>
            </w:tcBorders>
            <w:vMerge w:val="continue"/>
          </w:tcPr>
          <w:p>
            <w:pPr>
              <w:spacing w:after="0"/>
              <w:rPr>
                <w:sz w:val="12"/>
                <w:szCs w:val="12"/>
                <w:color w:val="auto"/>
              </w:rPr>
            </w:pPr>
          </w:p>
        </w:tc>
        <w:tc>
          <w:tcPr>
            <w:tcW w:w="174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Net income</w:t>
            </w:r>
          </w:p>
        </w:tc>
        <w:tc>
          <w:tcPr>
            <w:tcW w:w="17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$ 1,447</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1,039</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Unrealized gains (losses) on marketable securities, net of deferred taxes of $— and $(3)</w:t>
            </w:r>
          </w:p>
        </w:tc>
        <w:tc>
          <w:tcPr>
            <w:tcW w:w="1740" w:type="dxa"/>
            <w:vAlign w:val="bottom"/>
          </w:tcPr>
          <w:p>
            <w:pPr>
              <w:jc w:val="right"/>
              <w:ind w:right="437"/>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Deferred gains (losses) on cash flow hedges, net of deferred taxes of $(11) and $(6)</w:t>
            </w:r>
          </w:p>
        </w:tc>
        <w:tc>
          <w:tcPr>
            <w:tcW w:w="17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20</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Amounts reclassified to net income:</w:t>
            </w: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Realized (gains) losses on marketable securities, net of deferred taxes of $— and $4</w:t>
            </w:r>
          </w:p>
        </w:tc>
        <w:tc>
          <w:tcPr>
            <w:tcW w:w="17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9020" w:type="dxa"/>
            <w:vAlign w:val="bottom"/>
          </w:tcPr>
          <w:p>
            <w:pPr>
              <w:ind w:left="440"/>
              <w:spacing w:after="0"/>
              <w:rPr>
                <w:sz w:val="20"/>
                <w:szCs w:val="20"/>
                <w:color w:val="auto"/>
              </w:rPr>
            </w:pPr>
            <w:r>
              <w:rPr>
                <w:rFonts w:ascii="Arial" w:cs="Arial" w:eastAsia="Arial" w:hAnsi="Arial"/>
                <w:sz w:val="18"/>
                <w:szCs w:val="18"/>
                <w:color w:val="auto"/>
              </w:rPr>
              <w:t>Realized (gains) losses on cash flow hedges, net of deferred taxes of $9 and $7</w:t>
            </w:r>
          </w:p>
        </w:tc>
        <w:tc>
          <w:tcPr>
            <w:tcW w:w="1740" w:type="dxa"/>
            <w:vAlign w:val="bottom"/>
          </w:tcPr>
          <w:p>
            <w:pPr>
              <w:jc w:val="right"/>
              <w:ind w:right="377"/>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Employee benefit obligations, net of deferred taxes of $— and $(2)</w:t>
            </w:r>
          </w:p>
        </w:tc>
        <w:tc>
          <w:tcPr>
            <w:tcW w:w="174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(2)</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Currency translation adjustments, net of deferred taxes of $— and $—</w:t>
            </w:r>
          </w:p>
        </w:tc>
        <w:tc>
          <w:tcPr>
            <w:tcW w:w="17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9020" w:type="dxa"/>
            <w:vAlign w:val="bottom"/>
            <w:shd w:val="clear" w:color="auto" w:fill="E5E5E5"/>
          </w:tcPr>
          <w:p>
            <w:pPr>
              <w:spacing w:after="0"/>
              <w:rPr>
                <w:sz w:val="20"/>
                <w:szCs w:val="20"/>
                <w:color w:val="auto"/>
              </w:rPr>
            </w:pPr>
            <w:r>
              <w:rPr>
                <w:rFonts w:ascii="Arial" w:cs="Arial" w:eastAsia="Arial" w:hAnsi="Arial"/>
                <w:sz w:val="18"/>
                <w:szCs w:val="18"/>
                <w:color w:val="auto"/>
              </w:rPr>
              <w:t>Comprehensive income</w:t>
            </w:r>
          </w:p>
        </w:tc>
        <w:tc>
          <w:tcPr>
            <w:tcW w:w="174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1,451</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93"/>
              </w:rPr>
              <w:t>1,043</w:t>
            </w:r>
          </w:p>
        </w:tc>
        <w:tc>
          <w:tcPr>
            <w:tcW w:w="0" w:type="dxa"/>
            <w:vAlign w:val="bottom"/>
          </w:tcPr>
          <w:p>
            <w:pPr>
              <w:spacing w:after="0"/>
              <w:rPr>
                <w:sz w:val="1"/>
                <w:szCs w:val="1"/>
                <w:color w:val="auto"/>
              </w:rPr>
            </w:pPr>
          </w:p>
        </w:tc>
      </w:tr>
      <w:tr>
        <w:trPr>
          <w:trHeight w:val="216"/>
        </w:trPr>
        <w:tc>
          <w:tcPr>
            <w:tcW w:w="9020" w:type="dxa"/>
            <w:vAlign w:val="bottom"/>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1740" w:type="dxa"/>
            <w:vAlign w:val="bottom"/>
          </w:tcPr>
          <w:p>
            <w:pPr>
              <w:jc w:val="right"/>
              <w:ind w:right="377"/>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90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comprehensive (income) loss attributable to noncontrolling interests</w:t>
            </w:r>
          </w:p>
        </w:tc>
        <w:tc>
          <w:tcPr>
            <w:tcW w:w="174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9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Comprehensive income attributable to Comcast Corporation</w:t>
            </w:r>
          </w:p>
        </w:tc>
        <w:tc>
          <w:tcPr>
            <w:tcW w:w="174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$ 1,228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945</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2180" w:type="dxa"/>
            <w:vAlign w:val="bottom"/>
            <w:gridSpan w:val="2"/>
          </w:tcPr>
          <w:p>
            <w:pPr>
              <w:jc w:val="right"/>
              <w:ind w:right="273"/>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vMerge w:val="continue"/>
          </w:tcPr>
          <w:p>
            <w:pPr>
              <w:spacing w:after="0"/>
              <w:rPr>
                <w:sz w:val="12"/>
                <w:szCs w:val="12"/>
                <w:color w:val="auto"/>
              </w:rPr>
            </w:pPr>
          </w:p>
        </w:tc>
        <w:tc>
          <w:tcPr>
            <w:tcW w:w="1520" w:type="dxa"/>
            <w:vAlign w:val="bottom"/>
            <w:tcBorders>
              <w:bottom w:val="single" w:sz="8" w:color="auto"/>
            </w:tcBorders>
          </w:tcPr>
          <w:p>
            <w:pPr>
              <w:jc w:val="right"/>
              <w:ind w:right="595"/>
              <w:spacing w:after="0" w:line="142" w:lineRule="exact"/>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jc w:val="right"/>
              <w:ind w:right="173"/>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$ 4,393</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$ 3,468</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Capital expenditures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(1,174)</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Cash paid for intangible assets</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(184)</w:t>
            </w:r>
          </w:p>
        </w:tc>
        <w:tc>
          <w:tcPr>
            <w:tcW w:w="66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Acquisitions, net of cash acquired</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(5,658)</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Proceeds from sales of businesses and investments</w:t>
            </w:r>
          </w:p>
        </w:tc>
        <w:tc>
          <w:tcPr>
            <w:tcW w:w="1520" w:type="dxa"/>
            <w:vAlign w:val="bottom"/>
          </w:tcPr>
          <w:p>
            <w:pPr>
              <w:jc w:val="right"/>
              <w:ind w:right="455"/>
              <w:spacing w:after="0"/>
              <w:rPr>
                <w:sz w:val="20"/>
                <w:szCs w:val="20"/>
                <w:color w:val="auto"/>
              </w:rPr>
            </w:pPr>
            <w:r>
              <w:rPr>
                <w:rFonts w:ascii="Arial" w:cs="Arial" w:eastAsia="Arial" w:hAnsi="Arial"/>
                <w:sz w:val="18"/>
                <w:szCs w:val="18"/>
                <w:color w:val="auto"/>
              </w:rPr>
              <w:t>35</w:t>
            </w: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Purchases of investments</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(62)</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36</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Net cash provided by (used in) investing activities</w:t>
            </w:r>
          </w:p>
        </w:tc>
        <w:tc>
          <w:tcPr>
            <w:tcW w:w="1520" w:type="dxa"/>
            <w:vAlign w:val="bottom"/>
            <w:tcBorders>
              <w:bottom w:val="single" w:sz="8" w:color="auto"/>
            </w:tcBorders>
            <w:shd w:val="clear" w:color="auto" w:fill="E5E5E5"/>
          </w:tcPr>
          <w:p>
            <w:pPr>
              <w:jc w:val="right"/>
              <w:ind w:right="395"/>
              <w:spacing w:after="0"/>
              <w:rPr>
                <w:sz w:val="20"/>
                <w:szCs w:val="20"/>
                <w:color w:val="auto"/>
              </w:rPr>
            </w:pPr>
            <w:r>
              <w:rPr>
                <w:rFonts w:ascii="Arial" w:cs="Arial" w:eastAsia="Arial" w:hAnsi="Arial"/>
                <w:sz w:val="18"/>
                <w:szCs w:val="18"/>
                <w:b w:val="1"/>
                <w:bCs w:val="1"/>
                <w:color w:val="auto"/>
              </w:rPr>
              <w:t>(1,349)</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(6,887)</w:t>
            </w:r>
          </w:p>
        </w:tc>
        <w:tc>
          <w:tcPr>
            <w:tcW w:w="0" w:type="dxa"/>
            <w:vAlign w:val="bottom"/>
          </w:tcPr>
          <w:p>
            <w:pPr>
              <w:spacing w:after="0"/>
              <w:rPr>
                <w:sz w:val="1"/>
                <w:szCs w:val="1"/>
                <w:color w:val="auto"/>
              </w:rPr>
            </w:pPr>
          </w:p>
        </w:tc>
      </w:tr>
      <w:tr>
        <w:trPr>
          <w:trHeight w:val="210"/>
        </w:trPr>
        <w:tc>
          <w:tcPr>
            <w:tcW w:w="924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5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Proceeds from (repayments of) short-term borrowings, net</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(407)</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Repurchases and repayments of debt</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(1,125)</w:t>
            </w:r>
          </w:p>
        </w:tc>
        <w:tc>
          <w:tcPr>
            <w:tcW w:w="660" w:type="dxa"/>
            <w:vAlign w:val="bottom"/>
          </w:tcPr>
          <w:p>
            <w:pPr>
              <w:jc w:val="right"/>
              <w:spacing w:after="0"/>
              <w:rPr>
                <w:sz w:val="20"/>
                <w:szCs w:val="20"/>
                <w:color w:val="auto"/>
              </w:rPr>
            </w:pPr>
            <w:r>
              <w:rPr>
                <w:rFonts w:ascii="Arial" w:cs="Arial" w:eastAsia="Arial" w:hAnsi="Arial"/>
                <w:sz w:val="18"/>
                <w:szCs w:val="18"/>
                <w:color w:val="auto"/>
              </w:rPr>
              <w:t>(1,759)</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Repurchases and retirements of common stock</w:t>
            </w:r>
          </w:p>
        </w:tc>
        <w:tc>
          <w:tcPr>
            <w:tcW w:w="1520" w:type="dxa"/>
            <w:vAlign w:val="bottom"/>
            <w:shd w:val="clear" w:color="auto" w:fill="E5E5E5"/>
          </w:tcPr>
          <w:p>
            <w:pPr>
              <w:jc w:val="right"/>
              <w:ind w:right="395"/>
              <w:spacing w:after="0"/>
              <w:rPr>
                <w:sz w:val="20"/>
                <w:szCs w:val="20"/>
                <w:color w:val="auto"/>
              </w:rPr>
            </w:pPr>
            <w:r>
              <w:rPr>
                <w:rFonts w:ascii="Arial" w:cs="Arial" w:eastAsia="Arial" w:hAnsi="Arial"/>
                <w:sz w:val="18"/>
                <w:szCs w:val="18"/>
                <w:color w:val="auto"/>
              </w:rPr>
              <w:t>(750)</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Dividends paid</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(304)</w:t>
            </w:r>
          </w:p>
        </w:tc>
        <w:tc>
          <w:tcPr>
            <w:tcW w:w="66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9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Issuances of common stock</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150</w:t>
            </w:r>
          </w:p>
        </w:tc>
        <w:tc>
          <w:tcPr>
            <w:tcW w:w="66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9240" w:type="dxa"/>
            <w:vAlign w:val="bottom"/>
          </w:tcPr>
          <w:p>
            <w:pPr>
              <w:ind w:left="440"/>
              <w:spacing w:after="0"/>
              <w:rPr>
                <w:sz w:val="20"/>
                <w:szCs w:val="20"/>
                <w:color w:val="auto"/>
              </w:rPr>
            </w:pPr>
            <w:r>
              <w:rPr>
                <w:rFonts w:ascii="Arial" w:cs="Arial" w:eastAsia="Arial" w:hAnsi="Arial"/>
                <w:sz w:val="18"/>
                <w:szCs w:val="18"/>
                <w:color w:val="auto"/>
              </w:rPr>
              <w:t>Distributions to noncontrolling interests</w:t>
            </w:r>
          </w:p>
        </w:tc>
        <w:tc>
          <w:tcPr>
            <w:tcW w:w="1520" w:type="dxa"/>
            <w:vAlign w:val="bottom"/>
          </w:tcPr>
          <w:p>
            <w:pPr>
              <w:jc w:val="right"/>
              <w:ind w:right="395"/>
              <w:spacing w:after="0"/>
              <w:rPr>
                <w:sz w:val="20"/>
                <w:szCs w:val="20"/>
                <w:color w:val="auto"/>
              </w:rPr>
            </w:pPr>
            <w:r>
              <w:rPr>
                <w:rFonts w:ascii="Arial" w:cs="Arial" w:eastAsia="Arial" w:hAnsi="Arial"/>
                <w:sz w:val="18"/>
                <w:szCs w:val="18"/>
                <w:color w:val="auto"/>
              </w:rPr>
              <w:t>(58)</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color w:val="auto"/>
              </w:rPr>
              <w:t>37</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0"/>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520" w:type="dxa"/>
            <w:vAlign w:val="bottom"/>
            <w:tcBorders>
              <w:bottom w:val="single" w:sz="8" w:color="auto"/>
            </w:tcBorders>
          </w:tcPr>
          <w:p>
            <w:pPr>
              <w:jc w:val="right"/>
              <w:ind w:right="395"/>
              <w:spacing w:after="0"/>
              <w:rPr>
                <w:sz w:val="20"/>
                <w:szCs w:val="20"/>
                <w:color w:val="auto"/>
              </w:rPr>
            </w:pPr>
            <w:r>
              <w:rPr>
                <w:rFonts w:ascii="Arial" w:cs="Arial" w:eastAsia="Arial" w:hAnsi="Arial"/>
                <w:sz w:val="18"/>
                <w:szCs w:val="18"/>
                <w:b w:val="1"/>
                <w:bCs w:val="1"/>
                <w:color w:val="auto"/>
              </w:rPr>
              <w:t>(2,457)</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(743)</w:t>
            </w:r>
          </w:p>
        </w:tc>
        <w:tc>
          <w:tcPr>
            <w:tcW w:w="0" w:type="dxa"/>
            <w:vAlign w:val="bottom"/>
          </w:tcPr>
          <w:p>
            <w:pPr>
              <w:spacing w:after="0"/>
              <w:rPr>
                <w:sz w:val="1"/>
                <w:szCs w:val="1"/>
                <w:color w:val="auto"/>
              </w:rPr>
            </w:pPr>
          </w:p>
        </w:tc>
      </w:tr>
      <w:tr>
        <w:trPr>
          <w:trHeight w:val="210"/>
        </w:trPr>
        <w:tc>
          <w:tcPr>
            <w:tcW w:w="9240" w:type="dxa"/>
            <w:vAlign w:val="bottom"/>
            <w:shd w:val="clear" w:color="auto" w:fill="E5E5E5"/>
          </w:tcPr>
          <w:p>
            <w:pPr>
              <w:spacing w:after="0"/>
              <w:rPr>
                <w:sz w:val="20"/>
                <w:szCs w:val="20"/>
                <w:color w:val="auto"/>
              </w:rPr>
            </w:pPr>
            <w:r>
              <w:rPr>
                <w:rFonts w:ascii="Arial" w:cs="Arial" w:eastAsia="Arial" w:hAnsi="Arial"/>
                <w:sz w:val="18"/>
                <w:szCs w:val="18"/>
                <w:color w:val="auto"/>
              </w:rPr>
              <w:t>Increase (decrease) in cash and cash equivalents</w:t>
            </w:r>
          </w:p>
        </w:tc>
        <w:tc>
          <w:tcPr>
            <w:tcW w:w="1520" w:type="dxa"/>
            <w:vAlign w:val="bottom"/>
            <w:shd w:val="clear" w:color="auto" w:fill="E5E5E5"/>
          </w:tcPr>
          <w:p>
            <w:pPr>
              <w:jc w:val="right"/>
              <w:ind w:right="455"/>
              <w:spacing w:after="0"/>
              <w:rPr>
                <w:sz w:val="20"/>
                <w:szCs w:val="20"/>
                <w:color w:val="auto"/>
              </w:rPr>
            </w:pPr>
            <w:r>
              <w:rPr>
                <w:rFonts w:ascii="Arial" w:cs="Arial" w:eastAsia="Arial" w:hAnsi="Arial"/>
                <w:sz w:val="18"/>
                <w:szCs w:val="18"/>
                <w:color w:val="auto"/>
              </w:rPr>
              <w:t>587</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(4,162)</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period</w:t>
            </w:r>
          </w:p>
        </w:tc>
        <w:tc>
          <w:tcPr>
            <w:tcW w:w="1520" w:type="dxa"/>
            <w:vAlign w:val="bottom"/>
            <w:tcBorders>
              <w:bottom w:val="single" w:sz="8" w:color="auto"/>
            </w:tcBorders>
          </w:tcPr>
          <w:p>
            <w:pPr>
              <w:jc w:val="right"/>
              <w:ind w:right="455"/>
              <w:spacing w:after="0"/>
              <w:rPr>
                <w:sz w:val="20"/>
                <w:szCs w:val="20"/>
                <w:color w:val="auto"/>
              </w:rPr>
            </w:pPr>
            <w:r>
              <w:rPr>
                <w:rFonts w:ascii="Arial" w:cs="Arial" w:eastAsia="Arial" w:hAnsi="Arial"/>
                <w:sz w:val="18"/>
                <w:szCs w:val="18"/>
                <w:color w:val="auto"/>
              </w:rPr>
              <w:t>1,620</w:t>
            </w:r>
          </w:p>
        </w:tc>
        <w:tc>
          <w:tcPr>
            <w:tcW w:w="6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5,984</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520" w:type="dxa"/>
            <w:vAlign w:val="bottom"/>
            <w:tcBorders>
              <w:bottom w:val="single" w:sz="8" w:color="auto"/>
            </w:tcBorders>
            <w:shd w:val="clear" w:color="auto" w:fill="E5E5E5"/>
          </w:tcPr>
          <w:p>
            <w:pPr>
              <w:jc w:val="right"/>
              <w:ind w:right="455"/>
              <w:spacing w:after="0"/>
              <w:rPr>
                <w:sz w:val="20"/>
                <w:szCs w:val="20"/>
                <w:color w:val="auto"/>
              </w:rPr>
            </w:pPr>
            <w:r>
              <w:rPr>
                <w:rFonts w:ascii="Arial" w:cs="Arial" w:eastAsia="Arial" w:hAnsi="Arial"/>
                <w:sz w:val="18"/>
                <w:szCs w:val="18"/>
                <w:b w:val="1"/>
                <w:bCs w:val="1"/>
                <w:color w:val="auto"/>
              </w:rPr>
              <w:t>$ 2,207</w:t>
            </w:r>
          </w:p>
        </w:tc>
        <w:tc>
          <w:tcPr>
            <w:tcW w:w="66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$ 1,822</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Equity</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tcPr>
          <w:p>
            <w:pPr>
              <w:spacing w:after="0"/>
              <w:rPr>
                <w:sz w:val="14"/>
                <w:szCs w:val="14"/>
                <w:color w:val="auto"/>
              </w:rPr>
            </w:pPr>
          </w:p>
        </w:tc>
        <w:tc>
          <w:tcPr>
            <w:tcW w:w="1000" w:type="dxa"/>
            <w:vAlign w:val="bottom"/>
            <w:gridSpan w:val="3"/>
          </w:tcPr>
          <w:p>
            <w:pPr>
              <w:ind w:left="220"/>
              <w:spacing w:after="0"/>
              <w:rPr>
                <w:sz w:val="20"/>
                <w:szCs w:val="20"/>
                <w:color w:val="auto"/>
              </w:rPr>
            </w:pPr>
            <w:r>
              <w:rPr>
                <w:rFonts w:ascii="Arial" w:cs="Arial" w:eastAsia="Arial" w:hAnsi="Arial"/>
                <w:sz w:val="14"/>
                <w:szCs w:val="14"/>
                <w:color w:val="auto"/>
                <w:w w:val="95"/>
              </w:rPr>
              <w:t>Redeemable</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gridSpan w:val="2"/>
            <w:vMerge w:val="restart"/>
          </w:tcPr>
          <w:p>
            <w:pPr>
              <w:jc w:val="right"/>
              <w:spacing w:after="0"/>
              <w:rPr>
                <w:sz w:val="20"/>
                <w:szCs w:val="20"/>
                <w:color w:val="auto"/>
              </w:rPr>
            </w:pPr>
            <w:r>
              <w:rPr>
                <w:rFonts w:ascii="Arial" w:cs="Arial" w:eastAsia="Arial" w:hAnsi="Arial"/>
                <w:sz w:val="14"/>
                <w:szCs w:val="14"/>
                <w:color w:val="auto"/>
                <w:w w:val="91"/>
              </w:rPr>
              <w:t>Common Stock</w:t>
            </w:r>
          </w:p>
        </w:tc>
        <w:tc>
          <w:tcPr>
            <w:tcW w:w="4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left="1"/>
              <w:spacing w:after="0"/>
              <w:rPr>
                <w:sz w:val="20"/>
                <w:szCs w:val="20"/>
                <w:color w:val="auto"/>
              </w:rPr>
            </w:pPr>
            <w:r>
              <w:rPr>
                <w:rFonts w:ascii="Arial" w:cs="Arial" w:eastAsia="Arial" w:hAnsi="Arial"/>
                <w:sz w:val="14"/>
                <w:szCs w:val="14"/>
                <w:color w:val="auto"/>
                <w:w w:val="88"/>
              </w:rPr>
              <w:t>Accumulated</w:t>
            </w: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9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gridSpan w:val="2"/>
          </w:tcPr>
          <w:p>
            <w:pPr>
              <w:jc w:val="center"/>
              <w:ind w:right="220"/>
              <w:spacing w:after="0" w:line="129" w:lineRule="exact"/>
              <w:rPr>
                <w:sz w:val="20"/>
                <w:szCs w:val="20"/>
                <w:color w:val="auto"/>
              </w:rPr>
            </w:pPr>
            <w:r>
              <w:rPr>
                <w:rFonts w:ascii="Arial" w:cs="Arial" w:eastAsia="Arial" w:hAnsi="Arial"/>
                <w:sz w:val="14"/>
                <w:szCs w:val="14"/>
                <w:color w:val="auto"/>
                <w:w w:val="92"/>
              </w:rPr>
              <w:t>Non-</w:t>
            </w:r>
          </w:p>
        </w:tc>
        <w:tc>
          <w:tcPr>
            <w:tcW w:w="260" w:type="dxa"/>
            <w:vAlign w:val="bottom"/>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vMerge w:val="continue"/>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20" w:type="dxa"/>
            <w:vAlign w:val="bottom"/>
            <w:gridSpan w:val="2"/>
          </w:tcPr>
          <w:p>
            <w:pPr>
              <w:jc w:val="right"/>
              <w:ind w:right="100"/>
              <w:spacing w:after="0" w:line="129" w:lineRule="exact"/>
              <w:rPr>
                <w:sz w:val="20"/>
                <w:szCs w:val="20"/>
                <w:color w:val="auto"/>
              </w:rPr>
            </w:pPr>
            <w:r>
              <w:rPr>
                <w:rFonts w:ascii="Arial" w:cs="Arial" w:eastAsia="Arial" w:hAnsi="Arial"/>
                <w:sz w:val="14"/>
                <w:szCs w:val="14"/>
                <w:color w:val="auto"/>
              </w:rPr>
              <w:t>Additional</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center"/>
              <w:spacing w:after="0" w:line="129" w:lineRule="exact"/>
              <w:rPr>
                <w:sz w:val="20"/>
                <w:szCs w:val="20"/>
                <w:color w:val="auto"/>
              </w:rPr>
            </w:pPr>
            <w:r>
              <w:rPr>
                <w:rFonts w:ascii="Arial" w:cs="Arial" w:eastAsia="Arial" w:hAnsi="Arial"/>
                <w:sz w:val="14"/>
                <w:szCs w:val="14"/>
                <w:color w:val="auto"/>
                <w:w w:val="86"/>
              </w:rPr>
              <w:t>Treasury</w:t>
            </w:r>
          </w:p>
        </w:tc>
        <w:tc>
          <w:tcPr>
            <w:tcW w:w="340" w:type="dxa"/>
            <w:vAlign w:val="bottom"/>
          </w:tcPr>
          <w:p>
            <w:pPr>
              <w:spacing w:after="0"/>
              <w:rPr>
                <w:sz w:val="11"/>
                <w:szCs w:val="11"/>
                <w:color w:val="auto"/>
              </w:rPr>
            </w:pPr>
          </w:p>
        </w:tc>
        <w:tc>
          <w:tcPr>
            <w:tcW w:w="780" w:type="dxa"/>
            <w:vAlign w:val="bottom"/>
            <w:gridSpan w:val="2"/>
          </w:tcPr>
          <w:p>
            <w:pPr>
              <w:jc w:val="center"/>
              <w:ind w:right="280"/>
              <w:spacing w:after="0" w:line="129" w:lineRule="exact"/>
              <w:rPr>
                <w:sz w:val="20"/>
                <w:szCs w:val="20"/>
                <w:color w:val="auto"/>
              </w:rPr>
            </w:pPr>
            <w:r>
              <w:rPr>
                <w:rFonts w:ascii="Arial" w:cs="Arial" w:eastAsia="Arial" w:hAnsi="Arial"/>
                <w:sz w:val="14"/>
                <w:szCs w:val="14"/>
                <w:color w:val="auto"/>
                <w:w w:val="85"/>
              </w:rPr>
              <w:t>Other</w:t>
            </w:r>
          </w:p>
        </w:tc>
        <w:tc>
          <w:tcPr>
            <w:tcW w:w="280" w:type="dxa"/>
            <w:vAlign w:val="bottom"/>
          </w:tcPr>
          <w:p>
            <w:pPr>
              <w:spacing w:after="0"/>
              <w:rPr>
                <w:sz w:val="11"/>
                <w:szCs w:val="11"/>
                <w:color w:val="auto"/>
              </w:rPr>
            </w:pPr>
          </w:p>
        </w:tc>
        <w:tc>
          <w:tcPr>
            <w:tcW w:w="580" w:type="dxa"/>
            <w:vAlign w:val="bottom"/>
            <w:gridSpan w:val="2"/>
          </w:tcPr>
          <w:p>
            <w:pPr>
              <w:jc w:val="right"/>
              <w:ind w:right="260"/>
              <w:spacing w:after="0" w:line="129" w:lineRule="exact"/>
              <w:rPr>
                <w:sz w:val="20"/>
                <w:szCs w:val="20"/>
                <w:color w:val="auto"/>
              </w:rPr>
            </w:pPr>
            <w:r>
              <w:rPr>
                <w:rFonts w:ascii="Arial" w:cs="Arial" w:eastAsia="Arial" w:hAnsi="Arial"/>
                <w:sz w:val="14"/>
                <w:szCs w:val="14"/>
                <w:color w:val="auto"/>
                <w:w w:val="98"/>
              </w:rPr>
              <w:t>Non-</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60" w:type="dxa"/>
            <w:vAlign w:val="bottom"/>
          </w:tcPr>
          <w:p>
            <w:pPr>
              <w:spacing w:after="0"/>
              <w:rPr>
                <w:sz w:val="12"/>
                <w:szCs w:val="12"/>
                <w:color w:val="auto"/>
              </w:rPr>
            </w:pPr>
          </w:p>
        </w:tc>
        <w:tc>
          <w:tcPr>
            <w:tcW w:w="100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3"/>
              </w:rPr>
              <w:t>controlling</w:t>
            </w:r>
          </w:p>
        </w:tc>
        <w:tc>
          <w:tcPr>
            <w:tcW w:w="260" w:type="dxa"/>
            <w:vAlign w:val="bottom"/>
            <w:tcBorders>
              <w:right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Paid-In</w:t>
            </w:r>
          </w:p>
        </w:tc>
        <w:tc>
          <w:tcPr>
            <w:tcW w:w="8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Retained</w:t>
            </w: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86"/>
              </w:rPr>
              <w:t>Stock at</w:t>
            </w:r>
          </w:p>
        </w:tc>
        <w:tc>
          <w:tcPr>
            <w:tcW w:w="1120" w:type="dxa"/>
            <w:vAlign w:val="bottom"/>
            <w:gridSpan w:val="3"/>
          </w:tcPr>
          <w:p>
            <w:pPr>
              <w:ind w:left="160"/>
              <w:spacing w:after="0" w:line="149" w:lineRule="exact"/>
              <w:rPr>
                <w:sz w:val="20"/>
                <w:szCs w:val="20"/>
                <w:color w:val="auto"/>
              </w:rPr>
            </w:pPr>
            <w:r>
              <w:rPr>
                <w:rFonts w:ascii="Arial" w:cs="Arial" w:eastAsia="Arial" w:hAnsi="Arial"/>
                <w:sz w:val="14"/>
                <w:szCs w:val="14"/>
                <w:color w:val="auto"/>
                <w:w w:val="95"/>
              </w:rPr>
              <w:t>Comprehensive</w:t>
            </w:r>
          </w:p>
        </w:tc>
        <w:tc>
          <w:tcPr>
            <w:tcW w:w="86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controlling</w:t>
            </w: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59"/>
        </w:trPr>
        <w:tc>
          <w:tcPr>
            <w:tcW w:w="296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300" w:type="dxa"/>
            <w:vAlign w:val="bottom"/>
          </w:tcPr>
          <w:p>
            <w:pPr>
              <w:spacing w:after="0"/>
              <w:rPr>
                <w:sz w:val="13"/>
                <w:szCs w:val="13"/>
                <w:color w:val="auto"/>
              </w:rPr>
            </w:pPr>
          </w:p>
        </w:tc>
        <w:tc>
          <w:tcPr>
            <w:tcW w:w="700" w:type="dxa"/>
            <w:vAlign w:val="bottom"/>
            <w:gridSpan w:val="2"/>
          </w:tcPr>
          <w:p>
            <w:pPr>
              <w:jc w:val="center"/>
              <w:ind w:right="200"/>
              <w:spacing w:after="0" w:line="159" w:lineRule="exact"/>
              <w:rPr>
                <w:sz w:val="20"/>
                <w:szCs w:val="20"/>
                <w:color w:val="auto"/>
              </w:rPr>
            </w:pPr>
            <w:r>
              <w:rPr>
                <w:rFonts w:ascii="Arial" w:cs="Arial" w:eastAsia="Arial" w:hAnsi="Arial"/>
                <w:sz w:val="14"/>
                <w:szCs w:val="14"/>
                <w:color w:val="auto"/>
                <w:w w:val="85"/>
              </w:rPr>
              <w:t>Interests</w:t>
            </w:r>
          </w:p>
        </w:tc>
        <w:tc>
          <w:tcPr>
            <w:tcW w:w="260" w:type="dxa"/>
            <w:vAlign w:val="bottom"/>
            <w:tcBorders>
              <w:right w:val="single" w:sz="8" w:color="auto"/>
            </w:tcBorders>
          </w:tcPr>
          <w:p>
            <w:pPr>
              <w:spacing w:after="0"/>
              <w:rPr>
                <w:sz w:val="13"/>
                <w:szCs w:val="13"/>
                <w:color w:val="auto"/>
              </w:rPr>
            </w:pP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rPr>
              <w:t>A</w:t>
            </w:r>
          </w:p>
        </w:tc>
        <w:tc>
          <w:tcPr>
            <w:tcW w:w="94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A Special</w:t>
            </w:r>
          </w:p>
        </w:tc>
        <w:tc>
          <w:tcPr>
            <w:tcW w:w="460" w:type="dxa"/>
            <w:vAlign w:val="bottom"/>
          </w:tcPr>
          <w:p>
            <w:pPr>
              <w:jc w:val="center"/>
              <w:spacing w:after="0" w:line="159" w:lineRule="exact"/>
              <w:rPr>
                <w:sz w:val="20"/>
                <w:szCs w:val="20"/>
                <w:color w:val="auto"/>
              </w:rPr>
            </w:pPr>
            <w:r>
              <w:rPr>
                <w:rFonts w:ascii="Arial" w:cs="Arial" w:eastAsia="Arial" w:hAnsi="Arial"/>
                <w:sz w:val="14"/>
                <w:szCs w:val="14"/>
                <w:color w:val="auto"/>
                <w:w w:val="85"/>
              </w:rPr>
              <w:t>B</w:t>
            </w:r>
          </w:p>
        </w:tc>
        <w:tc>
          <w:tcPr>
            <w:tcW w:w="82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Capital</w:t>
            </w:r>
          </w:p>
        </w:tc>
        <w:tc>
          <w:tcPr>
            <w:tcW w:w="86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Earnings</w:t>
            </w:r>
          </w:p>
        </w:tc>
        <w:tc>
          <w:tcPr>
            <w:tcW w:w="820" w:type="dxa"/>
            <w:vAlign w:val="bottom"/>
            <w:gridSpan w:val="2"/>
          </w:tcPr>
          <w:p>
            <w:pPr>
              <w:jc w:val="center"/>
              <w:spacing w:after="0" w:line="159" w:lineRule="exact"/>
              <w:rPr>
                <w:sz w:val="20"/>
                <w:szCs w:val="20"/>
                <w:color w:val="auto"/>
              </w:rPr>
            </w:pPr>
            <w:r>
              <w:rPr>
                <w:rFonts w:ascii="Arial" w:cs="Arial" w:eastAsia="Arial" w:hAnsi="Arial"/>
                <w:sz w:val="14"/>
                <w:szCs w:val="14"/>
                <w:color w:val="auto"/>
                <w:w w:val="83"/>
              </w:rPr>
              <w:t>Cost</w:t>
            </w:r>
          </w:p>
        </w:tc>
        <w:tc>
          <w:tcPr>
            <w:tcW w:w="1120" w:type="dxa"/>
            <w:vAlign w:val="bottom"/>
            <w:gridSpan w:val="3"/>
          </w:tcPr>
          <w:p>
            <w:pPr>
              <w:jc w:val="center"/>
              <w:spacing w:after="0" w:line="159" w:lineRule="exact"/>
              <w:rPr>
                <w:sz w:val="20"/>
                <w:szCs w:val="20"/>
                <w:color w:val="auto"/>
              </w:rPr>
            </w:pPr>
            <w:r>
              <w:rPr>
                <w:rFonts w:ascii="Arial" w:cs="Arial" w:eastAsia="Arial" w:hAnsi="Arial"/>
                <w:sz w:val="14"/>
                <w:szCs w:val="14"/>
                <w:color w:val="auto"/>
                <w:w w:val="87"/>
              </w:rPr>
              <w:t>Income (Loss)</w:t>
            </w:r>
          </w:p>
        </w:tc>
        <w:tc>
          <w:tcPr>
            <w:tcW w:w="860" w:type="dxa"/>
            <w:vAlign w:val="bottom"/>
            <w:gridSpan w:val="3"/>
          </w:tcPr>
          <w:p>
            <w:pPr>
              <w:ind w:left="240"/>
              <w:spacing w:after="0" w:line="159" w:lineRule="exact"/>
              <w:rPr>
                <w:sz w:val="20"/>
                <w:szCs w:val="20"/>
                <w:color w:val="auto"/>
              </w:rPr>
            </w:pPr>
            <w:r>
              <w:rPr>
                <w:rFonts w:ascii="Arial" w:cs="Arial" w:eastAsia="Arial" w:hAnsi="Arial"/>
                <w:sz w:val="14"/>
                <w:szCs w:val="14"/>
                <w:color w:val="auto"/>
              </w:rPr>
              <w:t>Interests</w:t>
            </w:r>
          </w:p>
        </w:tc>
        <w:tc>
          <w:tcPr>
            <w:tcW w:w="860" w:type="dxa"/>
            <w:vAlign w:val="bottom"/>
            <w:gridSpan w:val="2"/>
          </w:tcPr>
          <w:p>
            <w:pPr>
              <w:jc w:val="right"/>
              <w:ind w:right="220"/>
              <w:spacing w:after="0" w:line="159" w:lineRule="exact"/>
              <w:rPr>
                <w:sz w:val="20"/>
                <w:szCs w:val="20"/>
                <w:color w:val="auto"/>
              </w:rPr>
            </w:pPr>
            <w:r>
              <w:rPr>
                <w:rFonts w:ascii="Arial" w:cs="Arial" w:eastAsia="Arial" w:hAnsi="Arial"/>
                <w:sz w:val="14"/>
                <w:szCs w:val="14"/>
                <w:color w:val="auto"/>
              </w:rPr>
              <w:t>Equity</w:t>
            </w:r>
          </w:p>
        </w:tc>
        <w:tc>
          <w:tcPr>
            <w:tcW w:w="0" w:type="dxa"/>
            <w:vAlign w:val="bottom"/>
          </w:tcPr>
          <w:p>
            <w:pPr>
              <w:spacing w:after="0"/>
              <w:rPr>
                <w:sz w:val="1"/>
                <w:szCs w:val="1"/>
                <w:color w:val="auto"/>
              </w:rPr>
            </w:pPr>
          </w:p>
        </w:tc>
      </w:tr>
      <w:tr>
        <w:trPr>
          <w:trHeight w:val="210"/>
        </w:trPr>
        <w:tc>
          <w:tcPr>
            <w:tcW w:w="29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Balance, January 1, 2011</w:t>
            </w:r>
          </w:p>
        </w:tc>
        <w:tc>
          <w:tcPr>
            <w:tcW w:w="30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Borders>
              <w:top w:val="single" w:sz="8" w:color="E5E5E5"/>
            </w:tcBorders>
            <w:shd w:val="clear" w:color="auto" w:fill="E5E5E5"/>
          </w:tcPr>
          <w:p>
            <w:pPr>
              <w:spacing w:after="0"/>
              <w:rPr>
                <w:sz w:val="18"/>
                <w:szCs w:val="18"/>
                <w:color w:val="auto"/>
              </w:rPr>
            </w:pPr>
          </w:p>
        </w:tc>
        <w:tc>
          <w:tcPr>
            <w:tcW w:w="260" w:type="dxa"/>
            <w:vAlign w:val="bottom"/>
            <w:tcBorders>
              <w:top w:val="single" w:sz="8" w:color="auto"/>
              <w:right w:val="single" w:sz="8" w:color="auto"/>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86"/>
              </w:rPr>
              <w:t>$24</w:t>
            </w:r>
          </w:p>
        </w:tc>
        <w:tc>
          <w:tcPr>
            <w:tcW w:w="420" w:type="dxa"/>
            <w:vAlign w:val="bottom"/>
            <w:tcBorders>
              <w:top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8</w:t>
            </w: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7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$39,780</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$12,158</w:t>
            </w:r>
          </w:p>
        </w:tc>
        <w:tc>
          <w:tcPr>
            <w:tcW w:w="100" w:type="dxa"/>
            <w:vAlign w:val="bottom"/>
            <w:tcBorders>
              <w:top w:val="single" w:sz="8" w:color="E5E5E5"/>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80"/>
              </w:rPr>
              <w:t>$(7,517)</w:t>
            </w:r>
          </w:p>
        </w:tc>
        <w:tc>
          <w:tcPr>
            <w:tcW w:w="100" w:type="dxa"/>
            <w:vAlign w:val="bottom"/>
            <w:tcBorders>
              <w:top w:val="single" w:sz="8" w:color="E5E5E5"/>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top w:val="single" w:sz="8" w:color="E5E5E5"/>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E5E5E5"/>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$44,434</w:t>
            </w:r>
          </w:p>
        </w:tc>
        <w:tc>
          <w:tcPr>
            <w:tcW w:w="100" w:type="dxa"/>
            <w:vAlign w:val="bottom"/>
            <w:tcBorders>
              <w:top w:val="single" w:sz="8" w:color="E5E5E5"/>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182</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8"/>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w w:val="94"/>
              </w:rPr>
              <w:t>Repurchase and retirement of common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30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60" w:type="dxa"/>
            <w:vAlign w:val="bottom"/>
            <w:tcBorders>
              <w:righ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9"/>
                <w:szCs w:val="19"/>
                <w:color w:val="auto"/>
              </w:rPr>
            </w:pP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(261)</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(263)</w:t>
            </w: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(525)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(312)</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NBCUniversal transaction</w:t>
            </w:r>
          </w:p>
        </w:tc>
        <w:tc>
          <w:tcPr>
            <w:tcW w:w="300" w:type="dxa"/>
            <w:vAlign w:val="bottom"/>
            <w:shd w:val="clear" w:color="auto" w:fill="E5E5E5"/>
          </w:tcPr>
          <w:p>
            <w:pPr>
              <w:spacing w:after="0"/>
              <w:rPr>
                <w:sz w:val="18"/>
                <w:szCs w:val="18"/>
                <w:color w:val="auto"/>
              </w:rPr>
            </w:pP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15,166</w:t>
            </w: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1,692</w:t>
            </w: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Contributions from (distributions to)</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noncontrolling interests, net</w:t>
            </w: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2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8"/>
        </w:trPr>
        <w:tc>
          <w:tcPr>
            <w:tcW w:w="2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54</w:t>
            </w:r>
          </w:p>
        </w:tc>
        <w:tc>
          <w:tcPr>
            <w:tcW w:w="26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943</w:t>
            </w:r>
          </w:p>
        </w:tc>
        <w:tc>
          <w:tcPr>
            <w:tcW w:w="72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spacing w:after="0"/>
              <w:rPr>
                <w:sz w:val="18"/>
                <w:szCs w:val="18"/>
                <w:color w:val="auto"/>
              </w:rPr>
            </w:pPr>
          </w:p>
        </w:tc>
        <w:tc>
          <w:tcPr>
            <w:tcW w:w="100" w:type="dxa"/>
            <w:vAlign w:val="bottom"/>
            <w:tcBorders>
              <w:bottom w:val="single" w:sz="8" w:color="auto"/>
            </w:tcBorders>
            <w:shd w:val="clear" w:color="auto" w:fill="E5E5E5"/>
          </w:tcPr>
          <w:p>
            <w:pPr>
              <w:spacing w:after="0"/>
              <w:rPr>
                <w:sz w:val="18"/>
                <w:szCs w:val="18"/>
                <w:color w:val="auto"/>
              </w:rPr>
            </w:pPr>
          </w:p>
        </w:tc>
        <w:tc>
          <w:tcPr>
            <w:tcW w:w="28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985</w:t>
            </w: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2011</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b w:val="1"/>
                <w:bCs w:val="1"/>
                <w:color w:val="auto"/>
              </w:rPr>
              <w:t>15,239</w:t>
            </w:r>
          </w:p>
        </w:tc>
        <w:tc>
          <w:tcPr>
            <w:tcW w:w="2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$24</w:t>
            </w:r>
          </w:p>
        </w:tc>
        <w:tc>
          <w:tcPr>
            <w:tcW w:w="42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7</w:t>
            </w: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 —</w:t>
            </w:r>
          </w:p>
        </w:tc>
        <w:tc>
          <w:tcPr>
            <w:tcW w:w="8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$41,407</w:t>
            </w: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$12,504</w:t>
            </w:r>
          </w:p>
        </w:tc>
        <w:tc>
          <w:tcPr>
            <w:tcW w:w="820" w:type="dxa"/>
            <w:vAlign w:val="bottom"/>
            <w:tcBorders>
              <w:bottom w:val="single" w:sz="8" w:color="auto"/>
            </w:tcBorders>
            <w:gridSpan w:val="2"/>
          </w:tcPr>
          <w:p>
            <w:pPr>
              <w:ind w:left="16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(97)</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$46,607</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Balance, January 1, 2012</w:t>
            </w:r>
          </w:p>
        </w:tc>
        <w:tc>
          <w:tcPr>
            <w:tcW w:w="300" w:type="dxa"/>
            <w:vAlign w:val="bottom"/>
            <w:shd w:val="clear" w:color="auto" w:fill="E5E5E5"/>
          </w:tcPr>
          <w:p>
            <w:pPr>
              <w:ind w:left="20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E5E5E5"/>
          </w:tcPr>
          <w:p>
            <w:pPr>
              <w:jc w:val="right"/>
              <w:ind w:right="120"/>
              <w:spacing w:after="0"/>
              <w:rPr>
                <w:sz w:val="20"/>
                <w:szCs w:val="20"/>
                <w:color w:val="auto"/>
              </w:rPr>
            </w:pPr>
            <w:r>
              <w:rPr>
                <w:rFonts w:ascii="Arial" w:cs="Arial" w:eastAsia="Arial" w:hAnsi="Arial"/>
                <w:sz w:val="18"/>
                <w:szCs w:val="18"/>
                <w:color w:val="auto"/>
              </w:rPr>
              <w:t>16,014</w:t>
            </w: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6"/>
              </w:rPr>
              <w:t>$25</w:t>
            </w:r>
          </w:p>
        </w:tc>
        <w:tc>
          <w:tcPr>
            <w:tcW w:w="4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4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6"/>
              </w:rPr>
              <w:t>$ —</w:t>
            </w:r>
          </w:p>
        </w:tc>
        <w:tc>
          <w:tcPr>
            <w:tcW w:w="82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$40,940</w:t>
            </w: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$13,971</w:t>
            </w:r>
          </w:p>
        </w:tc>
        <w:tc>
          <w:tcPr>
            <w:tcW w:w="820" w:type="dxa"/>
            <w:vAlign w:val="bottom"/>
            <w:gridSpan w:val="2"/>
            <w:shd w:val="clear" w:color="auto" w:fill="E5E5E5"/>
          </w:tcPr>
          <w:p>
            <w:pPr>
              <w:ind w:left="160"/>
              <w:spacing w:after="0"/>
              <w:rPr>
                <w:sz w:val="20"/>
                <w:szCs w:val="20"/>
                <w:color w:val="auto"/>
              </w:rPr>
            </w:pPr>
            <w:r>
              <w:rPr>
                <w:rFonts w:ascii="Arial" w:cs="Arial" w:eastAsia="Arial" w:hAnsi="Arial"/>
                <w:sz w:val="18"/>
                <w:szCs w:val="18"/>
                <w:color w:val="auto"/>
                <w:w w:val="95"/>
              </w:rPr>
              <w:t>$(7,517)</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(152)</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381</w:t>
            </w: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$47,655</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Stock compensation plans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(82)</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08"/>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w w:val="94"/>
              </w:rPr>
              <w:t>Repurchase and retirement of common</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stock</w:t>
            </w:r>
          </w:p>
        </w:tc>
        <w:tc>
          <w:tcPr>
            <w:tcW w:w="300" w:type="dxa"/>
            <w:vAlign w:val="bottom"/>
            <w:shd w:val="clear" w:color="auto" w:fill="E5E5E5"/>
          </w:tcPr>
          <w:p>
            <w:pPr>
              <w:spacing w:after="0"/>
              <w:rPr>
                <w:sz w:val="19"/>
                <w:szCs w:val="19"/>
                <w:color w:val="auto"/>
              </w:rPr>
            </w:pPr>
          </w:p>
        </w:tc>
        <w:tc>
          <w:tcPr>
            <w:tcW w:w="580" w:type="dxa"/>
            <w:vAlign w:val="bottom"/>
            <w:shd w:val="clear" w:color="auto" w:fill="E5E5E5"/>
          </w:tcPr>
          <w:p>
            <w:pPr>
              <w:spacing w:after="0"/>
              <w:rPr>
                <w:sz w:val="19"/>
                <w:szCs w:val="19"/>
                <w:color w:val="auto"/>
              </w:rPr>
            </w:pPr>
          </w:p>
        </w:tc>
        <w:tc>
          <w:tcPr>
            <w:tcW w:w="120" w:type="dxa"/>
            <w:vAlign w:val="bottom"/>
            <w:shd w:val="clear" w:color="auto" w:fill="E5E5E5"/>
          </w:tcPr>
          <w:p>
            <w:pPr>
              <w:spacing w:after="0"/>
              <w:rPr>
                <w:sz w:val="19"/>
                <w:szCs w:val="19"/>
                <w:color w:val="auto"/>
              </w:rPr>
            </w:pPr>
          </w:p>
        </w:tc>
        <w:tc>
          <w:tcPr>
            <w:tcW w:w="260" w:type="dxa"/>
            <w:vAlign w:val="bottom"/>
            <w:tcBorders>
              <w:righ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jc w:val="right"/>
              <w:ind w:right="72"/>
              <w:spacing w:after="0"/>
              <w:rPr>
                <w:sz w:val="20"/>
                <w:szCs w:val="20"/>
                <w:color w:val="auto"/>
              </w:rPr>
            </w:pPr>
            <w:r>
              <w:rPr>
                <w:rFonts w:ascii="Arial" w:cs="Arial" w:eastAsia="Arial" w:hAnsi="Arial"/>
                <w:sz w:val="18"/>
                <w:szCs w:val="18"/>
                <w:color w:val="auto"/>
              </w:rPr>
              <w:t>(1)</w:t>
            </w:r>
          </w:p>
        </w:tc>
        <w:tc>
          <w:tcPr>
            <w:tcW w:w="460" w:type="dxa"/>
            <w:vAlign w:val="bottom"/>
            <w:shd w:val="clear" w:color="auto" w:fill="E5E5E5"/>
          </w:tcPr>
          <w:p>
            <w:pPr>
              <w:spacing w:after="0"/>
              <w:rPr>
                <w:sz w:val="19"/>
                <w:szCs w:val="19"/>
                <w:color w:val="auto"/>
              </w:rPr>
            </w:pPr>
          </w:p>
        </w:tc>
        <w:tc>
          <w:tcPr>
            <w:tcW w:w="82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(292)</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(457)</w:t>
            </w: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4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(750)</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Employee stock purchase plan</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Dividends declared</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(439)</w:t>
            </w: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96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Contributions from (distributions to)</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9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noncontrolling interests, net</w:t>
            </w:r>
          </w:p>
        </w:tc>
        <w:tc>
          <w:tcPr>
            <w:tcW w:w="300" w:type="dxa"/>
            <w:vAlign w:val="bottom"/>
            <w:shd w:val="clear" w:color="auto" w:fill="E5E5E5"/>
          </w:tcPr>
          <w:p>
            <w:pPr>
              <w:spacing w:after="0"/>
              <w:rPr>
                <w:sz w:val="19"/>
                <w:szCs w:val="19"/>
                <w:color w:val="auto"/>
              </w:rPr>
            </w:pPr>
          </w:p>
        </w:tc>
        <w:tc>
          <w:tcPr>
            <w:tcW w:w="700" w:type="dxa"/>
            <w:vAlign w:val="bottom"/>
            <w:gridSpan w:val="2"/>
            <w:shd w:val="clear" w:color="auto" w:fill="E5E5E5"/>
          </w:tcPr>
          <w:p>
            <w:pPr>
              <w:jc w:val="right"/>
              <w:ind w:right="60"/>
              <w:spacing w:after="0"/>
              <w:rPr>
                <w:sz w:val="20"/>
                <w:szCs w:val="20"/>
                <w:color w:val="auto"/>
              </w:rPr>
            </w:pPr>
            <w:r>
              <w:rPr>
                <w:rFonts w:ascii="Arial" w:cs="Arial" w:eastAsia="Arial" w:hAnsi="Arial"/>
                <w:sz w:val="18"/>
                <w:szCs w:val="18"/>
                <w:color w:val="auto"/>
              </w:rPr>
              <w:t>(8)</w:t>
            </w:r>
          </w:p>
        </w:tc>
        <w:tc>
          <w:tcPr>
            <w:tcW w:w="260" w:type="dxa"/>
            <w:vAlign w:val="bottom"/>
            <w:tcBorders>
              <w:right w:val="single" w:sz="8" w:color="auto"/>
            </w:tcBorders>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420" w:type="dxa"/>
            <w:vAlign w:val="bottom"/>
            <w:shd w:val="clear" w:color="auto" w:fill="E5E5E5"/>
          </w:tcPr>
          <w:p>
            <w:pPr>
              <w:spacing w:after="0"/>
              <w:rPr>
                <w:sz w:val="19"/>
                <w:szCs w:val="19"/>
                <w:color w:val="auto"/>
              </w:rPr>
            </w:pPr>
          </w:p>
        </w:tc>
        <w:tc>
          <w:tcPr>
            <w:tcW w:w="520" w:type="dxa"/>
            <w:vAlign w:val="bottom"/>
            <w:shd w:val="clear" w:color="auto" w:fill="E5E5E5"/>
          </w:tcPr>
          <w:p>
            <w:pPr>
              <w:spacing w:after="0"/>
              <w:rPr>
                <w:sz w:val="19"/>
                <w:szCs w:val="19"/>
                <w:color w:val="auto"/>
              </w:rPr>
            </w:pPr>
          </w:p>
        </w:tc>
        <w:tc>
          <w:tcPr>
            <w:tcW w:w="46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6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72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340" w:type="dxa"/>
            <w:vAlign w:val="bottom"/>
            <w:shd w:val="clear" w:color="auto" w:fill="E5E5E5"/>
          </w:tcPr>
          <w:p>
            <w:pPr>
              <w:spacing w:after="0"/>
              <w:rPr>
                <w:sz w:val="19"/>
                <w:szCs w:val="19"/>
                <w:color w:val="auto"/>
              </w:rPr>
            </w:pPr>
          </w:p>
        </w:tc>
        <w:tc>
          <w:tcPr>
            <w:tcW w:w="680" w:type="dxa"/>
            <w:vAlign w:val="bottom"/>
            <w:shd w:val="clear" w:color="auto" w:fill="E5E5E5"/>
          </w:tcPr>
          <w:p>
            <w:pPr>
              <w:spacing w:after="0"/>
              <w:rPr>
                <w:sz w:val="19"/>
                <w:szCs w:val="19"/>
                <w:color w:val="auto"/>
              </w:rPr>
            </w:pPr>
          </w:p>
        </w:tc>
        <w:tc>
          <w:tcPr>
            <w:tcW w:w="100" w:type="dxa"/>
            <w:vAlign w:val="bottom"/>
            <w:shd w:val="clear" w:color="auto" w:fill="E5E5E5"/>
          </w:tcPr>
          <w:p>
            <w:pPr>
              <w:spacing w:after="0"/>
              <w:rPr>
                <w:sz w:val="19"/>
                <w:szCs w:val="19"/>
                <w:color w:val="auto"/>
              </w:rPr>
            </w:pPr>
          </w:p>
        </w:tc>
        <w:tc>
          <w:tcPr>
            <w:tcW w:w="280" w:type="dxa"/>
            <w:vAlign w:val="bottom"/>
            <w:shd w:val="clear" w:color="auto" w:fill="E5E5E5"/>
          </w:tcPr>
          <w:p>
            <w:pPr>
              <w:spacing w:after="0"/>
              <w:rPr>
                <w:sz w:val="19"/>
                <w:szCs w:val="19"/>
                <w:color w:val="auto"/>
              </w:rPr>
            </w:pPr>
          </w:p>
        </w:tc>
        <w:tc>
          <w:tcPr>
            <w:tcW w:w="5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(39)</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8"/>
        </w:trPr>
        <w:tc>
          <w:tcPr>
            <w:tcW w:w="2960" w:type="dxa"/>
            <w:vAlign w:val="bottom"/>
          </w:tcPr>
          <w:p>
            <w:pPr>
              <w:spacing w:after="0"/>
              <w:rPr>
                <w:sz w:val="20"/>
                <w:szCs w:val="20"/>
                <w:color w:val="auto"/>
              </w:rPr>
            </w:pPr>
            <w:r>
              <w:rPr>
                <w:rFonts w:ascii="Arial" w:cs="Arial" w:eastAsia="Arial" w:hAnsi="Arial"/>
                <w:sz w:val="18"/>
                <w:szCs w:val="18"/>
                <w:color w:val="auto"/>
              </w:rPr>
              <w:t>Purchase of subsidiary shares from</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96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3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260" w:type="dxa"/>
            <w:vAlign w:val="bottom"/>
            <w:tcBorders>
              <w:right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8"/>
        </w:trPr>
        <w:tc>
          <w:tcPr>
            <w:tcW w:w="2960" w:type="dxa"/>
            <w:vAlign w:val="bottom"/>
            <w:shd w:val="clear" w:color="auto" w:fill="E5E5E5"/>
          </w:tcPr>
          <w:p>
            <w:pPr>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260" w:type="dxa"/>
            <w:vAlign w:val="bottom"/>
            <w:tcBorders>
              <w:right w:val="single" w:sz="8" w:color="auto"/>
            </w:tcBorders>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58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(24)</w:t>
            </w:r>
          </w:p>
        </w:tc>
        <w:tc>
          <w:tcPr>
            <w:tcW w:w="860" w:type="dxa"/>
            <w:vAlign w:val="bottom"/>
            <w:gridSpan w:val="2"/>
            <w:shd w:val="clear" w:color="auto" w:fill="E5E5E5"/>
          </w:tcPr>
          <w:p>
            <w:pPr>
              <w:jc w:val="right"/>
              <w:ind w:right="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(loss)</w:t>
            </w:r>
          </w:p>
        </w:tc>
        <w:tc>
          <w:tcPr>
            <w:tcW w:w="3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auto"/>
              <w:right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1,251</w:t>
            </w:r>
          </w:p>
        </w:tc>
        <w:tc>
          <w:tcPr>
            <w:tcW w:w="0" w:type="dxa"/>
            <w:vAlign w:val="bottom"/>
          </w:tcPr>
          <w:p>
            <w:pPr>
              <w:spacing w:after="0"/>
              <w:rPr>
                <w:sz w:val="1"/>
                <w:szCs w:val="1"/>
                <w:color w:val="auto"/>
              </w:rPr>
            </w:pPr>
          </w:p>
        </w:tc>
      </w:tr>
      <w:tr>
        <w:trPr>
          <w:trHeight w:val="217"/>
        </w:trPr>
        <w:tc>
          <w:tcPr>
            <w:tcW w:w="29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2012</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700" w:type="dxa"/>
            <w:vAlign w:val="bottom"/>
            <w:tcBorders>
              <w:bottom w:val="single" w:sz="8" w:color="auto"/>
            </w:tcBorders>
            <w:gridSpan w:val="2"/>
            <w:shd w:val="clear" w:color="auto" w:fill="E5E5E5"/>
          </w:tcPr>
          <w:p>
            <w:pPr>
              <w:jc w:val="right"/>
              <w:ind w:right="120"/>
              <w:spacing w:after="0"/>
              <w:rPr>
                <w:sz w:val="20"/>
                <w:szCs w:val="20"/>
                <w:color w:val="auto"/>
              </w:rPr>
            </w:pPr>
            <w:r>
              <w:rPr>
                <w:rFonts w:ascii="Arial" w:cs="Arial" w:eastAsia="Arial" w:hAnsi="Arial"/>
                <w:sz w:val="18"/>
                <w:szCs w:val="18"/>
                <w:b w:val="1"/>
                <w:bCs w:val="1"/>
                <w:color w:val="auto"/>
              </w:rPr>
              <w:t>16,158</w:t>
            </w:r>
          </w:p>
        </w:tc>
        <w:tc>
          <w:tcPr>
            <w:tcW w:w="260" w:type="dxa"/>
            <w:vAlign w:val="bottom"/>
            <w:tcBorders>
              <w:bottom w:val="single" w:sz="8" w:color="auto"/>
              <w:right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86"/>
              </w:rPr>
              <w:t>$25</w:t>
            </w:r>
          </w:p>
        </w:tc>
        <w:tc>
          <w:tcPr>
            <w:tcW w:w="4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rPr>
              <w:t>6</w:t>
            </w:r>
          </w:p>
        </w:tc>
        <w:tc>
          <w:tcPr>
            <w:tcW w:w="46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b w:val="1"/>
                <w:bCs w:val="1"/>
                <w:color w:val="auto"/>
                <w:w w:val="96"/>
              </w:rPr>
              <w:t>$ —</w:t>
            </w:r>
          </w:p>
        </w:tc>
        <w:tc>
          <w:tcPr>
            <w:tcW w:w="82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$40,893</w:t>
            </w: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$14,217</w:t>
            </w:r>
          </w:p>
        </w:tc>
        <w:tc>
          <w:tcPr>
            <w:tcW w:w="820" w:type="dxa"/>
            <w:vAlign w:val="bottom"/>
            <w:tcBorders>
              <w:bottom w:val="single" w:sz="8" w:color="auto"/>
            </w:tcBorders>
            <w:gridSpan w:val="2"/>
            <w:shd w:val="clear" w:color="auto" w:fill="E5E5E5"/>
          </w:tcPr>
          <w:p>
            <w:pPr>
              <w:ind w:left="160"/>
              <w:spacing w:after="0"/>
              <w:rPr>
                <w:sz w:val="20"/>
                <w:szCs w:val="20"/>
                <w:color w:val="auto"/>
              </w:rPr>
            </w:pPr>
            <w:r>
              <w:rPr>
                <w:rFonts w:ascii="Arial" w:cs="Arial" w:eastAsia="Arial" w:hAnsi="Arial"/>
                <w:sz w:val="18"/>
                <w:szCs w:val="18"/>
                <w:b w:val="1"/>
                <w:bCs w:val="1"/>
                <w:color w:val="auto"/>
                <w:w w:val="95"/>
              </w:rPr>
              <w:t>$(7,517)</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gridSpan w:val="2"/>
            <w:shd w:val="clear" w:color="auto" w:fill="E5E5E5"/>
          </w:tcPr>
          <w:p>
            <w:pPr>
              <w:jc w:val="right"/>
              <w:ind w:right="40"/>
              <w:spacing w:after="0"/>
              <w:rPr>
                <w:sz w:val="20"/>
                <w:szCs w:val="20"/>
                <w:color w:val="auto"/>
              </w:rPr>
            </w:pPr>
            <w:r>
              <w:rPr>
                <w:rFonts w:ascii="Arial" w:cs="Arial" w:eastAsia="Arial" w:hAnsi="Arial"/>
                <w:sz w:val="18"/>
                <w:szCs w:val="18"/>
                <w:b w:val="1"/>
                <w:bCs w:val="1"/>
                <w:color w:val="auto"/>
              </w:rPr>
              <w:t>(148)</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345</w:t>
            </w:r>
          </w:p>
        </w:tc>
        <w:tc>
          <w:tcPr>
            <w:tcW w:w="1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gridSpan w:val="2"/>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$47,821</w:t>
            </w:r>
          </w:p>
        </w:tc>
        <w:tc>
          <w:tcPr>
            <w:tcW w:w="0" w:type="dxa"/>
            <w:vAlign w:val="bottom"/>
          </w:tcPr>
          <w:p>
            <w:pPr>
              <w:spacing w:after="0"/>
              <w:rPr>
                <w:sz w:val="1"/>
                <w:szCs w:val="1"/>
                <w:color w:val="auto"/>
              </w:rPr>
            </w:pP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condensed consolidated financial statements.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4380"/>
        <w:spacing w:after="0" w:line="261" w:lineRule="auto"/>
        <w:rPr>
          <w:sz w:val="20"/>
          <w:szCs w:val="20"/>
          <w:color w:val="auto"/>
        </w:rPr>
      </w:pPr>
      <w:r>
        <w:rPr>
          <w:rFonts w:ascii="Arial" w:cs="Arial" w:eastAsia="Arial" w:hAnsi="Arial"/>
          <w:sz w:val="22"/>
          <w:szCs w:val="22"/>
          <w:b w:val="1"/>
          <w:bCs w:val="1"/>
          <w:color w:val="auto"/>
        </w:rPr>
        <w:t>NOTES TO CONDENSED CONSOLIDATED FINANCIAL STATEMENTS (Unaudited)</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 Condensed Consolidated Financial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have prepared these unaudited condensed consolidated financial statements based on Securities and Exchange Commission (“SEC”) rules that permit reduced disclosure for interim periods. These financial statements include all adjustments that are necessary for a fair presentation of our consolidated results of operations, financial condition and cash flows for the periods shown, including normal, recurring accruals and other items. The consolidated results of operations for the interim periods presented are not necessarily indicative of results for the full year.</w:t>
      </w:r>
    </w:p>
    <w:p>
      <w:pPr>
        <w:spacing w:after="0" w:line="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year-end condensed consolidated balance sheet was derived from audited financial statements but does not include all disclosures required by generally accepted accounting principles in the United States (“GAAP”). For a more complete discussion of our accounting policies and certain other information, refer to our consolidated financial statements included in our 2011 Annual Report on Form 10-K.</w:t>
      </w:r>
    </w:p>
    <w:p>
      <w:pPr>
        <w:spacing w:after="0" w:line="4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On January 28, 2011, we closed the NBCUniversal transaction in which we acquired control of the businesses of NBC Universal, Inc. (“NBCUniversal”), and on July 1, 2011, we closed the Universal Orlando transaction in which we acquired the remaining 50% equity interest in Universal City Development Partners, Ltd. (“Universal Orlando”) that we did not already own. NBCUniversal’s and Universal Orlando’s results of operations have been consolidated with our results following their respective acquisition dates. For a more complete discussion of the NBCUniversal and Universal Orlando transactions, refer to our consolidated financial statements included in our 2011 Annual Report on Form 10-K.</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have been made to the condensed consolidated financial statements for the prior year to conform to classifications used in the current period.</w:t>
      </w:r>
    </w:p>
    <w:p>
      <w:pPr>
        <w:spacing w:after="0" w:line="19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2: Earnings Per Share</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Basic earnings per common share attributable to Comcast Corporation shareholders (“basic EPS”) is computed by dividing net income attributable to Comcast Corporation by the weighted-average number of common shares outstanding during the period.</w:t>
      </w:r>
    </w:p>
    <w:p>
      <w:pPr>
        <w:spacing w:after="0" w:line="37"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potentially dilutive securities include potential common shares issuable under our outstanding stock options and our restricted share units (“RSUs”). Diluted earnings per common share attributable to Comcast Corporation shareholders (“diluted EPS”) considers the impact of potentially dilutive securities using the treasury stock method. Diluted EPS excludes the impact of potential common shares issuable under our outstanding stock options in periods in which the option exercise price is greater than the average market price of our Class A common stock or our Class A Special common stock, as applicable.</w:t>
      </w:r>
    </w:p>
    <w:p>
      <w:pPr>
        <w:spacing w:after="0" w:line="18" w:lineRule="exact"/>
        <w:rPr>
          <w:sz w:val="20"/>
          <w:szCs w:val="20"/>
          <w:color w:val="auto"/>
        </w:rPr>
      </w:pPr>
    </w:p>
    <w:p>
      <w:pPr>
        <w:jc w:val="both"/>
        <w:ind w:right="20"/>
        <w:spacing w:after="0" w:line="332" w:lineRule="auto"/>
        <w:rPr>
          <w:sz w:val="20"/>
          <w:szCs w:val="20"/>
          <w:color w:val="auto"/>
        </w:rPr>
      </w:pPr>
      <w:r>
        <w:rPr>
          <w:rFonts w:ascii="Arial" w:cs="Arial" w:eastAsia="Arial" w:hAnsi="Arial"/>
          <w:sz w:val="16"/>
          <w:szCs w:val="16"/>
          <w:color w:val="auto"/>
        </w:rPr>
        <w:t>Diluted EPS for the three months ended March 31, 2012 and 2011 excludes approximately 26 million and 32 million, respectively, of potential common shares related to our share-based compensation plans, because the inclusion of the potential common shares would have had an antidilutive effect.</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Computation of Diluted EPS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color w:val="auto"/>
              </w:rPr>
              <w:t>Three Months Ended March 31</w:t>
            </w:r>
          </w:p>
        </w:tc>
        <w:tc>
          <w:tcPr>
            <w:tcW w:w="9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r>
      <w:tr>
        <w:trPr>
          <w:trHeight w:val="142"/>
        </w:trPr>
        <w:tc>
          <w:tcPr>
            <w:tcW w:w="494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60"/>
              <w:spacing w:after="0" w:line="142" w:lineRule="exact"/>
              <w:rPr>
                <w:sz w:val="20"/>
                <w:szCs w:val="20"/>
                <w:color w:val="auto"/>
              </w:rPr>
            </w:pPr>
            <w:r>
              <w:rPr>
                <w:rFonts w:ascii="Arial" w:cs="Arial" w:eastAsia="Arial" w:hAnsi="Arial"/>
                <w:sz w:val="14"/>
                <w:szCs w:val="14"/>
                <w:color w:val="auto"/>
              </w:rPr>
              <w:t>2012</w:t>
            </w:r>
          </w:p>
        </w:tc>
        <w:tc>
          <w:tcPr>
            <w:tcW w:w="4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color w:val="auto"/>
              </w:rPr>
              <w:t>2011</w:t>
            </w:r>
          </w:p>
        </w:tc>
        <w:tc>
          <w:tcPr>
            <w:tcW w:w="4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r>
      <w:tr>
        <w:trPr>
          <w:trHeight w:val="131"/>
        </w:trPr>
        <w:tc>
          <w:tcPr>
            <w:tcW w:w="4940" w:type="dxa"/>
            <w:vAlign w:val="bottom"/>
          </w:tcPr>
          <w:p>
            <w:pPr>
              <w:spacing w:after="0"/>
              <w:rPr>
                <w:sz w:val="11"/>
                <w:szCs w:val="11"/>
                <w:color w:val="auto"/>
              </w:rPr>
            </w:pPr>
          </w:p>
        </w:tc>
        <w:tc>
          <w:tcPr>
            <w:tcW w:w="1400" w:type="dxa"/>
            <w:vAlign w:val="bottom"/>
            <w:gridSpan w:val="2"/>
          </w:tcPr>
          <w:p>
            <w:pPr>
              <w:jc w:val="center"/>
              <w:ind w:left="104"/>
              <w:spacing w:after="0" w:line="131" w:lineRule="exact"/>
              <w:rPr>
                <w:sz w:val="20"/>
                <w:szCs w:val="20"/>
                <w:color w:val="auto"/>
              </w:rPr>
            </w:pPr>
            <w:r>
              <w:rPr>
                <w:rFonts w:ascii="Arial" w:cs="Arial" w:eastAsia="Arial" w:hAnsi="Arial"/>
                <w:sz w:val="14"/>
                <w:szCs w:val="14"/>
                <w:color w:val="auto"/>
                <w:w w:val="86"/>
              </w:rPr>
              <w:t>Net Income</w:t>
            </w:r>
          </w:p>
        </w:tc>
        <w:tc>
          <w:tcPr>
            <w:tcW w:w="9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6"/>
              </w:rPr>
              <w:t>Net Income</w:t>
            </w:r>
          </w:p>
        </w:tc>
        <w:tc>
          <w:tcPr>
            <w:tcW w:w="9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60" w:type="dxa"/>
            <w:vAlign w:val="bottom"/>
          </w:tcPr>
          <w:p>
            <w:pPr>
              <w:spacing w:after="0"/>
              <w:rPr>
                <w:sz w:val="11"/>
                <w:szCs w:val="11"/>
                <w:color w:val="auto"/>
              </w:rPr>
            </w:pPr>
          </w:p>
        </w:tc>
      </w:tr>
      <w:tr>
        <w:trPr>
          <w:trHeight w:val="149"/>
        </w:trPr>
        <w:tc>
          <w:tcPr>
            <w:tcW w:w="4940" w:type="dxa"/>
            <w:vAlign w:val="bottom"/>
          </w:tcPr>
          <w:p>
            <w:pPr>
              <w:spacing w:after="0"/>
              <w:rPr>
                <w:sz w:val="12"/>
                <w:szCs w:val="12"/>
                <w:color w:val="auto"/>
              </w:rPr>
            </w:pPr>
          </w:p>
        </w:tc>
        <w:tc>
          <w:tcPr>
            <w:tcW w:w="1400" w:type="dxa"/>
            <w:vAlign w:val="bottom"/>
            <w:gridSpan w:val="2"/>
          </w:tcPr>
          <w:p>
            <w:pPr>
              <w:jc w:val="center"/>
              <w:ind w:left="104"/>
              <w:spacing w:after="0" w:line="149" w:lineRule="exact"/>
              <w:rPr>
                <w:sz w:val="20"/>
                <w:szCs w:val="20"/>
                <w:color w:val="auto"/>
              </w:rPr>
            </w:pPr>
            <w:r>
              <w:rPr>
                <w:rFonts w:ascii="Arial" w:cs="Arial" w:eastAsia="Arial" w:hAnsi="Arial"/>
                <w:sz w:val="14"/>
                <w:szCs w:val="14"/>
                <w:color w:val="auto"/>
                <w:w w:val="90"/>
              </w:rPr>
              <w:t>Attributable to</w:t>
            </w:r>
          </w:p>
        </w:tc>
        <w:tc>
          <w:tcPr>
            <w:tcW w:w="9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Attributable to</w:t>
            </w:r>
          </w:p>
        </w:tc>
        <w:tc>
          <w:tcPr>
            <w:tcW w:w="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r>
      <w:tr>
        <w:trPr>
          <w:trHeight w:val="149"/>
        </w:trPr>
        <w:tc>
          <w:tcPr>
            <w:tcW w:w="4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80" w:type="dxa"/>
            <w:vAlign w:val="bottom"/>
          </w:tcPr>
          <w:p>
            <w:pPr>
              <w:jc w:val="center"/>
              <w:ind w:right="259"/>
              <w:spacing w:after="0" w:line="149" w:lineRule="exact"/>
              <w:rPr>
                <w:sz w:val="20"/>
                <w:szCs w:val="20"/>
                <w:color w:val="auto"/>
              </w:rPr>
            </w:pPr>
            <w:r>
              <w:rPr>
                <w:rFonts w:ascii="Arial" w:cs="Arial" w:eastAsia="Arial" w:hAnsi="Arial"/>
                <w:sz w:val="14"/>
                <w:szCs w:val="14"/>
                <w:color w:val="auto"/>
                <w:w w:val="83"/>
              </w:rPr>
              <w:t>Comcast</w:t>
            </w:r>
          </w:p>
        </w:tc>
        <w:tc>
          <w:tcPr>
            <w:tcW w:w="940" w:type="dxa"/>
            <w:vAlign w:val="bottom"/>
          </w:tcPr>
          <w:p>
            <w:pPr>
              <w:spacing w:after="0"/>
              <w:rPr>
                <w:sz w:val="12"/>
                <w:szCs w:val="12"/>
                <w:color w:val="auto"/>
              </w:rPr>
            </w:pPr>
          </w:p>
        </w:tc>
        <w:tc>
          <w:tcPr>
            <w:tcW w:w="1040" w:type="dxa"/>
            <w:vAlign w:val="bottom"/>
            <w:gridSpan w:val="2"/>
          </w:tcPr>
          <w:p>
            <w:pPr>
              <w:ind w:left="280"/>
              <w:spacing w:after="0" w:line="149" w:lineRule="exact"/>
              <w:rPr>
                <w:sz w:val="20"/>
                <w:szCs w:val="20"/>
                <w:color w:val="auto"/>
              </w:rPr>
            </w:pPr>
            <w:r>
              <w:rPr>
                <w:rFonts w:ascii="Arial" w:cs="Arial" w:eastAsia="Arial" w:hAnsi="Arial"/>
                <w:sz w:val="14"/>
                <w:szCs w:val="14"/>
                <w:color w:val="auto"/>
              </w:rPr>
              <w:t>Per Share</w:t>
            </w:r>
          </w:p>
        </w:tc>
        <w:tc>
          <w:tcPr>
            <w:tcW w:w="380" w:type="dxa"/>
            <w:vAlign w:val="bottom"/>
          </w:tcPr>
          <w:p>
            <w:pPr>
              <w:spacing w:after="0"/>
              <w:rPr>
                <w:sz w:val="12"/>
                <w:szCs w:val="12"/>
                <w:color w:val="auto"/>
              </w:rPr>
            </w:pPr>
          </w:p>
        </w:tc>
        <w:tc>
          <w:tcPr>
            <w:tcW w:w="900" w:type="dxa"/>
            <w:vAlign w:val="bottom"/>
          </w:tcPr>
          <w:p>
            <w:pPr>
              <w:jc w:val="center"/>
              <w:ind w:right="279"/>
              <w:spacing w:after="0" w:line="149" w:lineRule="exact"/>
              <w:rPr>
                <w:sz w:val="20"/>
                <w:szCs w:val="20"/>
                <w:color w:val="auto"/>
              </w:rPr>
            </w:pPr>
            <w:r>
              <w:rPr>
                <w:rFonts w:ascii="Arial" w:cs="Arial" w:eastAsia="Arial" w:hAnsi="Arial"/>
                <w:sz w:val="14"/>
                <w:szCs w:val="14"/>
                <w:color w:val="auto"/>
                <w:w w:val="83"/>
              </w:rPr>
              <w:t>Comcast</w:t>
            </w:r>
          </w:p>
        </w:tc>
        <w:tc>
          <w:tcPr>
            <w:tcW w:w="960" w:type="dxa"/>
            <w:vAlign w:val="bottom"/>
          </w:tcPr>
          <w:p>
            <w:pPr>
              <w:spacing w:after="0"/>
              <w:rPr>
                <w:sz w:val="12"/>
                <w:szCs w:val="12"/>
                <w:color w:val="auto"/>
              </w:rPr>
            </w:pPr>
          </w:p>
        </w:tc>
        <w:tc>
          <w:tcPr>
            <w:tcW w:w="860" w:type="dxa"/>
            <w:vAlign w:val="bottom"/>
            <w:gridSpan w:val="2"/>
          </w:tcPr>
          <w:p>
            <w:pPr>
              <w:ind w:left="240"/>
              <w:spacing w:after="0" w:line="149" w:lineRule="exact"/>
              <w:rPr>
                <w:sz w:val="20"/>
                <w:szCs w:val="20"/>
                <w:color w:val="auto"/>
              </w:rPr>
            </w:pPr>
            <w:r>
              <w:rPr>
                <w:rFonts w:ascii="Arial" w:cs="Arial" w:eastAsia="Arial" w:hAnsi="Arial"/>
                <w:sz w:val="14"/>
                <w:szCs w:val="14"/>
                <w:color w:val="auto"/>
                <w:w w:val="95"/>
              </w:rPr>
              <w:t>Per Share</w:t>
            </w:r>
          </w:p>
        </w:tc>
      </w:tr>
      <w:tr>
        <w:trPr>
          <w:trHeight w:val="159"/>
        </w:trPr>
        <w:tc>
          <w:tcPr>
            <w:tcW w:w="49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 except per share data)</w:t>
            </w:r>
          </w:p>
        </w:tc>
        <w:tc>
          <w:tcPr>
            <w:tcW w:w="1400" w:type="dxa"/>
            <w:vAlign w:val="bottom"/>
            <w:tcBorders>
              <w:bottom w:val="single" w:sz="8" w:color="auto"/>
            </w:tcBorders>
            <w:gridSpan w:val="2"/>
          </w:tcPr>
          <w:p>
            <w:pPr>
              <w:jc w:val="center"/>
              <w:ind w:left="104"/>
              <w:spacing w:after="0" w:line="159" w:lineRule="exact"/>
              <w:rPr>
                <w:sz w:val="20"/>
                <w:szCs w:val="20"/>
                <w:color w:val="auto"/>
              </w:rPr>
            </w:pPr>
            <w:r>
              <w:rPr>
                <w:rFonts w:ascii="Arial" w:cs="Arial" w:eastAsia="Arial" w:hAnsi="Arial"/>
                <w:sz w:val="14"/>
                <w:szCs w:val="14"/>
                <w:color w:val="auto"/>
                <w:w w:val="90"/>
              </w:rPr>
              <w:t>Corporation</w:t>
            </w:r>
          </w:p>
        </w:tc>
        <w:tc>
          <w:tcPr>
            <w:tcW w:w="940" w:type="dxa"/>
            <w:vAlign w:val="bottom"/>
            <w:tcBorders>
              <w:bottom w:val="single" w:sz="8" w:color="auto"/>
            </w:tcBorders>
          </w:tcPr>
          <w:p>
            <w:pPr>
              <w:jc w:val="right"/>
              <w:ind w:right="180"/>
              <w:spacing w:after="0" w:line="159" w:lineRule="exact"/>
              <w:rPr>
                <w:sz w:val="20"/>
                <w:szCs w:val="20"/>
                <w:color w:val="auto"/>
              </w:rPr>
            </w:pPr>
            <w:r>
              <w:rPr>
                <w:rFonts w:ascii="Arial" w:cs="Arial" w:eastAsia="Arial" w:hAnsi="Arial"/>
                <w:sz w:val="14"/>
                <w:szCs w:val="14"/>
                <w:color w:val="auto"/>
              </w:rPr>
              <w:t>Shares</w:t>
            </w:r>
          </w:p>
        </w:tc>
        <w:tc>
          <w:tcPr>
            <w:tcW w:w="1040" w:type="dxa"/>
            <w:vAlign w:val="bottom"/>
            <w:tcBorders>
              <w:bottom w:val="single" w:sz="8" w:color="auto"/>
            </w:tcBorders>
            <w:gridSpan w:val="2"/>
          </w:tcPr>
          <w:p>
            <w:pPr>
              <w:ind w:left="320"/>
              <w:spacing w:after="0" w:line="159" w:lineRule="exact"/>
              <w:rPr>
                <w:sz w:val="20"/>
                <w:szCs w:val="20"/>
                <w:color w:val="auto"/>
              </w:rPr>
            </w:pPr>
            <w:r>
              <w:rPr>
                <w:rFonts w:ascii="Arial" w:cs="Arial" w:eastAsia="Arial" w:hAnsi="Arial"/>
                <w:sz w:val="14"/>
                <w:szCs w:val="14"/>
                <w:color w:val="auto"/>
              </w:rPr>
              <w:t>Amount</w:t>
            </w:r>
          </w:p>
        </w:tc>
        <w:tc>
          <w:tcPr>
            <w:tcW w:w="1280" w:type="dxa"/>
            <w:vAlign w:val="bottom"/>
            <w:tcBorders>
              <w:bottom w:val="single" w:sz="8" w:color="auto"/>
            </w:tcBorders>
            <w:gridSpan w:val="2"/>
          </w:tcPr>
          <w:p>
            <w:pPr>
              <w:jc w:val="center"/>
              <w:spacing w:after="0" w:line="159" w:lineRule="exact"/>
              <w:rPr>
                <w:sz w:val="20"/>
                <w:szCs w:val="20"/>
                <w:color w:val="auto"/>
              </w:rPr>
            </w:pPr>
            <w:r>
              <w:rPr>
                <w:rFonts w:ascii="Arial" w:cs="Arial" w:eastAsia="Arial" w:hAnsi="Arial"/>
                <w:sz w:val="14"/>
                <w:szCs w:val="14"/>
                <w:color w:val="auto"/>
                <w:w w:val="90"/>
              </w:rPr>
              <w:t>Corporation</w:t>
            </w:r>
          </w:p>
        </w:tc>
        <w:tc>
          <w:tcPr>
            <w:tcW w:w="960" w:type="dxa"/>
            <w:vAlign w:val="bottom"/>
            <w:tcBorders>
              <w:bottom w:val="single" w:sz="8" w:color="auto"/>
            </w:tcBorders>
          </w:tcPr>
          <w:p>
            <w:pPr>
              <w:jc w:val="right"/>
              <w:ind w:right="220"/>
              <w:spacing w:after="0" w:line="159" w:lineRule="exact"/>
              <w:rPr>
                <w:sz w:val="20"/>
                <w:szCs w:val="20"/>
                <w:color w:val="auto"/>
              </w:rPr>
            </w:pPr>
            <w:r>
              <w:rPr>
                <w:rFonts w:ascii="Arial" w:cs="Arial" w:eastAsia="Arial" w:hAnsi="Arial"/>
                <w:sz w:val="14"/>
                <w:szCs w:val="14"/>
                <w:color w:val="auto"/>
              </w:rPr>
              <w:t>Shares</w:t>
            </w:r>
          </w:p>
        </w:tc>
        <w:tc>
          <w:tcPr>
            <w:tcW w:w="860" w:type="dxa"/>
            <w:vAlign w:val="bottom"/>
            <w:tcBorders>
              <w:bottom w:val="single" w:sz="8" w:color="auto"/>
            </w:tcBorders>
            <w:gridSpan w:val="2"/>
          </w:tcPr>
          <w:p>
            <w:pPr>
              <w:ind w:left="280"/>
              <w:spacing w:after="0" w:line="159" w:lineRule="exact"/>
              <w:rPr>
                <w:sz w:val="20"/>
                <w:szCs w:val="20"/>
                <w:color w:val="auto"/>
              </w:rPr>
            </w:pPr>
            <w:r>
              <w:rPr>
                <w:rFonts w:ascii="Arial" w:cs="Arial" w:eastAsia="Arial" w:hAnsi="Arial"/>
                <w:sz w:val="14"/>
                <w:szCs w:val="14"/>
                <w:color w:val="auto"/>
              </w:rPr>
              <w:t>Amount</w:t>
            </w:r>
          </w:p>
        </w:tc>
      </w:tr>
      <w:tr>
        <w:trPr>
          <w:trHeight w:val="210"/>
        </w:trPr>
        <w:tc>
          <w:tcPr>
            <w:tcW w:w="4940" w:type="dxa"/>
            <w:vAlign w:val="bottom"/>
            <w:shd w:val="clear" w:color="auto" w:fill="E5E5E5"/>
          </w:tcPr>
          <w:p>
            <w:pPr>
              <w:spacing w:after="0"/>
              <w:rPr>
                <w:sz w:val="20"/>
                <w:szCs w:val="20"/>
                <w:color w:val="auto"/>
              </w:rPr>
            </w:pPr>
            <w:r>
              <w:rPr>
                <w:rFonts w:ascii="Arial" w:cs="Arial" w:eastAsia="Arial" w:hAnsi="Arial"/>
                <w:sz w:val="18"/>
                <w:szCs w:val="18"/>
                <w:color w:val="auto"/>
              </w:rPr>
              <w:t>Basic EPS attributable to Comcast Corporation shareholders</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E5E5E5"/>
          </w:tcPr>
          <w:p>
            <w:pPr>
              <w:jc w:val="right"/>
              <w:ind w:right="139"/>
              <w:spacing w:after="0"/>
              <w:rPr>
                <w:sz w:val="20"/>
                <w:szCs w:val="20"/>
                <w:color w:val="auto"/>
              </w:rPr>
            </w:pPr>
            <w:r>
              <w:rPr>
                <w:rFonts w:ascii="Arial" w:cs="Arial" w:eastAsia="Arial" w:hAnsi="Arial"/>
                <w:sz w:val="18"/>
                <w:szCs w:val="18"/>
                <w:color w:val="auto"/>
              </w:rPr>
              <w:t>1,224</w:t>
            </w:r>
          </w:p>
        </w:tc>
        <w:tc>
          <w:tcPr>
            <w:tcW w:w="940" w:type="dxa"/>
            <w:vAlign w:val="bottom"/>
            <w:shd w:val="clear" w:color="auto" w:fill="E5E5E5"/>
          </w:tcPr>
          <w:p>
            <w:pPr>
              <w:jc w:val="right"/>
              <w:ind w:right="120"/>
              <w:spacing w:after="0"/>
              <w:rPr>
                <w:sz w:val="20"/>
                <w:szCs w:val="20"/>
                <w:color w:val="auto"/>
              </w:rPr>
            </w:pPr>
            <w:r>
              <w:rPr>
                <w:rFonts w:ascii="Arial" w:cs="Arial" w:eastAsia="Arial" w:hAnsi="Arial"/>
                <w:sz w:val="18"/>
                <w:szCs w:val="18"/>
                <w:color w:val="auto"/>
              </w:rPr>
              <w:t>2,708</w:t>
            </w:r>
          </w:p>
        </w:tc>
        <w:tc>
          <w:tcPr>
            <w:tcW w:w="440" w:type="dxa"/>
            <w:vAlign w:val="bottom"/>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96"/>
              </w:rPr>
              <w:t>0.45</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E5E5E5"/>
          </w:tcPr>
          <w:p>
            <w:pPr>
              <w:jc w:val="right"/>
              <w:ind w:right="159"/>
              <w:spacing w:after="0"/>
              <w:rPr>
                <w:sz w:val="20"/>
                <w:szCs w:val="20"/>
                <w:color w:val="auto"/>
              </w:rPr>
            </w:pPr>
            <w:r>
              <w:rPr>
                <w:rFonts w:ascii="Arial" w:cs="Arial" w:eastAsia="Arial" w:hAnsi="Arial"/>
                <w:sz w:val="18"/>
                <w:szCs w:val="18"/>
                <w:color w:val="auto"/>
              </w:rPr>
              <w:t>943</w:t>
            </w:r>
          </w:p>
        </w:tc>
        <w:tc>
          <w:tcPr>
            <w:tcW w:w="960" w:type="dxa"/>
            <w:vAlign w:val="bottom"/>
            <w:shd w:val="clear" w:color="auto" w:fill="E5E5E5"/>
          </w:tcPr>
          <w:p>
            <w:pPr>
              <w:jc w:val="right"/>
              <w:ind w:right="160"/>
              <w:spacing w:after="0"/>
              <w:rPr>
                <w:sz w:val="20"/>
                <w:szCs w:val="20"/>
                <w:color w:val="auto"/>
              </w:rPr>
            </w:pPr>
            <w:r>
              <w:rPr>
                <w:rFonts w:ascii="Arial" w:cs="Arial" w:eastAsia="Arial" w:hAnsi="Arial"/>
                <w:sz w:val="18"/>
                <w:szCs w:val="18"/>
                <w:color w:val="auto"/>
              </w:rPr>
              <w:t>2,772</w:t>
            </w:r>
          </w:p>
        </w:tc>
        <w:tc>
          <w:tcPr>
            <w:tcW w:w="40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4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w w:val="96"/>
              </w:rPr>
              <w:t>0.34</w:t>
            </w: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5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49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89"/>
              </w:rPr>
              <w:t>Assumed exercise or issuance of shares relating to stock plans</w:t>
            </w:r>
          </w:p>
        </w:tc>
        <w:tc>
          <w:tcPr>
            <w:tcW w:w="520" w:type="dxa"/>
            <w:vAlign w:val="bottom"/>
            <w:tcBorders>
              <w:bottom w:val="single" w:sz="8" w:color="auto"/>
            </w:tcBorders>
            <w:shd w:val="clear" w:color="auto" w:fill="E5E5E5"/>
          </w:tcPr>
          <w:p>
            <w:pPr>
              <w:spacing w:after="0"/>
              <w:rPr>
                <w:sz w:val="18"/>
                <w:szCs w:val="18"/>
                <w:color w:val="auto"/>
              </w:rPr>
            </w:pPr>
          </w:p>
        </w:tc>
        <w:tc>
          <w:tcPr>
            <w:tcW w:w="88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20"/>
              <w:spacing w:after="0"/>
              <w:rPr>
                <w:sz w:val="20"/>
                <w:szCs w:val="20"/>
                <w:color w:val="auto"/>
              </w:rPr>
            </w:pPr>
            <w:r>
              <w:rPr>
                <w:rFonts w:ascii="Arial" w:cs="Arial" w:eastAsia="Arial" w:hAnsi="Arial"/>
                <w:sz w:val="18"/>
                <w:szCs w:val="18"/>
                <w:color w:val="auto"/>
              </w:rPr>
              <w:t>36</w:t>
            </w:r>
          </w:p>
        </w:tc>
        <w:tc>
          <w:tcPr>
            <w:tcW w:w="44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spacing w:after="0"/>
              <w:rPr>
                <w:sz w:val="18"/>
                <w:szCs w:val="18"/>
                <w:color w:val="auto"/>
              </w:rPr>
            </w:pPr>
          </w:p>
        </w:tc>
        <w:tc>
          <w:tcPr>
            <w:tcW w:w="380" w:type="dxa"/>
            <w:vAlign w:val="bottom"/>
            <w:tcBorders>
              <w:bottom w:val="single" w:sz="8" w:color="auto"/>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spacing w:after="0"/>
              <w:rPr>
                <w:sz w:val="18"/>
                <w:szCs w:val="18"/>
                <w:color w:val="auto"/>
              </w:rPr>
            </w:pPr>
          </w:p>
        </w:tc>
        <w:tc>
          <w:tcPr>
            <w:tcW w:w="96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33</w:t>
            </w:r>
          </w:p>
        </w:tc>
        <w:tc>
          <w:tcPr>
            <w:tcW w:w="400" w:type="dxa"/>
            <w:vAlign w:val="bottom"/>
            <w:tcBorders>
              <w:bottom w:val="single" w:sz="8" w:color="auto"/>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r>
      <w:tr>
        <w:trPr>
          <w:trHeight w:val="217"/>
        </w:trPr>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Diluted EPS attributable to Comcast Corporation shareholders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b w:val="1"/>
                <w:bCs w:val="1"/>
                <w:color w:val="auto"/>
              </w:rPr>
              <w:t>1,224</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2,744</w:t>
            </w:r>
          </w:p>
        </w:tc>
        <w:tc>
          <w:tcPr>
            <w:tcW w:w="44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96"/>
              </w:rPr>
              <w:t>0.45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tcPr>
          <w:p>
            <w:pPr>
              <w:jc w:val="right"/>
              <w:ind w:right="159"/>
              <w:spacing w:after="0"/>
              <w:rPr>
                <w:sz w:val="20"/>
                <w:szCs w:val="20"/>
                <w:color w:val="auto"/>
              </w:rPr>
            </w:pPr>
            <w:r>
              <w:rPr>
                <w:rFonts w:ascii="Arial" w:cs="Arial" w:eastAsia="Arial" w:hAnsi="Arial"/>
                <w:sz w:val="18"/>
                <w:szCs w:val="18"/>
                <w:b w:val="1"/>
                <w:bCs w:val="1"/>
                <w:color w:val="auto"/>
              </w:rPr>
              <w:t>943</w:t>
            </w:r>
          </w:p>
        </w:tc>
        <w:tc>
          <w:tcPr>
            <w:tcW w:w="96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b w:val="1"/>
                <w:bCs w:val="1"/>
                <w:color w:val="auto"/>
              </w:rPr>
              <w:t>2,805</w:t>
            </w:r>
          </w:p>
        </w:tc>
        <w:tc>
          <w:tcPr>
            <w:tcW w:w="40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4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w w:val="96"/>
              </w:rPr>
              <w:t>0.34</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3: Film and Television Costs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5800" w:type="dxa"/>
            <w:vAlign w:val="bottom"/>
            <w:gridSpan w:val="2"/>
          </w:tcPr>
          <w:p>
            <w:pPr>
              <w:ind w:left="4860"/>
              <w:spacing w:after="0"/>
              <w:rPr>
                <w:sz w:val="20"/>
                <w:szCs w:val="20"/>
                <w:color w:val="auto"/>
              </w:rPr>
            </w:pPr>
            <w:r>
              <w:rPr>
                <w:rFonts w:ascii="Arial" w:cs="Arial" w:eastAsia="Arial" w:hAnsi="Arial"/>
                <w:sz w:val="14"/>
                <w:szCs w:val="14"/>
                <w:color w:val="auto"/>
              </w:rPr>
              <w:t>March 31,</w:t>
            </w:r>
          </w:p>
        </w:tc>
        <w:tc>
          <w:tcPr>
            <w:tcW w:w="1220" w:type="dxa"/>
            <w:vAlign w:val="bottom"/>
            <w:gridSpan w:val="2"/>
          </w:tcPr>
          <w:p>
            <w:pPr>
              <w:ind w:left="360"/>
              <w:spacing w:after="0"/>
              <w:rPr>
                <w:sz w:val="20"/>
                <w:szCs w:val="20"/>
                <w:color w:val="auto"/>
              </w:rPr>
            </w:pPr>
            <w:r>
              <w:rPr>
                <w:rFonts w:ascii="Arial" w:cs="Arial" w:eastAsia="Arial" w:hAnsi="Arial"/>
                <w:sz w:val="14"/>
                <w:szCs w:val="14"/>
                <w:color w:val="auto"/>
                <w:w w:val="95"/>
              </w:rPr>
              <w:t>December 31,</w:t>
            </w:r>
          </w:p>
        </w:tc>
      </w:tr>
      <w:tr>
        <w:trPr>
          <w:trHeight w:val="159"/>
        </w:trPr>
        <w:tc>
          <w:tcPr>
            <w:tcW w:w="44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49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434"/>
              <w:spacing w:after="0" w:line="159" w:lineRule="exact"/>
              <w:rPr>
                <w:sz w:val="20"/>
                <w:szCs w:val="20"/>
                <w:color w:val="auto"/>
              </w:rPr>
            </w:pPr>
            <w:r>
              <w:rPr>
                <w:rFonts w:ascii="Arial" w:cs="Arial" w:eastAsia="Arial" w:hAnsi="Arial"/>
                <w:sz w:val="14"/>
                <w:szCs w:val="14"/>
                <w:color w:val="auto"/>
                <w:w w:val="89"/>
              </w:rPr>
              <w:t>2012</w:t>
            </w:r>
          </w:p>
        </w:tc>
        <w:tc>
          <w:tcPr>
            <w:tcW w:w="52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44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Film Costs:</w:t>
            </w: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16"/>
        </w:trPr>
        <w:tc>
          <w:tcPr>
            <w:tcW w:w="4400" w:type="dxa"/>
            <w:vAlign w:val="bottom"/>
          </w:tcPr>
          <w:p>
            <w:pPr>
              <w:ind w:left="440"/>
              <w:spacing w:after="0"/>
              <w:rPr>
                <w:sz w:val="20"/>
                <w:szCs w:val="20"/>
                <w:color w:val="auto"/>
              </w:rPr>
            </w:pPr>
            <w:r>
              <w:rPr>
                <w:rFonts w:ascii="Arial" w:cs="Arial" w:eastAsia="Arial" w:hAnsi="Arial"/>
                <w:sz w:val="18"/>
                <w:szCs w:val="18"/>
                <w:color w:val="auto"/>
              </w:rPr>
              <w:t>Released, less amortization</w:t>
            </w:r>
          </w:p>
        </w:tc>
        <w:tc>
          <w:tcPr>
            <w:tcW w:w="4980" w:type="dxa"/>
            <w:vAlign w:val="bottom"/>
          </w:tcPr>
          <w:p>
            <w:pPr>
              <w:ind w:left="486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294"/>
              <w:spacing w:after="0"/>
              <w:rPr>
                <w:sz w:val="20"/>
                <w:szCs w:val="20"/>
                <w:color w:val="auto"/>
              </w:rPr>
            </w:pPr>
            <w:r>
              <w:rPr>
                <w:rFonts w:ascii="Arial" w:cs="Arial" w:eastAsia="Arial" w:hAnsi="Arial"/>
                <w:sz w:val="18"/>
                <w:szCs w:val="18"/>
                <w:color w:val="auto"/>
                <w:w w:val="93"/>
              </w:rPr>
              <w:t>1,440</w:t>
            </w:r>
          </w:p>
        </w:tc>
        <w:tc>
          <w:tcPr>
            <w:tcW w:w="520" w:type="dxa"/>
            <w:vAlign w:val="bottom"/>
          </w:tcPr>
          <w:p>
            <w:pPr>
              <w:ind w:left="36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1,428</w:t>
            </w: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Completed, not released</w:t>
            </w: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rPr>
              <w:t>328</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148</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1,079</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1,374</w:t>
            </w:r>
          </w:p>
        </w:tc>
      </w:tr>
      <w:tr>
        <w:trPr>
          <w:trHeight w:val="210"/>
        </w:trPr>
        <w:tc>
          <w:tcPr>
            <w:tcW w:w="4400" w:type="dxa"/>
            <w:vAlign w:val="bottom"/>
            <w:shd w:val="clear" w:color="auto" w:fill="E5E5E5"/>
          </w:tcPr>
          <w:p>
            <w:pPr>
              <w:spacing w:after="0"/>
              <w:rPr>
                <w:sz w:val="18"/>
                <w:szCs w:val="18"/>
                <w:color w:val="auto"/>
              </w:rPr>
            </w:pP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2,847</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2,950</w:t>
            </w:r>
          </w:p>
        </w:tc>
      </w:tr>
      <w:tr>
        <w:trPr>
          <w:trHeight w:val="216"/>
        </w:trPr>
        <w:tc>
          <w:tcPr>
            <w:tcW w:w="4400" w:type="dxa"/>
            <w:vAlign w:val="bottom"/>
          </w:tcPr>
          <w:p>
            <w:pPr>
              <w:spacing w:after="0"/>
              <w:rPr>
                <w:sz w:val="20"/>
                <w:szCs w:val="20"/>
                <w:color w:val="auto"/>
              </w:rPr>
            </w:pPr>
            <w:r>
              <w:rPr>
                <w:rFonts w:ascii="Arial" w:cs="Arial" w:eastAsia="Arial" w:hAnsi="Arial"/>
                <w:sz w:val="18"/>
                <w:szCs w:val="18"/>
                <w:b w:val="1"/>
                <w:bCs w:val="1"/>
                <w:color w:val="auto"/>
              </w:rPr>
              <w:t>Television Costs:</w:t>
            </w:r>
          </w:p>
        </w:tc>
        <w:tc>
          <w:tcPr>
            <w:tcW w:w="49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00" w:type="dxa"/>
            <w:vAlign w:val="bottom"/>
            <w:shd w:val="clear" w:color="auto" w:fill="E5E5E5"/>
          </w:tcPr>
          <w:p>
            <w:pPr>
              <w:ind w:left="440"/>
              <w:spacing w:after="0"/>
              <w:rPr>
                <w:sz w:val="20"/>
                <w:szCs w:val="20"/>
                <w:color w:val="auto"/>
              </w:rPr>
            </w:pPr>
            <w:r>
              <w:rPr>
                <w:rFonts w:ascii="Arial" w:cs="Arial" w:eastAsia="Arial" w:hAnsi="Arial"/>
                <w:sz w:val="18"/>
                <w:szCs w:val="18"/>
                <w:color w:val="auto"/>
              </w:rPr>
              <w:t>Released, less amortization</w:t>
            </w: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1,019</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1,002</w:t>
            </w:r>
          </w:p>
        </w:tc>
      </w:tr>
      <w:tr>
        <w:trPr>
          <w:trHeight w:val="216"/>
        </w:trPr>
        <w:tc>
          <w:tcPr>
            <w:tcW w:w="4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In-production and in-development</w:t>
            </w:r>
          </w:p>
        </w:tc>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rPr>
              <w:t>143</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201</w:t>
            </w:r>
          </w:p>
        </w:tc>
      </w:tr>
      <w:tr>
        <w:trPr>
          <w:trHeight w:val="210"/>
        </w:trPr>
        <w:tc>
          <w:tcPr>
            <w:tcW w:w="4400" w:type="dxa"/>
            <w:vAlign w:val="bottom"/>
            <w:shd w:val="clear" w:color="auto" w:fill="E5E5E5"/>
          </w:tcPr>
          <w:p>
            <w:pPr>
              <w:spacing w:after="0"/>
              <w:rPr>
                <w:sz w:val="18"/>
                <w:szCs w:val="18"/>
                <w:color w:val="auto"/>
              </w:rPr>
            </w:pP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1,162</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1,203</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Programming rights, less amortization</w:t>
            </w:r>
          </w:p>
        </w:tc>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2,114</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2,061</w:t>
            </w:r>
          </w:p>
        </w:tc>
      </w:tr>
      <w:tr>
        <w:trPr>
          <w:trHeight w:val="210"/>
        </w:trPr>
        <w:tc>
          <w:tcPr>
            <w:tcW w:w="4400" w:type="dxa"/>
            <w:vAlign w:val="bottom"/>
            <w:shd w:val="clear" w:color="auto" w:fill="E5E5E5"/>
          </w:tcPr>
          <w:p>
            <w:pPr>
              <w:spacing w:after="0"/>
              <w:rPr>
                <w:sz w:val="18"/>
                <w:szCs w:val="18"/>
                <w:color w:val="auto"/>
              </w:rPr>
            </w:pPr>
          </w:p>
        </w:tc>
        <w:tc>
          <w:tcPr>
            <w:tcW w:w="49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94"/>
              <w:spacing w:after="0"/>
              <w:rPr>
                <w:sz w:val="20"/>
                <w:szCs w:val="20"/>
                <w:color w:val="auto"/>
              </w:rPr>
            </w:pPr>
            <w:r>
              <w:rPr>
                <w:rFonts w:ascii="Arial" w:cs="Arial" w:eastAsia="Arial" w:hAnsi="Arial"/>
                <w:sz w:val="18"/>
                <w:szCs w:val="18"/>
                <w:color w:val="auto"/>
                <w:w w:val="93"/>
              </w:rPr>
              <w:t>6,123</w:t>
            </w:r>
          </w:p>
        </w:tc>
        <w:tc>
          <w:tcPr>
            <w:tcW w:w="52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6,214</w:t>
            </w:r>
          </w:p>
        </w:tc>
      </w:tr>
      <w:tr>
        <w:trPr>
          <w:trHeight w:val="216"/>
        </w:trPr>
        <w:tc>
          <w:tcPr>
            <w:tcW w:w="4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Less: Current portion of programming rights</w:t>
            </w:r>
          </w:p>
        </w:tc>
        <w:tc>
          <w:tcPr>
            <w:tcW w:w="49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8"/>
                <w:szCs w:val="18"/>
                <w:color w:val="auto"/>
                <w:w w:val="93"/>
              </w:rPr>
              <w:t>1,011</w:t>
            </w:r>
          </w:p>
        </w:tc>
        <w:tc>
          <w:tcPr>
            <w:tcW w:w="5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987</w:t>
            </w:r>
          </w:p>
        </w:tc>
      </w:tr>
      <w:tr>
        <w:trPr>
          <w:trHeight w:val="217"/>
        </w:trPr>
        <w:tc>
          <w:tcPr>
            <w:tcW w:w="4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Film and television costs</w:t>
            </w:r>
          </w:p>
        </w:tc>
        <w:tc>
          <w:tcPr>
            <w:tcW w:w="4980" w:type="dxa"/>
            <w:vAlign w:val="bottom"/>
            <w:tcBorders>
              <w:bottom w:val="single" w:sz="8" w:color="auto"/>
            </w:tcBorders>
            <w:shd w:val="clear" w:color="auto" w:fill="E5E5E5"/>
          </w:tcPr>
          <w:p>
            <w:pPr>
              <w:ind w:left="4860"/>
              <w:spacing w:after="0"/>
              <w:rPr>
                <w:sz w:val="20"/>
                <w:szCs w:val="20"/>
                <w:color w:val="auto"/>
              </w:rPr>
            </w:pPr>
            <w:r>
              <w:rPr>
                <w:rFonts w:ascii="Arial" w:cs="Arial" w:eastAsia="Arial" w:hAnsi="Arial"/>
                <w:sz w:val="18"/>
                <w:szCs w:val="18"/>
                <w:b w:val="1"/>
                <w:bCs w:val="1"/>
                <w:color w:val="auto"/>
                <w:w w:val="99"/>
              </w:rPr>
              <w:t>$</w:t>
            </w:r>
          </w:p>
        </w:tc>
        <w:tc>
          <w:tcPr>
            <w:tcW w:w="820" w:type="dxa"/>
            <w:vAlign w:val="bottom"/>
            <w:tcBorders>
              <w:bottom w:val="single" w:sz="8" w:color="auto"/>
            </w:tcBorders>
            <w:shd w:val="clear" w:color="auto" w:fill="E5E5E5"/>
          </w:tcPr>
          <w:p>
            <w:pPr>
              <w:jc w:val="right"/>
              <w:ind w:right="294"/>
              <w:spacing w:after="0"/>
              <w:rPr>
                <w:sz w:val="20"/>
                <w:szCs w:val="20"/>
                <w:color w:val="auto"/>
              </w:rPr>
            </w:pPr>
            <w:r>
              <w:rPr>
                <w:rFonts w:ascii="Arial" w:cs="Arial" w:eastAsia="Arial" w:hAnsi="Arial"/>
                <w:sz w:val="18"/>
                <w:szCs w:val="18"/>
                <w:b w:val="1"/>
                <w:bCs w:val="1"/>
                <w:color w:val="auto"/>
                <w:w w:val="93"/>
              </w:rPr>
              <w:t>5,112</w:t>
            </w:r>
          </w:p>
        </w:tc>
        <w:tc>
          <w:tcPr>
            <w:tcW w:w="520" w:type="dxa"/>
            <w:vAlign w:val="bottom"/>
            <w:tcBorders>
              <w:bottom w:val="single" w:sz="8" w:color="auto"/>
            </w:tcBorders>
            <w:shd w:val="clear" w:color="auto" w:fill="E5E5E5"/>
          </w:tcPr>
          <w:p>
            <w:pPr>
              <w:ind w:left="36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b w:val="1"/>
                <w:bCs w:val="1"/>
                <w:color w:val="auto"/>
              </w:rPr>
              <w:t>5,227</w:t>
            </w:r>
          </w:p>
        </w:tc>
      </w:tr>
      <w:tr>
        <w:trPr>
          <w:trHeight w:val="363"/>
        </w:trPr>
        <w:tc>
          <w:tcPr>
            <w:tcW w:w="4400" w:type="dxa"/>
            <w:vAlign w:val="bottom"/>
          </w:tcPr>
          <w:p>
            <w:pPr>
              <w:spacing w:after="0"/>
              <w:rPr>
                <w:sz w:val="24"/>
                <w:szCs w:val="24"/>
                <w:color w:val="auto"/>
              </w:rPr>
            </w:pPr>
          </w:p>
        </w:tc>
        <w:tc>
          <w:tcPr>
            <w:tcW w:w="4980" w:type="dxa"/>
            <w:vAlign w:val="bottom"/>
          </w:tcPr>
          <w:p>
            <w:pPr>
              <w:jc w:val="right"/>
              <w:ind w:right="3537"/>
              <w:spacing w:after="0"/>
              <w:rPr>
                <w:sz w:val="20"/>
                <w:szCs w:val="20"/>
                <w:color w:val="auto"/>
              </w:rPr>
            </w:pPr>
            <w:r>
              <w:rPr>
                <w:rFonts w:ascii="Arial" w:cs="Arial" w:eastAsia="Arial" w:hAnsi="Arial"/>
                <w:sz w:val="18"/>
                <w:szCs w:val="18"/>
                <w:color w:val="auto"/>
              </w:rPr>
              <w:t>7</w:t>
            </w: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4: Investments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4420" w:type="dxa"/>
            <w:vAlign w:val="bottom"/>
            <w:gridSpan w:val="2"/>
          </w:tcPr>
          <w:p>
            <w:pPr>
              <w:ind w:left="3540"/>
              <w:spacing w:after="0"/>
              <w:rPr>
                <w:sz w:val="20"/>
                <w:szCs w:val="20"/>
                <w:color w:val="auto"/>
              </w:rPr>
            </w:pPr>
            <w:r>
              <w:rPr>
                <w:rFonts w:ascii="Arial" w:cs="Arial" w:eastAsia="Arial" w:hAnsi="Arial"/>
                <w:sz w:val="14"/>
                <w:szCs w:val="14"/>
                <w:color w:val="auto"/>
              </w:rPr>
              <w:t>March 31,</w:t>
            </w:r>
          </w:p>
        </w:tc>
        <w:tc>
          <w:tcPr>
            <w:tcW w:w="1180" w:type="dxa"/>
            <w:vAlign w:val="bottom"/>
            <w:gridSpan w:val="2"/>
          </w:tcPr>
          <w:p>
            <w:pPr>
              <w:ind w:left="320"/>
              <w:spacing w:after="0"/>
              <w:rPr>
                <w:sz w:val="20"/>
                <w:szCs w:val="20"/>
                <w:color w:val="auto"/>
              </w:rPr>
            </w:pPr>
            <w:r>
              <w:rPr>
                <w:rFonts w:ascii="Arial" w:cs="Arial" w:eastAsia="Arial" w:hAnsi="Arial"/>
                <w:sz w:val="14"/>
                <w:szCs w:val="14"/>
                <w:color w:val="auto"/>
                <w:w w:val="95"/>
              </w:rPr>
              <w:t>December 31,</w:t>
            </w:r>
          </w:p>
        </w:tc>
      </w:tr>
      <w:tr>
        <w:trPr>
          <w:trHeight w:val="159"/>
        </w:trPr>
        <w:tc>
          <w:tcPr>
            <w:tcW w:w="582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6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394"/>
              <w:spacing w:after="0" w:line="159" w:lineRule="exact"/>
              <w:rPr>
                <w:sz w:val="20"/>
                <w:szCs w:val="20"/>
                <w:color w:val="auto"/>
              </w:rPr>
            </w:pPr>
            <w:r>
              <w:rPr>
                <w:rFonts w:ascii="Arial" w:cs="Arial" w:eastAsia="Arial" w:hAnsi="Arial"/>
                <w:sz w:val="14"/>
                <w:szCs w:val="14"/>
                <w:color w:val="auto"/>
                <w:w w:val="96"/>
              </w:rPr>
              <w:t>2012</w:t>
            </w: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4"/>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820" w:type="dxa"/>
            <w:vAlign w:val="bottom"/>
            <w:shd w:val="clear" w:color="auto" w:fill="E5E5E5"/>
          </w:tcPr>
          <w:p>
            <w:pPr>
              <w:spacing w:after="0"/>
              <w:rPr>
                <w:sz w:val="20"/>
                <w:szCs w:val="20"/>
                <w:color w:val="auto"/>
              </w:rPr>
            </w:pPr>
            <w:r>
              <w:rPr>
                <w:rFonts w:ascii="Arial" w:cs="Arial" w:eastAsia="Arial" w:hAnsi="Arial"/>
                <w:sz w:val="18"/>
                <w:szCs w:val="18"/>
                <w:color w:val="auto"/>
              </w:rPr>
              <w:t>Fair value method</w:t>
            </w:r>
          </w:p>
        </w:tc>
        <w:tc>
          <w:tcPr>
            <w:tcW w:w="3620" w:type="dxa"/>
            <w:vAlign w:val="bottom"/>
            <w:shd w:val="clear" w:color="auto" w:fill="E5E5E5"/>
          </w:tcPr>
          <w:p>
            <w:pPr>
              <w:ind w:left="352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3,544</w:t>
            </w:r>
          </w:p>
        </w:tc>
        <w:tc>
          <w:tcPr>
            <w:tcW w:w="480" w:type="dxa"/>
            <w:vAlign w:val="bottom"/>
            <w:shd w:val="clear" w:color="auto" w:fill="E5E5E5"/>
          </w:tcPr>
          <w:p>
            <w:pPr>
              <w:ind w:left="3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3,028</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Equity Method:</w:t>
            </w: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A&amp;E Television Networks</w:t>
            </w: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2,019</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2,021</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SpectrumCo</w:t>
            </w:r>
          </w:p>
        </w:tc>
        <w:tc>
          <w:tcPr>
            <w:tcW w:w="36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1,414</w:t>
            </w:r>
          </w:p>
        </w:tc>
        <w:tc>
          <w:tcPr>
            <w:tcW w:w="4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1,417</w:t>
            </w:r>
          </w:p>
        </w:tc>
      </w:tr>
      <w:tr>
        <w:trPr>
          <w:trHeight w:val="216"/>
        </w:trPr>
        <w:tc>
          <w:tcPr>
            <w:tcW w:w="5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 Weather Channel</w:t>
            </w: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464</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463</w:t>
            </w:r>
          </w:p>
        </w:tc>
      </w:tr>
      <w:tr>
        <w:trPr>
          <w:trHeight w:val="216"/>
        </w:trPr>
        <w:tc>
          <w:tcPr>
            <w:tcW w:w="5820" w:type="dxa"/>
            <w:vAlign w:val="bottom"/>
          </w:tcPr>
          <w:p>
            <w:pPr>
              <w:ind w:left="440"/>
              <w:spacing w:after="0"/>
              <w:rPr>
                <w:sz w:val="20"/>
                <w:szCs w:val="20"/>
                <w:color w:val="auto"/>
              </w:rPr>
            </w:pPr>
            <w:r>
              <w:rPr>
                <w:rFonts w:ascii="Arial" w:cs="Arial" w:eastAsia="Arial" w:hAnsi="Arial"/>
                <w:sz w:val="18"/>
                <w:szCs w:val="18"/>
                <w:color w:val="auto"/>
              </w:rPr>
              <w:t>MSNBC.com</w:t>
            </w:r>
          </w:p>
        </w:tc>
        <w:tc>
          <w:tcPr>
            <w:tcW w:w="36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rPr>
              <w:t>175</w:t>
            </w:r>
          </w:p>
        </w:tc>
        <w:tc>
          <w:tcPr>
            <w:tcW w:w="4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174</w:t>
            </w:r>
          </w:p>
        </w:tc>
      </w:tr>
      <w:tr>
        <w:trPr>
          <w:trHeight w:val="216"/>
        </w:trPr>
        <w:tc>
          <w:tcPr>
            <w:tcW w:w="5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Clearwire LLC</w:t>
            </w: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25</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69</w:t>
            </w:r>
          </w:p>
        </w:tc>
      </w:tr>
      <w:tr>
        <w:trPr>
          <w:trHeight w:val="216"/>
        </w:trPr>
        <w:tc>
          <w:tcPr>
            <w:tcW w:w="5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736</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736</w:t>
            </w:r>
          </w:p>
        </w:tc>
      </w:tr>
      <w:tr>
        <w:trPr>
          <w:trHeight w:val="210"/>
        </w:trPr>
        <w:tc>
          <w:tcPr>
            <w:tcW w:w="5820" w:type="dxa"/>
            <w:vAlign w:val="bottom"/>
            <w:shd w:val="clear" w:color="auto" w:fill="E5E5E5"/>
          </w:tcPr>
          <w:p>
            <w:pPr>
              <w:spacing w:after="0"/>
              <w:rPr>
                <w:sz w:val="18"/>
                <w:szCs w:val="18"/>
                <w:color w:val="auto"/>
              </w:rPr>
            </w:pP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4,833</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4,880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Cost Method:</w:t>
            </w:r>
          </w:p>
        </w:tc>
        <w:tc>
          <w:tcPr>
            <w:tcW w:w="3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8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AirTouch</w:t>
            </w: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1,527</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1,523</w:t>
            </w:r>
          </w:p>
        </w:tc>
      </w:tr>
      <w:tr>
        <w:trPr>
          <w:trHeight w:val="216"/>
        </w:trPr>
        <w:tc>
          <w:tcPr>
            <w:tcW w:w="58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6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473</w:t>
            </w:r>
          </w:p>
        </w:tc>
        <w:tc>
          <w:tcPr>
            <w:tcW w:w="4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477</w:t>
            </w:r>
          </w:p>
        </w:tc>
      </w:tr>
      <w:tr>
        <w:trPr>
          <w:trHeight w:val="210"/>
        </w:trPr>
        <w:tc>
          <w:tcPr>
            <w:tcW w:w="5820" w:type="dxa"/>
            <w:vAlign w:val="bottom"/>
            <w:shd w:val="clear" w:color="auto" w:fill="E5E5E5"/>
          </w:tcPr>
          <w:p>
            <w:pPr>
              <w:spacing w:after="0"/>
              <w:rPr>
                <w:sz w:val="18"/>
                <w:szCs w:val="18"/>
                <w:color w:val="auto"/>
              </w:rPr>
            </w:pPr>
          </w:p>
        </w:tc>
        <w:tc>
          <w:tcPr>
            <w:tcW w:w="362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2,000</w:t>
            </w:r>
          </w:p>
        </w:tc>
        <w:tc>
          <w:tcPr>
            <w:tcW w:w="48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2,000</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Total investments</w:t>
            </w:r>
          </w:p>
        </w:tc>
        <w:tc>
          <w:tcPr>
            <w:tcW w:w="3620" w:type="dxa"/>
            <w:vAlign w:val="bottom"/>
          </w:tcPr>
          <w:p>
            <w:pPr>
              <w:spacing w:after="0"/>
              <w:rPr>
                <w:sz w:val="18"/>
                <w:szCs w:val="18"/>
                <w:color w:val="auto"/>
              </w:rPr>
            </w:pPr>
          </w:p>
        </w:tc>
        <w:tc>
          <w:tcPr>
            <w:tcW w:w="800" w:type="dxa"/>
            <w:vAlign w:val="bottom"/>
          </w:tcPr>
          <w:p>
            <w:pPr>
              <w:jc w:val="right"/>
              <w:ind w:right="234"/>
              <w:spacing w:after="0"/>
              <w:rPr>
                <w:sz w:val="20"/>
                <w:szCs w:val="20"/>
                <w:color w:val="auto"/>
              </w:rPr>
            </w:pPr>
            <w:r>
              <w:rPr>
                <w:rFonts w:ascii="Arial" w:cs="Arial" w:eastAsia="Arial" w:hAnsi="Arial"/>
                <w:sz w:val="18"/>
                <w:szCs w:val="18"/>
                <w:color w:val="auto"/>
                <w:w w:val="83"/>
              </w:rPr>
              <w:t>10,377</w:t>
            </w:r>
          </w:p>
        </w:tc>
        <w:tc>
          <w:tcPr>
            <w:tcW w:w="480" w:type="dxa"/>
            <w:vAlign w:val="bottom"/>
          </w:tcPr>
          <w:p>
            <w:pPr>
              <w:spacing w:after="0"/>
              <w:rPr>
                <w:sz w:val="18"/>
                <w:szCs w:val="18"/>
                <w:color w:val="auto"/>
              </w:rPr>
            </w:pPr>
          </w:p>
        </w:tc>
        <w:tc>
          <w:tcPr>
            <w:tcW w:w="700" w:type="dxa"/>
            <w:vAlign w:val="bottom"/>
          </w:tcPr>
          <w:p>
            <w:pPr>
              <w:jc w:val="right"/>
              <w:ind w:right="14"/>
              <w:spacing w:after="0"/>
              <w:rPr>
                <w:sz w:val="20"/>
                <w:szCs w:val="20"/>
                <w:color w:val="auto"/>
              </w:rPr>
            </w:pPr>
            <w:r>
              <w:rPr>
                <w:rFonts w:ascii="Arial" w:cs="Arial" w:eastAsia="Arial" w:hAnsi="Arial"/>
                <w:sz w:val="18"/>
                <w:szCs w:val="18"/>
                <w:color w:val="auto"/>
              </w:rPr>
              <w:t>9,908</w:t>
            </w:r>
          </w:p>
        </w:tc>
      </w:tr>
      <w:tr>
        <w:trPr>
          <w:trHeight w:val="216"/>
        </w:trPr>
        <w:tc>
          <w:tcPr>
            <w:tcW w:w="58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Current investments</w:t>
            </w:r>
            <w:r>
              <w:rPr>
                <w:rFonts w:ascii="Arial" w:cs="Arial" w:eastAsia="Arial" w:hAnsi="Arial"/>
                <w:sz w:val="11"/>
                <w:szCs w:val="11"/>
                <w:color w:val="auto"/>
              </w:rPr>
              <w:t>(a)</w:t>
            </w:r>
          </w:p>
        </w:tc>
        <w:tc>
          <w:tcPr>
            <w:tcW w:w="362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228</w:t>
            </w:r>
          </w:p>
        </w:tc>
        <w:tc>
          <w:tcPr>
            <w:tcW w:w="48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54</w:t>
            </w:r>
          </w:p>
        </w:tc>
      </w:tr>
      <w:tr>
        <w:trPr>
          <w:trHeight w:val="217"/>
        </w:trPr>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Noncurrent investments</w:t>
            </w:r>
          </w:p>
        </w:tc>
        <w:tc>
          <w:tcPr>
            <w:tcW w:w="3620" w:type="dxa"/>
            <w:vAlign w:val="bottom"/>
            <w:tcBorders>
              <w:bottom w:val="single" w:sz="8" w:color="auto"/>
            </w:tcBorders>
          </w:tcPr>
          <w:p>
            <w:pPr>
              <w:ind w:left="352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b w:val="1"/>
                <w:bCs w:val="1"/>
                <w:color w:val="auto"/>
                <w:w w:val="83"/>
              </w:rPr>
              <w:t>10,149</w:t>
            </w:r>
          </w:p>
        </w:tc>
        <w:tc>
          <w:tcPr>
            <w:tcW w:w="4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9,854</w:t>
            </w:r>
          </w:p>
        </w:tc>
      </w:tr>
    </w:tbl>
    <w:p>
      <w:pPr>
        <w:spacing w:after="0" w:line="5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4"/>
          <w:szCs w:val="14"/>
          <w:color w:val="auto"/>
        </w:rPr>
      </w:pPr>
      <w:r>
        <w:rPr>
          <w:rFonts w:ascii="Arial" w:cs="Arial" w:eastAsia="Arial" w:hAnsi="Arial"/>
          <w:sz w:val="14"/>
          <w:szCs w:val="14"/>
          <w:color w:val="auto"/>
        </w:rPr>
        <w:t>Current investments are included in other current assets in our condensed consolidated balance sheet.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Method</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March 31, 2012, we held as collateral $3.5 billion of fair value method equity securities related to our obligations under prepaid forward sale agreements. As of March 31, 2012, our prepaid forward sale obligations were recorded at $2.9 billion and had an estimated fair value of approximately $3.0 billion. The estimated fair values are based on Level 2 inputs using pricing models whose inputs are derived primarily from or corroborated by observable market data through correlation or other means for substantially the full term of the financial instrument.</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Method</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On March 26, 2012, NBCUniversal exercised an option that requires A&amp;E Television Networks LLC (“A&amp;E Television Networks”) to redeem a substantial portion of NBCUniversal’s equity interest in A&amp;E Television Networks. We expect the transaction to close during the second half of 2012, upon the agreement by all parties as to the value of NBCUniversal’s equity interest. Under the terms of our existing shareholder agreement, NBCUniversal is required to provide a last dollar guarantee of indebtedness that A&amp;E Television Networks may incur to finance the purchase of NBCUniversal’s equity interest.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Method</w:t>
      </w:r>
    </w:p>
    <w:p>
      <w:pPr>
        <w:spacing w:after="0" w:line="7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hold two series of preferred stock of AirTouch Communications, Inc. (“AirTouch”), a subsidiary of Vodafone, which are redeemable in April 2020. As of March 31, 2012, the estimated fair value of the AirTouch preferred stock and the associated liability related to redeemable preferred shares issued by one of our consolidated subsidiaries was approximately $1.8 billion. The estimated fair values are primarily based on Level 2 inputs using pricing models whose inputs are derived from or corroborated by observable market data through correlation or other means for substantially the full term of the financial instrument.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Investment Income (Loss), Net</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3"/>
          </w:tcPr>
          <w:p>
            <w:pPr>
              <w:jc w:val="right"/>
              <w:ind w:right="35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6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66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37"/>
              <w:spacing w:after="0" w:line="142" w:lineRule="exact"/>
              <w:rPr>
                <w:sz w:val="20"/>
                <w:szCs w:val="20"/>
                <w:color w:val="auto"/>
              </w:rPr>
            </w:pPr>
            <w:r>
              <w:rPr>
                <w:rFonts w:ascii="Arial" w:cs="Arial" w:eastAsia="Arial" w:hAnsi="Arial"/>
                <w:sz w:val="14"/>
                <w:szCs w:val="14"/>
                <w:color w:val="auto"/>
                <w:w w:val="89"/>
              </w:rPr>
              <w:t>2012</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8660" w:type="dxa"/>
            <w:vAlign w:val="bottom"/>
            <w:shd w:val="clear" w:color="auto" w:fill="E5E5E5"/>
          </w:tcPr>
          <w:p>
            <w:pPr>
              <w:spacing w:after="0"/>
              <w:rPr>
                <w:sz w:val="20"/>
                <w:szCs w:val="20"/>
                <w:color w:val="auto"/>
              </w:rPr>
            </w:pPr>
            <w:r>
              <w:rPr>
                <w:rFonts w:ascii="Arial" w:cs="Arial" w:eastAsia="Arial" w:hAnsi="Arial"/>
                <w:sz w:val="18"/>
                <w:szCs w:val="18"/>
                <w:color w:val="auto"/>
              </w:rPr>
              <w:t>Gains on sales and exchanges of investments, net</w:t>
            </w: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7</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rPr>
              <w:t>Investment impairment losses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66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securities underlying prepaid forward sale agreements</w:t>
            </w:r>
          </w:p>
        </w:tc>
        <w:tc>
          <w:tcPr>
            <w:tcW w:w="9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516</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216"/>
        </w:trPr>
        <w:tc>
          <w:tcPr>
            <w:tcW w:w="8660" w:type="dxa"/>
            <w:vAlign w:val="bottom"/>
          </w:tcPr>
          <w:p>
            <w:pPr>
              <w:spacing w:after="0"/>
              <w:rPr>
                <w:sz w:val="20"/>
                <w:szCs w:val="20"/>
                <w:color w:val="auto"/>
              </w:rPr>
            </w:pPr>
            <w:r>
              <w:rPr>
                <w:rFonts w:ascii="Arial" w:cs="Arial" w:eastAsia="Arial" w:hAnsi="Arial"/>
                <w:sz w:val="18"/>
                <w:szCs w:val="18"/>
                <w:color w:val="auto"/>
                <w:w w:val="90"/>
              </w:rPr>
              <w:t>Mark to market adjustments on derivative component of prepaid forward sale agreements and indexed debt instruments</w:t>
            </w:r>
          </w:p>
        </w:tc>
        <w:tc>
          <w:tcPr>
            <w:tcW w:w="9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(470)</w:t>
            </w:r>
          </w:p>
        </w:tc>
        <w:tc>
          <w:tcPr>
            <w:tcW w:w="7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16"/>
        </w:trPr>
        <w:tc>
          <w:tcPr>
            <w:tcW w:w="8660" w:type="dxa"/>
            <w:vAlign w:val="bottom"/>
            <w:shd w:val="clear" w:color="auto" w:fill="E5E5E5"/>
          </w:tcPr>
          <w:p>
            <w:pPr>
              <w:spacing w:after="0"/>
              <w:rPr>
                <w:sz w:val="20"/>
                <w:szCs w:val="20"/>
                <w:color w:val="auto"/>
              </w:rPr>
            </w:pPr>
            <w:r>
              <w:rPr>
                <w:rFonts w:ascii="Arial" w:cs="Arial" w:eastAsia="Arial" w:hAnsi="Arial"/>
                <w:sz w:val="18"/>
                <w:szCs w:val="18"/>
                <w:color w:val="auto"/>
              </w:rPr>
              <w:t>Interest and dividend income</w:t>
            </w:r>
          </w:p>
        </w:tc>
        <w:tc>
          <w:tcPr>
            <w:tcW w:w="9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29</w:t>
            </w:r>
          </w:p>
        </w:tc>
        <w:tc>
          <w:tcPr>
            <w:tcW w:w="76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6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net</w:t>
            </w: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22</w:t>
            </w:r>
          </w:p>
        </w:tc>
        <w:tc>
          <w:tcPr>
            <w:tcW w:w="76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6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Investment income (loss), net</w:t>
            </w: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7"/>
              <w:spacing w:after="0"/>
              <w:rPr>
                <w:sz w:val="20"/>
                <w:szCs w:val="20"/>
                <w:color w:val="auto"/>
              </w:rPr>
            </w:pPr>
            <w:r>
              <w:rPr>
                <w:rFonts w:ascii="Arial" w:cs="Arial" w:eastAsia="Arial" w:hAnsi="Arial"/>
                <w:sz w:val="18"/>
                <w:szCs w:val="18"/>
                <w:b w:val="1"/>
                <w:bCs w:val="1"/>
                <w:color w:val="auto"/>
              </w:rPr>
              <w:t>92</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b w:val="1"/>
                <w:bCs w:val="1"/>
                <w:color w:val="auto"/>
              </w:rPr>
              <w:t>89</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5: Goodwill</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40" w:type="dxa"/>
            <w:vAlign w:val="bottom"/>
            <w:vMerge w:val="restart"/>
          </w:tcPr>
          <w:p>
            <w:pPr>
              <w:jc w:val="right"/>
              <w:ind w:right="336"/>
              <w:spacing w:after="0"/>
              <w:rPr>
                <w:sz w:val="20"/>
                <w:szCs w:val="20"/>
                <w:color w:val="auto"/>
              </w:rPr>
            </w:pPr>
            <w:r>
              <w:rPr>
                <w:rFonts w:ascii="Arial" w:cs="Arial" w:eastAsia="Arial" w:hAnsi="Arial"/>
                <w:sz w:val="14"/>
                <w:szCs w:val="14"/>
                <w:color w:val="auto"/>
              </w:rPr>
              <w:t>Cable</w:t>
            </w:r>
          </w:p>
        </w:tc>
        <w:tc>
          <w:tcPr>
            <w:tcW w:w="12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color w:val="auto"/>
                <w:w w:val="88"/>
              </w:rPr>
              <w:t>NBCUniversal</w:t>
            </w:r>
          </w:p>
        </w:tc>
        <w:tc>
          <w:tcPr>
            <w:tcW w:w="8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220" w:type="dxa"/>
            <w:vAlign w:val="bottom"/>
            <w:gridSpan w:val="2"/>
            <w:vMerge w:val="restart"/>
          </w:tcPr>
          <w:p>
            <w:pPr>
              <w:ind w:left="420"/>
              <w:spacing w:after="0"/>
              <w:rPr>
                <w:sz w:val="20"/>
                <w:szCs w:val="20"/>
                <w:color w:val="auto"/>
              </w:rPr>
            </w:pPr>
            <w:r>
              <w:rPr>
                <w:rFonts w:ascii="Arial" w:cs="Arial" w:eastAsia="Arial" w:hAnsi="Arial"/>
                <w:sz w:val="14"/>
                <w:szCs w:val="14"/>
                <w:color w:val="auto"/>
              </w:rPr>
              <w:t>Corporate</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40" w:type="dxa"/>
            <w:vAlign w:val="bottom"/>
            <w:vMerge w:val="continue"/>
          </w:tcPr>
          <w:p>
            <w:pPr>
              <w:spacing w:after="0"/>
              <w:rPr>
                <w:sz w:val="11"/>
                <w:szCs w:val="11"/>
                <w:color w:val="auto"/>
              </w:rPr>
            </w:pPr>
          </w:p>
        </w:tc>
        <w:tc>
          <w:tcPr>
            <w:tcW w:w="1280" w:type="dxa"/>
            <w:vAlign w:val="bottom"/>
          </w:tcPr>
          <w:p>
            <w:pPr>
              <w:jc w:val="right"/>
              <w:ind w:right="319"/>
              <w:spacing w:after="0" w:line="131" w:lineRule="exact"/>
              <w:rPr>
                <w:sz w:val="20"/>
                <w:szCs w:val="20"/>
                <w:color w:val="auto"/>
              </w:rPr>
            </w:pPr>
            <w:r>
              <w:rPr>
                <w:rFonts w:ascii="Arial" w:cs="Arial" w:eastAsia="Arial" w:hAnsi="Arial"/>
                <w:sz w:val="14"/>
                <w:szCs w:val="14"/>
                <w:color w:val="auto"/>
              </w:rPr>
              <w:t>Cable</w:t>
            </w:r>
          </w:p>
        </w:tc>
        <w:tc>
          <w:tcPr>
            <w:tcW w:w="112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Broadcast</w:t>
            </w:r>
          </w:p>
        </w:tc>
        <w:tc>
          <w:tcPr>
            <w:tcW w:w="440" w:type="dxa"/>
            <w:vAlign w:val="bottom"/>
          </w:tcPr>
          <w:p>
            <w:pPr>
              <w:spacing w:after="0"/>
              <w:rPr>
                <w:sz w:val="11"/>
                <w:szCs w:val="11"/>
                <w:color w:val="auto"/>
              </w:rPr>
            </w:pPr>
          </w:p>
        </w:tc>
        <w:tc>
          <w:tcPr>
            <w:tcW w:w="840" w:type="dxa"/>
            <w:vAlign w:val="bottom"/>
          </w:tcPr>
          <w:p>
            <w:pPr>
              <w:jc w:val="right"/>
              <w:ind w:right="376"/>
              <w:spacing w:after="0" w:line="131" w:lineRule="exact"/>
              <w:rPr>
                <w:sz w:val="20"/>
                <w:szCs w:val="20"/>
                <w:color w:val="auto"/>
              </w:rPr>
            </w:pPr>
            <w:r>
              <w:rPr>
                <w:rFonts w:ascii="Arial" w:cs="Arial" w:eastAsia="Arial" w:hAnsi="Arial"/>
                <w:sz w:val="14"/>
                <w:szCs w:val="14"/>
                <w:color w:val="auto"/>
                <w:w w:val="85"/>
              </w:rPr>
              <w:t>Filmed</w:t>
            </w:r>
          </w:p>
        </w:tc>
        <w:tc>
          <w:tcPr>
            <w:tcW w:w="880" w:type="dxa"/>
            <w:vAlign w:val="bottom"/>
          </w:tcPr>
          <w:p>
            <w:pPr>
              <w:jc w:val="right"/>
              <w:ind w:right="99"/>
              <w:spacing w:after="0" w:line="131" w:lineRule="exact"/>
              <w:rPr>
                <w:sz w:val="20"/>
                <w:szCs w:val="20"/>
                <w:color w:val="auto"/>
              </w:rPr>
            </w:pPr>
            <w:r>
              <w:rPr>
                <w:rFonts w:ascii="Arial" w:cs="Arial" w:eastAsia="Arial" w:hAnsi="Arial"/>
                <w:sz w:val="14"/>
                <w:szCs w:val="14"/>
                <w:color w:val="auto"/>
              </w:rPr>
              <w:t>Theme</w:t>
            </w:r>
          </w:p>
        </w:tc>
        <w:tc>
          <w:tcPr>
            <w:tcW w:w="1220" w:type="dxa"/>
            <w:vAlign w:val="bottom"/>
            <w:gridSpan w:val="2"/>
            <w:vMerge w:val="continue"/>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8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840" w:type="dxa"/>
            <w:vAlign w:val="bottom"/>
            <w:tcBorders>
              <w:bottom w:val="single" w:sz="8" w:color="auto"/>
            </w:tcBorders>
            <w:gridSpan w:val="2"/>
          </w:tcPr>
          <w:p>
            <w:pPr>
              <w:ind w:left="800"/>
              <w:spacing w:after="0" w:line="159" w:lineRule="exact"/>
              <w:rPr>
                <w:sz w:val="20"/>
                <w:szCs w:val="20"/>
                <w:color w:val="auto"/>
              </w:rPr>
            </w:pPr>
            <w:r>
              <w:rPr>
                <w:rFonts w:ascii="Arial" w:cs="Arial" w:eastAsia="Arial" w:hAnsi="Arial"/>
                <w:sz w:val="14"/>
                <w:szCs w:val="14"/>
                <w:color w:val="auto"/>
                <w:w w:val="97"/>
              </w:rPr>
              <w:t>Communications</w:t>
            </w:r>
          </w:p>
        </w:tc>
        <w:tc>
          <w:tcPr>
            <w:tcW w:w="1280" w:type="dxa"/>
            <w:vAlign w:val="bottom"/>
            <w:tcBorders>
              <w:bottom w:val="single" w:sz="8" w:color="auto"/>
            </w:tcBorders>
          </w:tcPr>
          <w:p>
            <w:pPr>
              <w:jc w:val="right"/>
              <w:ind w:right="219"/>
              <w:spacing w:after="0" w:line="159" w:lineRule="exact"/>
              <w:rPr>
                <w:sz w:val="20"/>
                <w:szCs w:val="20"/>
                <w:color w:val="auto"/>
              </w:rPr>
            </w:pPr>
            <w:r>
              <w:rPr>
                <w:rFonts w:ascii="Arial" w:cs="Arial" w:eastAsia="Arial" w:hAnsi="Arial"/>
                <w:sz w:val="14"/>
                <w:szCs w:val="14"/>
                <w:color w:val="auto"/>
              </w:rPr>
              <w:t>Networks</w:t>
            </w:r>
          </w:p>
        </w:tc>
        <w:tc>
          <w:tcPr>
            <w:tcW w:w="112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Television</w:t>
            </w:r>
          </w:p>
        </w:tc>
        <w:tc>
          <w:tcPr>
            <w:tcW w:w="1280" w:type="dxa"/>
            <w:vAlign w:val="bottom"/>
            <w:tcBorders>
              <w:bottom w:val="single" w:sz="8" w:color="auto"/>
            </w:tcBorders>
            <w:gridSpan w:val="2"/>
          </w:tcPr>
          <w:p>
            <w:pPr>
              <w:ind w:left="260"/>
              <w:spacing w:after="0" w:line="159" w:lineRule="exact"/>
              <w:rPr>
                <w:sz w:val="20"/>
                <w:szCs w:val="20"/>
                <w:color w:val="auto"/>
              </w:rPr>
            </w:pPr>
            <w:r>
              <w:rPr>
                <w:rFonts w:ascii="Arial" w:cs="Arial" w:eastAsia="Arial" w:hAnsi="Arial"/>
                <w:sz w:val="14"/>
                <w:szCs w:val="14"/>
                <w:color w:val="auto"/>
              </w:rPr>
              <w:t>Entertainment</w:t>
            </w:r>
          </w:p>
        </w:tc>
        <w:tc>
          <w:tcPr>
            <w:tcW w:w="88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rPr>
              <w:t>Parks</w:t>
            </w:r>
          </w:p>
        </w:tc>
        <w:tc>
          <w:tcPr>
            <w:tcW w:w="1220" w:type="dxa"/>
            <w:vAlign w:val="bottom"/>
            <w:tcBorders>
              <w:bottom w:val="single" w:sz="8" w:color="auto"/>
            </w:tcBorders>
            <w:gridSpan w:val="2"/>
          </w:tcPr>
          <w:p>
            <w:pPr>
              <w:ind w:left="420"/>
              <w:spacing w:after="0" w:line="159" w:lineRule="exact"/>
              <w:rPr>
                <w:sz w:val="20"/>
                <w:szCs w:val="20"/>
                <w:color w:val="auto"/>
              </w:rPr>
            </w:pPr>
            <w:r>
              <w:rPr>
                <w:rFonts w:ascii="Arial" w:cs="Arial" w:eastAsia="Arial" w:hAnsi="Arial"/>
                <w:sz w:val="14"/>
                <w:szCs w:val="14"/>
                <w:color w:val="auto"/>
              </w:rPr>
              <w:t>and Other</w:t>
            </w:r>
          </w:p>
        </w:tc>
        <w:tc>
          <w:tcPr>
            <w:tcW w:w="960" w:type="dxa"/>
            <w:vAlign w:val="bottom"/>
            <w:tcBorders>
              <w:bottom w:val="single" w:sz="8" w:color="auto"/>
            </w:tcBorders>
          </w:tcPr>
          <w:p>
            <w:pPr>
              <w:jc w:val="right"/>
              <w:ind w:right="176"/>
              <w:spacing w:after="0" w:line="15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284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1000" w:type="dxa"/>
            <w:vAlign w:val="bottom"/>
            <w:shd w:val="clear" w:color="auto" w:fill="E5E5E5"/>
          </w:tcPr>
          <w:p>
            <w:pPr>
              <w:ind w:left="80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12,208</w:t>
            </w:r>
          </w:p>
        </w:tc>
        <w:tc>
          <w:tcPr>
            <w:tcW w:w="12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$12,744</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60" w:type="dxa"/>
            <w:vAlign w:val="bottom"/>
            <w:shd w:val="clear" w:color="auto" w:fill="E5E5E5"/>
          </w:tcPr>
          <w:p>
            <w:pPr>
              <w:jc w:val="right"/>
              <w:ind w:right="216"/>
              <w:spacing w:after="0"/>
              <w:rPr>
                <w:sz w:val="20"/>
                <w:szCs w:val="20"/>
                <w:color w:val="auto"/>
              </w:rPr>
            </w:pPr>
            <w:r>
              <w:rPr>
                <w:rFonts w:ascii="Arial" w:cs="Arial" w:eastAsia="Arial" w:hAnsi="Arial"/>
                <w:sz w:val="18"/>
                <w:szCs w:val="18"/>
                <w:color w:val="auto"/>
              </w:rPr>
              <w:t>772</w:t>
            </w:r>
          </w:p>
        </w:tc>
        <w:tc>
          <w:tcPr>
            <w:tcW w:w="440" w:type="dxa"/>
            <w:vAlign w:val="bottom"/>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4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w:t>
            </w:r>
          </w:p>
        </w:tc>
        <w:tc>
          <w:tcPr>
            <w:tcW w:w="880" w:type="dxa"/>
            <w:vAlign w:val="bottom"/>
            <w:shd w:val="clear" w:color="auto" w:fill="E5E5E5"/>
          </w:tcPr>
          <w:p>
            <w:pPr>
              <w:jc w:val="right"/>
              <w:ind w:right="39"/>
              <w:spacing w:after="0"/>
              <w:rPr>
                <w:sz w:val="20"/>
                <w:szCs w:val="20"/>
                <w:color w:val="auto"/>
              </w:rPr>
            </w:pPr>
            <w:r>
              <w:rPr>
                <w:rFonts w:ascii="Arial" w:cs="Arial" w:eastAsia="Arial" w:hAnsi="Arial"/>
                <w:sz w:val="18"/>
                <w:szCs w:val="18"/>
                <w:color w:val="auto"/>
              </w:rPr>
              <w:t>$1,140</w:t>
            </w:r>
          </w:p>
        </w:tc>
        <w:tc>
          <w:tcPr>
            <w:tcW w:w="66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w:t>
            </w:r>
          </w:p>
        </w:tc>
        <w:tc>
          <w:tcPr>
            <w:tcW w:w="9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$26,874</w:t>
            </w:r>
          </w:p>
        </w:tc>
        <w:tc>
          <w:tcPr>
            <w:tcW w:w="0" w:type="dxa"/>
            <w:vAlign w:val="bottom"/>
          </w:tcPr>
          <w:p>
            <w:pPr>
              <w:spacing w:after="0"/>
              <w:rPr>
                <w:sz w:val="1"/>
                <w:szCs w:val="1"/>
                <w:color w:val="auto"/>
              </w:rPr>
            </w:pP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Dispositions</w:t>
            </w:r>
          </w:p>
        </w:tc>
        <w:tc>
          <w:tcPr>
            <w:tcW w:w="1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280" w:type="dxa"/>
            <w:vAlign w:val="bottom"/>
          </w:tcPr>
          <w:p>
            <w:pPr>
              <w:jc w:val="right"/>
              <w:ind w:right="179"/>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660" w:type="dxa"/>
            <w:vAlign w:val="bottom"/>
          </w:tcPr>
          <w:p>
            <w:pPr>
              <w:jc w:val="right"/>
              <w:ind w:right="216"/>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840" w:type="dxa"/>
            <w:vAlign w:val="bottom"/>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5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Adjustments</w:t>
            </w:r>
          </w:p>
        </w:tc>
        <w:tc>
          <w:tcPr>
            <w:tcW w:w="100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E5E5E5"/>
          </w:tcPr>
          <w:p>
            <w:pPr>
              <w:jc w:val="right"/>
              <w:ind w:right="179"/>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56"/>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(61)</w:t>
            </w:r>
          </w:p>
        </w:tc>
        <w:tc>
          <w:tcPr>
            <w:tcW w:w="66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Balance, March 31, 2012</w:t>
            </w:r>
          </w:p>
        </w:tc>
        <w:tc>
          <w:tcPr>
            <w:tcW w:w="1000" w:type="dxa"/>
            <w:vAlign w:val="bottom"/>
            <w:tcBorders>
              <w:bottom w:val="single" w:sz="8" w:color="auto"/>
            </w:tcBorders>
          </w:tcPr>
          <w:p>
            <w:pPr>
              <w:ind w:left="80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12,207</w:t>
            </w:r>
          </w:p>
        </w:tc>
        <w:tc>
          <w:tcPr>
            <w:tcW w:w="12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b w:val="1"/>
                <w:bCs w:val="1"/>
                <w:color w:val="auto"/>
              </w:rPr>
              <w:t>$12,744</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8"/>
                <w:szCs w:val="18"/>
                <w:b w:val="1"/>
                <w:bCs w:val="1"/>
                <w:color w:val="auto"/>
              </w:rPr>
              <w:t>763</w:t>
            </w:r>
          </w:p>
        </w:tc>
        <w:tc>
          <w:tcPr>
            <w:tcW w:w="44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1</w:t>
            </w:r>
          </w:p>
        </w:tc>
        <w:tc>
          <w:tcPr>
            <w:tcW w:w="88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$1,079</w:t>
            </w:r>
          </w:p>
        </w:tc>
        <w:tc>
          <w:tcPr>
            <w:tcW w:w="6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$26,803</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There have been no significant changes during the three months ended March 31, 2012 to our preliminary allocation of purchase price for the Universal Orlando transaction from what was disclosed in our 2011 Annual Report on Form 10-K. The estimated fair values are not yet final and are subject to change. We will finalize the amounts recognized as we obtain the information necessary to complete the analysis, but no later than June 30, 2012.</w:t>
      </w: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6: Long-Term Debt</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March 31, 2012, our debt had an estimated fair value of $43.5 billion. The estimated fair value of our publicly traded debt is based on quoted market values for the debt. To estimate the fair value of debt for which there are no quoted market prices, we use interest rates available to us for debt with similar terms and remaining maturities.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Repayments</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February 2012, we redeemed $563 million principal amount of the $1.1 billion aggregate principal amount outstanding of our 7% senior notes due 2055 and repaid at maturity $553 million principal amount of our 9.8% senior notes due 2012.</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2012, we redeemed the remaining $563 million principal amount of our 7% senior notes due 2055. The carrying amount of these senior notes was recorded in current portion of long-term debt in our condensed consolidated balance sheet as of March 31, 2012.</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 Paper Program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net repayments of commercial paper by NBCUniversal were $400 million.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7: Derivative Financial Instruments</w:t>
      </w:r>
    </w:p>
    <w:p>
      <w:pPr>
        <w:spacing w:after="0" w:line="82" w:lineRule="exact"/>
        <w:rPr>
          <w:sz w:val="20"/>
          <w:szCs w:val="20"/>
          <w:color w:val="auto"/>
        </w:rPr>
      </w:pPr>
    </w:p>
    <w:p>
      <w:pPr>
        <w:spacing w:after="0"/>
        <w:rPr>
          <w:sz w:val="20"/>
          <w:szCs w:val="20"/>
          <w:color w:val="auto"/>
        </w:rPr>
      </w:pPr>
      <w:r>
        <w:rPr>
          <w:rFonts w:ascii="Arial" w:cs="Arial" w:eastAsia="Arial" w:hAnsi="Arial"/>
          <w:sz w:val="15"/>
          <w:szCs w:val="15"/>
          <w:color w:val="auto"/>
        </w:rPr>
        <w:t>We use derivative financial instruments to manage our exposure to the risks associated with fluctuations in interest rates, foreign exchange rates and equity prices.</w:t>
      </w:r>
    </w:p>
    <w:p>
      <w:pPr>
        <w:spacing w:after="0" w:line="11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exposure to fluctuations in interest rates by using derivative financial instruments such as interest rate exchange agreements (“swaps”), interest rate lock agreements (“rate locks”) and interest rate collars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(“collars”). We sometimes enter into rate locks or collars to hedge the risk that the cash flows related to the interest payments on an anticipated issuance or assumption of fixed-rate debt may be adversely affected by interest rate fluctuations.</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manage our exposure to fluctuations in foreign exchange rates by using foreign exchange contracts such as forward contracts and currency options, as well as cross-currency swaps for our foreign currency denominated borrowings.</w:t>
      </w: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manage our exposure to and benefits from price fluctuations in the common stock of some of our investments by using equity derivative financial instruments embedded in other contracts, such as prepaid forward sale agreements, whose values, in part, are derived from the market value of certain publicly traded common stock.</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manage the credit risks associated with our derivative financial instruments through diversification and the evaluation and monitoring of the creditworthiness of the counterparties. Although we may be exposed to losses in the event of nonperformance by the counterparties, we do not expect such losses, if any, to be significant. We have agreements with certain counterparties that include collateral provisions. These provisions require a party with an aggregate unrealized loss position in excess of certain thresholds to post cash collateral for the amount in excess of the threshold. The threshold levels in our collateral agreements are based on our and the counterparties’ credit ratings. As of March 31, 2012, neither we nor any of the counterparties were required to post collateral under the terms of the agreements.</w:t>
      </w:r>
    </w:p>
    <w:p>
      <w:pPr>
        <w:spacing w:after="0" w:line="5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2012, there were no significant changes in the composition of any of our derivative financial instruments or their classification in our condensed consolidated balance sheet. In addition, the impact of our derivative financial instruments to our condensed consolidated financial statements was not material for the three months ended March 31, 2012 and 2011.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8 for additional information on the fair value of our derivative financial instruments as of March 31, 2012 and December 31, 2011.</w:t>
      </w:r>
    </w:p>
    <w:p>
      <w:pPr>
        <w:spacing w:after="0" w:line="16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8: Fair Value Measurements</w:t>
      </w:r>
    </w:p>
    <w:p>
      <w:pPr>
        <w:spacing w:after="0" w:line="8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accounting guidance related to financial assets and financial liabilities (“financial instruments”) establishes a hierarchy that prioritizes fair value measurements based on the types of inputs used for the various valuation techniques (market approach, income approach and cost approach). Level 1 consists of financial instruments whose values are based on quoted market prices for identical financial instruments in an active market. Level 2 consists of financial instruments that are valued using models or other valuation methodologies. These models use inputs that are observable either directly or indirectly. Level 3 consists of financial instruments whose values are determined using pricing models that use significant inputs that are primarily unobservable, discounted cash flow methodologies or similar techniques, as well as instruments for which the determination of fair value requires significant management judgment or estimation. Our financial instruments that are accounted for at fair value on a recurring basis are presented in the table below.</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Recurring Fair Value Measures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Fair Value as of</w:t>
            </w: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6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200"/>
              <w:spacing w:after="0" w:line="131" w:lineRule="exact"/>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662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4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532"/>
              <w:spacing w:after="0" w:line="159" w:lineRule="exact"/>
              <w:rPr>
                <w:sz w:val="20"/>
                <w:szCs w:val="20"/>
                <w:color w:val="auto"/>
              </w:rPr>
            </w:pPr>
            <w:r>
              <w:rPr>
                <w:rFonts w:ascii="Arial" w:cs="Arial" w:eastAsia="Arial" w:hAnsi="Arial"/>
                <w:sz w:val="14"/>
                <w:szCs w:val="14"/>
                <w:color w:val="auto"/>
              </w:rPr>
              <w:t>March 31, 2012</w:t>
            </w:r>
          </w:p>
        </w:tc>
        <w:tc>
          <w:tcPr>
            <w:tcW w:w="7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5"/>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auto"/>
            </w:tcBorders>
            <w:vMerge w:val="continue"/>
          </w:tcPr>
          <w:p>
            <w:pPr>
              <w:spacing w:after="0"/>
              <w:rPr>
                <w:sz w:val="12"/>
                <w:szCs w:val="12"/>
                <w:color w:val="auto"/>
              </w:rPr>
            </w:pPr>
          </w:p>
        </w:tc>
        <w:tc>
          <w:tcPr>
            <w:tcW w:w="1020" w:type="dxa"/>
            <w:vAlign w:val="bottom"/>
            <w:tcBorders>
              <w:bottom w:val="single" w:sz="8" w:color="auto"/>
            </w:tcBorders>
            <w:gridSpan w:val="2"/>
          </w:tcPr>
          <w:p>
            <w:pPr>
              <w:jc w:val="right"/>
              <w:ind w:right="152"/>
              <w:spacing w:after="0" w:line="142" w:lineRule="exact"/>
              <w:rPr>
                <w:sz w:val="20"/>
                <w:szCs w:val="20"/>
                <w:color w:val="auto"/>
              </w:rPr>
            </w:pPr>
            <w:r>
              <w:rPr>
                <w:rFonts w:ascii="Arial" w:cs="Arial" w:eastAsia="Arial" w:hAnsi="Arial"/>
                <w:sz w:val="14"/>
                <w:szCs w:val="14"/>
                <w:color w:val="auto"/>
              </w:rPr>
              <w:t>Level 1</w:t>
            </w:r>
          </w:p>
        </w:tc>
        <w:tc>
          <w:tcPr>
            <w:tcW w:w="880" w:type="dxa"/>
            <w:vAlign w:val="bottom"/>
            <w:tcBorders>
              <w:bottom w:val="single" w:sz="8" w:color="auto"/>
            </w:tcBorders>
            <w:gridSpan w:val="2"/>
          </w:tcPr>
          <w:p>
            <w:pPr>
              <w:jc w:val="right"/>
              <w:ind w:right="134"/>
              <w:spacing w:after="0" w:line="142" w:lineRule="exact"/>
              <w:rPr>
                <w:sz w:val="20"/>
                <w:szCs w:val="20"/>
                <w:color w:val="auto"/>
              </w:rPr>
            </w:pPr>
            <w:r>
              <w:rPr>
                <w:rFonts w:ascii="Arial" w:cs="Arial" w:eastAsia="Arial" w:hAnsi="Arial"/>
                <w:sz w:val="14"/>
                <w:szCs w:val="14"/>
                <w:color w:val="auto"/>
              </w:rPr>
              <w:t>Level 2</w:t>
            </w:r>
          </w:p>
        </w:tc>
        <w:tc>
          <w:tcPr>
            <w:tcW w:w="1080" w:type="dxa"/>
            <w:vAlign w:val="bottom"/>
            <w:tcBorders>
              <w:bottom w:val="single" w:sz="8" w:color="auto"/>
            </w:tcBorders>
            <w:gridSpan w:val="2"/>
          </w:tcPr>
          <w:p>
            <w:pPr>
              <w:jc w:val="right"/>
              <w:ind w:right="312"/>
              <w:spacing w:after="0" w:line="142" w:lineRule="exact"/>
              <w:rPr>
                <w:sz w:val="20"/>
                <w:szCs w:val="20"/>
                <w:color w:val="auto"/>
              </w:rPr>
            </w:pPr>
            <w:r>
              <w:rPr>
                <w:rFonts w:ascii="Arial" w:cs="Arial" w:eastAsia="Arial" w:hAnsi="Arial"/>
                <w:sz w:val="14"/>
                <w:szCs w:val="14"/>
                <w:color w:val="auto"/>
              </w:rPr>
              <w:t>Level 3</w:t>
            </w:r>
          </w:p>
        </w:tc>
        <w:tc>
          <w:tcPr>
            <w:tcW w:w="76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rPr>
              <w:t>Total</w:t>
            </w: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0"/>
        </w:trPr>
        <w:tc>
          <w:tcPr>
            <w:tcW w:w="66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Trading securities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12"/>
              <w:spacing w:after="0"/>
              <w:rPr>
                <w:sz w:val="20"/>
                <w:szCs w:val="20"/>
                <w:color w:val="auto"/>
              </w:rPr>
            </w:pPr>
            <w:r>
              <w:rPr>
                <w:rFonts w:ascii="Arial" w:cs="Arial" w:eastAsia="Arial" w:hAnsi="Arial"/>
                <w:sz w:val="18"/>
                <w:szCs w:val="18"/>
                <w:color w:val="auto"/>
                <w:w w:val="84"/>
              </w:rPr>
              <w:t>3,401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w w:val="98"/>
              </w:rPr>
              <w:t>$3,401</w:t>
            </w:r>
          </w:p>
        </w:tc>
        <w:tc>
          <w:tcPr>
            <w:tcW w:w="360" w:type="dxa"/>
            <w:vAlign w:val="bottom"/>
          </w:tcPr>
          <w:p>
            <w:pPr>
              <w:ind w:left="20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2,895</w:t>
            </w:r>
          </w:p>
        </w:tc>
        <w:tc>
          <w:tcPr>
            <w:tcW w:w="0" w:type="dxa"/>
            <w:vAlign w:val="bottom"/>
          </w:tcPr>
          <w:p>
            <w:pPr>
              <w:spacing w:after="0"/>
              <w:rPr>
                <w:sz w:val="1"/>
                <w:szCs w:val="1"/>
                <w:color w:val="auto"/>
              </w:rPr>
            </w:pPr>
          </w:p>
        </w:tc>
      </w:tr>
      <w:tr>
        <w:trPr>
          <w:trHeight w:val="216"/>
        </w:trPr>
        <w:tc>
          <w:tcPr>
            <w:tcW w:w="6620" w:type="dxa"/>
            <w:vAlign w:val="bottom"/>
            <w:shd w:val="clear" w:color="auto" w:fill="E5E5E5"/>
          </w:tcPr>
          <w:p>
            <w:pPr>
              <w:spacing w:after="0"/>
              <w:rPr>
                <w:sz w:val="20"/>
                <w:szCs w:val="20"/>
                <w:color w:val="auto"/>
              </w:rPr>
            </w:pPr>
            <w:r>
              <w:rPr>
                <w:rFonts w:ascii="Arial" w:cs="Arial" w:eastAsia="Arial" w:hAnsi="Arial"/>
                <w:sz w:val="18"/>
                <w:szCs w:val="18"/>
                <w:color w:val="auto"/>
              </w:rPr>
              <w:t>Interest rate swap agreements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234</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234</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100</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21</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620" w:type="dxa"/>
            <w:vAlign w:val="bottom"/>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13</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13</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Equity warrants</w:t>
            </w: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2</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7"/>
        </w:trPr>
        <w:tc>
          <w:tcPr>
            <w:tcW w:w="662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w w:val="84"/>
              </w:rPr>
              <w:t>3,501</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267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23</w:t>
            </w: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w w:val="98"/>
              </w:rPr>
              <w:t>$3,791</w:t>
            </w:r>
          </w:p>
        </w:tc>
        <w:tc>
          <w:tcPr>
            <w:tcW w:w="3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3,284</w:t>
            </w:r>
          </w:p>
        </w:tc>
        <w:tc>
          <w:tcPr>
            <w:tcW w:w="0" w:type="dxa"/>
            <w:vAlign w:val="bottom"/>
          </w:tcPr>
          <w:p>
            <w:pPr>
              <w:spacing w:after="0"/>
              <w:rPr>
                <w:sz w:val="1"/>
                <w:szCs w:val="1"/>
                <w:color w:val="auto"/>
              </w:rPr>
            </w:pPr>
          </w:p>
        </w:tc>
      </w:tr>
      <w:tr>
        <w:trPr>
          <w:trHeight w:val="309"/>
        </w:trPr>
        <w:tc>
          <w:tcPr>
            <w:tcW w:w="6620" w:type="dxa"/>
            <w:vAlign w:val="bottom"/>
          </w:tcPr>
          <w:p>
            <w:pPr>
              <w:spacing w:after="0"/>
              <w:rPr>
                <w:sz w:val="20"/>
                <w:szCs w:val="20"/>
                <w:color w:val="auto"/>
              </w:rPr>
            </w:pPr>
            <w:r>
              <w:rPr>
                <w:rFonts w:ascii="Arial" w:cs="Arial" w:eastAsia="Arial" w:hAnsi="Arial"/>
                <w:sz w:val="18"/>
                <w:szCs w:val="18"/>
                <w:b w:val="1"/>
                <w:bCs w:val="1"/>
                <w:color w:val="auto"/>
              </w:rPr>
              <w:t>Liabilities</w:t>
            </w:r>
          </w:p>
        </w:tc>
        <w:tc>
          <w:tcPr>
            <w:tcW w:w="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E5E5E5"/>
          </w:tcPr>
          <w:p>
            <w:pPr>
              <w:spacing w:after="0"/>
              <w:rPr>
                <w:sz w:val="20"/>
                <w:szCs w:val="20"/>
                <w:color w:val="auto"/>
              </w:rPr>
            </w:pPr>
            <w:r>
              <w:rPr>
                <w:rFonts w:ascii="Arial" w:cs="Arial" w:eastAsia="Arial" w:hAnsi="Arial"/>
                <w:sz w:val="18"/>
                <w:szCs w:val="18"/>
                <w:color w:val="auto"/>
              </w:rPr>
              <w:t>Derivative component of prepaid forward sale agreements</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620" w:type="dxa"/>
            <w:vAlign w:val="bottom"/>
            <w:shd w:val="clear" w:color="auto" w:fill="E5E5E5"/>
          </w:tcPr>
          <w:p>
            <w:pPr>
              <w:spacing w:after="0"/>
              <w:rPr>
                <w:sz w:val="20"/>
                <w:szCs w:val="20"/>
                <w:color w:val="auto"/>
              </w:rPr>
            </w:pPr>
            <w:r>
              <w:rPr>
                <w:rFonts w:ascii="Arial" w:cs="Arial" w:eastAsia="Arial" w:hAnsi="Arial"/>
                <w:sz w:val="18"/>
                <w:szCs w:val="18"/>
                <w:color w:val="auto"/>
              </w:rPr>
              <w:t>and indexed debt instruments</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w w:val="84"/>
              </w:rPr>
              <w:t>1,704</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w w:val="98"/>
              </w:rPr>
              <w:t>$1,704</w:t>
            </w:r>
          </w:p>
        </w:tc>
        <w:tc>
          <w:tcPr>
            <w:tcW w:w="3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1,234</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Contractual obligations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984</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984</w:t>
            </w:r>
          </w:p>
        </w:tc>
        <w:tc>
          <w:tcPr>
            <w:tcW w:w="3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6620" w:type="dxa"/>
            <w:vAlign w:val="bottom"/>
            <w:shd w:val="clear" w:color="auto" w:fill="E5E5E5"/>
          </w:tcPr>
          <w:p>
            <w:pPr>
              <w:spacing w:after="0"/>
              <w:rPr>
                <w:sz w:val="20"/>
                <w:szCs w:val="20"/>
                <w:color w:val="auto"/>
              </w:rPr>
            </w:pPr>
            <w:r>
              <w:rPr>
                <w:rFonts w:ascii="Arial" w:cs="Arial" w:eastAsia="Arial" w:hAnsi="Arial"/>
                <w:sz w:val="18"/>
                <w:szCs w:val="18"/>
                <w:color w:val="auto"/>
              </w:rPr>
              <w:t>Contingent consideration</w:t>
            </w:r>
          </w:p>
        </w:tc>
        <w:tc>
          <w:tcPr>
            <w:tcW w:w="420" w:type="dxa"/>
            <w:vAlign w:val="bottom"/>
            <w:shd w:val="clear" w:color="auto" w:fill="E5E5E5"/>
          </w:tcPr>
          <w:p>
            <w:pPr>
              <w:spacing w:after="0"/>
              <w:rPr>
                <w:sz w:val="18"/>
                <w:szCs w:val="18"/>
                <w:color w:val="auto"/>
              </w:rPr>
            </w:pPr>
          </w:p>
        </w:tc>
        <w:tc>
          <w:tcPr>
            <w:tcW w:w="600" w:type="dxa"/>
            <w:vAlign w:val="bottom"/>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94"/>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579</w:t>
            </w:r>
          </w:p>
        </w:tc>
        <w:tc>
          <w:tcPr>
            <w:tcW w:w="760" w:type="dxa"/>
            <w:vAlign w:val="bottom"/>
            <w:shd w:val="clear" w:color="auto" w:fill="E5E5E5"/>
          </w:tcPr>
          <w:p>
            <w:pPr>
              <w:jc w:val="right"/>
              <w:ind w:right="114"/>
              <w:spacing w:after="0"/>
              <w:rPr>
                <w:sz w:val="20"/>
                <w:szCs w:val="20"/>
                <w:color w:val="auto"/>
              </w:rPr>
            </w:pPr>
            <w:r>
              <w:rPr>
                <w:rFonts w:ascii="Arial" w:cs="Arial" w:eastAsia="Arial" w:hAnsi="Arial"/>
                <w:sz w:val="18"/>
                <w:szCs w:val="18"/>
                <w:color w:val="auto"/>
              </w:rPr>
              <w:t>579</w:t>
            </w:r>
          </w:p>
        </w:tc>
        <w:tc>
          <w:tcPr>
            <w:tcW w:w="36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Cross-currency swap agreements</w:t>
            </w:r>
          </w:p>
        </w:tc>
        <w:tc>
          <w:tcPr>
            <w:tcW w:w="420" w:type="dxa"/>
            <w:vAlign w:val="bottom"/>
          </w:tcPr>
          <w:p>
            <w:pPr>
              <w:spacing w:after="0"/>
              <w:rPr>
                <w:sz w:val="18"/>
                <w:szCs w:val="18"/>
                <w:color w:val="auto"/>
              </w:rPr>
            </w:pPr>
          </w:p>
        </w:tc>
        <w:tc>
          <w:tcPr>
            <w:tcW w:w="60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580" w:type="dxa"/>
            <w:vAlign w:val="bottom"/>
          </w:tcPr>
          <w:p>
            <w:pPr>
              <w:jc w:val="right"/>
              <w:ind w:right="94"/>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76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14"/>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Foreign exchange contracts</w:t>
            </w:r>
          </w:p>
        </w:tc>
        <w:tc>
          <w:tcPr>
            <w:tcW w:w="420" w:type="dxa"/>
            <w:vAlign w:val="bottom"/>
            <w:tcBorders>
              <w:bottom w:val="single" w:sz="8" w:color="auto"/>
            </w:tcBorders>
            <w:shd w:val="clear" w:color="auto" w:fill="E5E5E5"/>
          </w:tcPr>
          <w:p>
            <w:pPr>
              <w:spacing w:after="0"/>
              <w:rPr>
                <w:sz w:val="18"/>
                <w:szCs w:val="18"/>
                <w:color w:val="auto"/>
              </w:rPr>
            </w:pPr>
          </w:p>
        </w:tc>
        <w:tc>
          <w:tcPr>
            <w:tcW w:w="60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94"/>
              <w:spacing w:after="0"/>
              <w:rPr>
                <w:sz w:val="20"/>
                <w:szCs w:val="20"/>
                <w:color w:val="auto"/>
              </w:rPr>
            </w:pPr>
            <w:r>
              <w:rPr>
                <w:rFonts w:ascii="Arial" w:cs="Arial" w:eastAsia="Arial" w:hAnsi="Arial"/>
                <w:sz w:val="18"/>
                <w:szCs w:val="18"/>
                <w:color w:val="auto"/>
              </w:rPr>
              <w:t>13</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E5E5E5"/>
          </w:tcPr>
          <w:p>
            <w:pPr>
              <w:jc w:val="right"/>
              <w:ind w:right="114"/>
              <w:spacing w:after="0"/>
              <w:rPr>
                <w:sz w:val="20"/>
                <w:szCs w:val="20"/>
                <w:color w:val="auto"/>
              </w:rPr>
            </w:pPr>
            <w:r>
              <w:rPr>
                <w:rFonts w:ascii="Arial" w:cs="Arial" w:eastAsia="Arial" w:hAnsi="Arial"/>
                <w:sz w:val="18"/>
                <w:szCs w:val="18"/>
                <w:color w:val="auto"/>
              </w:rPr>
              <w:t>13</w:t>
            </w:r>
          </w:p>
        </w:tc>
        <w:tc>
          <w:tcPr>
            <w:tcW w:w="36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7"/>
        </w:trPr>
        <w:tc>
          <w:tcPr>
            <w:tcW w:w="66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ind w:right="94"/>
              <w:spacing w:after="0"/>
              <w:rPr>
                <w:sz w:val="20"/>
                <w:szCs w:val="20"/>
                <w:color w:val="auto"/>
              </w:rPr>
            </w:pPr>
            <w:r>
              <w:rPr>
                <w:rFonts w:ascii="Arial" w:cs="Arial" w:eastAsia="Arial" w:hAnsi="Arial"/>
                <w:sz w:val="18"/>
                <w:szCs w:val="18"/>
                <w:color w:val="auto"/>
                <w:w w:val="84"/>
              </w:rPr>
              <w:t>1,752</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84"/>
              </w:rPr>
              <w:t>1,563</w:t>
            </w:r>
          </w:p>
        </w:tc>
        <w:tc>
          <w:tcPr>
            <w:tcW w:w="76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w w:val="98"/>
              </w:rPr>
              <w:t>$3,315</w:t>
            </w:r>
          </w:p>
        </w:tc>
        <w:tc>
          <w:tcPr>
            <w:tcW w:w="3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determinations of the fair values of the contractual obligations and contingent consideration in the table above are primarily based on certain expected future discounted cash flows, which involves the use of significant unobservable inputs. The most significant unobservable input we use is our estimate of the future revenue we expect to generate from certain NBCUniversal entities related to our contractual obligations and future payments to GE that are related to contingent consideration. The discount rates used in the measurements of fair value ranged between 5.6% and 13.0% and are based on the underlying risk associated with our estimate of future revenue, as well as the terms of the respective contracts, and the uncertainty in the timing of our payments to GE. Fair value adjustments to these liabilities are recorded in other income (expense), net in our condensed consolidated statement of income.</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Contractual Obligations and Contingent Consideration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6080" w:type="dxa"/>
            <w:vAlign w:val="bottom"/>
            <w:gridSpan w:val="2"/>
          </w:tcPr>
          <w:p>
            <w:pPr>
              <w:ind w:left="5000"/>
              <w:spacing w:after="0"/>
              <w:rPr>
                <w:sz w:val="20"/>
                <w:szCs w:val="20"/>
                <w:color w:val="auto"/>
              </w:rPr>
            </w:pPr>
            <w:r>
              <w:rPr>
                <w:rFonts w:ascii="Arial" w:cs="Arial" w:eastAsia="Arial" w:hAnsi="Arial"/>
                <w:sz w:val="14"/>
                <w:szCs w:val="14"/>
                <w:color w:val="auto"/>
              </w:rPr>
              <w:t>Contractual</w:t>
            </w:r>
          </w:p>
        </w:tc>
        <w:tc>
          <w:tcPr>
            <w:tcW w:w="1260" w:type="dxa"/>
            <w:vAlign w:val="bottom"/>
            <w:gridSpan w:val="2"/>
          </w:tcPr>
          <w:p>
            <w:pPr>
              <w:jc w:val="right"/>
              <w:ind w:right="112"/>
              <w:spacing w:after="0"/>
              <w:rPr>
                <w:sz w:val="20"/>
                <w:szCs w:val="20"/>
                <w:color w:val="auto"/>
              </w:rPr>
            </w:pPr>
            <w:r>
              <w:rPr>
                <w:rFonts w:ascii="Arial" w:cs="Arial" w:eastAsia="Arial" w:hAnsi="Arial"/>
                <w:sz w:val="14"/>
                <w:szCs w:val="14"/>
                <w:color w:val="auto"/>
              </w:rPr>
              <w:t>Contingent</w:t>
            </w:r>
          </w:p>
        </w:tc>
      </w:tr>
      <w:tr>
        <w:trPr>
          <w:trHeight w:val="159"/>
        </w:trPr>
        <w:tc>
          <w:tcPr>
            <w:tcW w:w="408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6080" w:type="dxa"/>
            <w:vAlign w:val="bottom"/>
            <w:tcBorders>
              <w:bottom w:val="single" w:sz="8" w:color="auto"/>
            </w:tcBorders>
            <w:gridSpan w:val="2"/>
          </w:tcPr>
          <w:p>
            <w:pPr>
              <w:ind w:left="5000"/>
              <w:spacing w:after="0" w:line="159" w:lineRule="exact"/>
              <w:rPr>
                <w:sz w:val="20"/>
                <w:szCs w:val="20"/>
                <w:color w:val="auto"/>
              </w:rPr>
            </w:pPr>
            <w:r>
              <w:rPr>
                <w:rFonts w:ascii="Arial" w:cs="Arial" w:eastAsia="Arial" w:hAnsi="Arial"/>
                <w:sz w:val="14"/>
                <w:szCs w:val="14"/>
                <w:color w:val="auto"/>
              </w:rPr>
              <w:t>Obligations</w:t>
            </w:r>
          </w:p>
        </w:tc>
        <w:tc>
          <w:tcPr>
            <w:tcW w:w="126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9"/>
              </w:rPr>
              <w:t>Consideration</w:t>
            </w:r>
          </w:p>
        </w:tc>
      </w:tr>
      <w:tr>
        <w:trPr>
          <w:trHeight w:val="210"/>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Balance, December 31, 2011</w:t>
            </w:r>
          </w:p>
        </w:tc>
        <w:tc>
          <w:tcPr>
            <w:tcW w:w="5160" w:type="dxa"/>
            <w:vAlign w:val="bottom"/>
            <w:shd w:val="clear" w:color="auto" w:fill="E5E5E5"/>
          </w:tcPr>
          <w:p>
            <w:pPr>
              <w:ind w:left="5000"/>
              <w:spacing w:after="0"/>
              <w:rPr>
                <w:sz w:val="20"/>
                <w:szCs w:val="20"/>
                <w:color w:val="auto"/>
              </w:rPr>
            </w:pPr>
            <w:r>
              <w:rPr>
                <w:rFonts w:ascii="Arial" w:cs="Arial" w:eastAsia="Arial" w:hAnsi="Arial"/>
                <w:sz w:val="18"/>
                <w:szCs w:val="18"/>
                <w:color w:val="auto"/>
              </w:rPr>
              <w:t>$</w:t>
            </w: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w w:val="97"/>
              </w:rPr>
              <w:t>1,004</w:t>
            </w:r>
          </w:p>
        </w:tc>
        <w:tc>
          <w:tcPr>
            <w:tcW w:w="68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583</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Acquisition accounting adjustments</w:t>
            </w:r>
          </w:p>
        </w:tc>
        <w:tc>
          <w:tcPr>
            <w:tcW w:w="5160" w:type="dxa"/>
            <w:vAlign w:val="bottom"/>
          </w:tcPr>
          <w:p>
            <w:pPr>
              <w:spacing w:after="0"/>
              <w:rPr>
                <w:sz w:val="18"/>
                <w:szCs w:val="18"/>
                <w:color w:val="auto"/>
              </w:rPr>
            </w:pPr>
          </w:p>
        </w:tc>
        <w:tc>
          <w:tcPr>
            <w:tcW w:w="920" w:type="dxa"/>
            <w:vAlign w:val="bottom"/>
          </w:tcPr>
          <w:p>
            <w:pPr>
              <w:jc w:val="right"/>
              <w:ind w:right="312"/>
              <w:spacing w:after="0"/>
              <w:rPr>
                <w:sz w:val="20"/>
                <w:szCs w:val="20"/>
                <w:color w:val="auto"/>
              </w:rPr>
            </w:pPr>
            <w:r>
              <w:rPr>
                <w:rFonts w:ascii="Arial" w:cs="Arial" w:eastAsia="Arial" w:hAnsi="Arial"/>
                <w:sz w:val="18"/>
                <w:szCs w:val="18"/>
                <w:color w:val="auto"/>
              </w:rPr>
              <w:t>(20)</w:t>
            </w:r>
          </w:p>
        </w:tc>
        <w:tc>
          <w:tcPr>
            <w:tcW w:w="680" w:type="dxa"/>
            <w:vAlign w:val="bottom"/>
          </w:tcPr>
          <w:p>
            <w:pPr>
              <w:spacing w:after="0"/>
              <w:rPr>
                <w:sz w:val="18"/>
                <w:szCs w:val="18"/>
                <w:color w:val="auto"/>
              </w:rPr>
            </w:pPr>
          </w:p>
        </w:tc>
        <w:tc>
          <w:tcPr>
            <w:tcW w:w="5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4080" w:type="dxa"/>
            <w:vAlign w:val="bottom"/>
            <w:shd w:val="clear" w:color="auto" w:fill="E5E5E5"/>
          </w:tcPr>
          <w:p>
            <w:pPr>
              <w:spacing w:after="0"/>
              <w:rPr>
                <w:sz w:val="20"/>
                <w:szCs w:val="20"/>
                <w:color w:val="auto"/>
              </w:rPr>
            </w:pPr>
            <w:r>
              <w:rPr>
                <w:rFonts w:ascii="Arial" w:cs="Arial" w:eastAsia="Arial" w:hAnsi="Arial"/>
                <w:sz w:val="18"/>
                <w:szCs w:val="18"/>
                <w:color w:val="auto"/>
              </w:rPr>
              <w:t>Fair value adjustments</w:t>
            </w:r>
          </w:p>
        </w:tc>
        <w:tc>
          <w:tcPr>
            <w:tcW w:w="5160" w:type="dxa"/>
            <w:vAlign w:val="bottom"/>
            <w:shd w:val="clear" w:color="auto" w:fill="E5E5E5"/>
          </w:tcPr>
          <w:p>
            <w:pPr>
              <w:spacing w:after="0"/>
              <w:rPr>
                <w:sz w:val="18"/>
                <w:szCs w:val="18"/>
                <w:color w:val="auto"/>
              </w:rPr>
            </w:pPr>
          </w:p>
        </w:tc>
        <w:tc>
          <w:tcPr>
            <w:tcW w:w="920" w:type="dxa"/>
            <w:vAlign w:val="bottom"/>
            <w:shd w:val="clear" w:color="auto" w:fill="E5E5E5"/>
          </w:tcPr>
          <w:p>
            <w:pPr>
              <w:jc w:val="right"/>
              <w:ind w:right="372"/>
              <w:spacing w:after="0"/>
              <w:rPr>
                <w:sz w:val="20"/>
                <w:szCs w:val="20"/>
                <w:color w:val="auto"/>
              </w:rPr>
            </w:pPr>
            <w:r>
              <w:rPr>
                <w:rFonts w:ascii="Arial" w:cs="Arial" w:eastAsia="Arial" w:hAnsi="Arial"/>
                <w:sz w:val="18"/>
                <w:szCs w:val="18"/>
                <w:color w:val="auto"/>
              </w:rPr>
              <w:t>19</w:t>
            </w:r>
          </w:p>
        </w:tc>
        <w:tc>
          <w:tcPr>
            <w:tcW w:w="68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8</w:t>
            </w:r>
          </w:p>
        </w:tc>
      </w:tr>
      <w:tr>
        <w:trPr>
          <w:trHeight w:val="216"/>
        </w:trPr>
        <w:tc>
          <w:tcPr>
            <w:tcW w:w="4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Payments</w:t>
            </w:r>
          </w:p>
        </w:tc>
        <w:tc>
          <w:tcPr>
            <w:tcW w:w="5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8"/>
                <w:szCs w:val="18"/>
                <w:color w:val="auto"/>
              </w:rPr>
              <w:t>(19)</w:t>
            </w:r>
          </w:p>
        </w:tc>
        <w:tc>
          <w:tcPr>
            <w:tcW w:w="68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17"/>
        </w:trPr>
        <w:tc>
          <w:tcPr>
            <w:tcW w:w="40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Balance, March 31, 2012</w:t>
            </w:r>
          </w:p>
        </w:tc>
        <w:tc>
          <w:tcPr>
            <w:tcW w:w="5160" w:type="dxa"/>
            <w:vAlign w:val="bottom"/>
            <w:tcBorders>
              <w:bottom w:val="single" w:sz="8" w:color="auto"/>
            </w:tcBorders>
            <w:shd w:val="clear" w:color="auto" w:fill="E5E5E5"/>
          </w:tcPr>
          <w:p>
            <w:pPr>
              <w:ind w:left="5000"/>
              <w:spacing w:after="0"/>
              <w:rPr>
                <w:sz w:val="20"/>
                <w:szCs w:val="20"/>
                <w:color w:val="auto"/>
              </w:rPr>
            </w:pPr>
            <w:r>
              <w:rPr>
                <w:rFonts w:ascii="Arial" w:cs="Arial" w:eastAsia="Arial" w:hAnsi="Arial"/>
                <w:sz w:val="18"/>
                <w:szCs w:val="18"/>
                <w:b w:val="1"/>
                <w:bCs w:val="1"/>
                <w:color w:val="auto"/>
              </w:rPr>
              <w:t>$</w:t>
            </w:r>
          </w:p>
        </w:tc>
        <w:tc>
          <w:tcPr>
            <w:tcW w:w="920" w:type="dxa"/>
            <w:vAlign w:val="bottom"/>
            <w:tcBorders>
              <w:bottom w:val="single" w:sz="8" w:color="auto"/>
            </w:tcBorders>
            <w:shd w:val="clear" w:color="auto" w:fill="E5E5E5"/>
          </w:tcPr>
          <w:p>
            <w:pPr>
              <w:jc w:val="right"/>
              <w:ind w:right="372"/>
              <w:spacing w:after="0"/>
              <w:rPr>
                <w:sz w:val="20"/>
                <w:szCs w:val="20"/>
                <w:color w:val="auto"/>
              </w:rPr>
            </w:pPr>
            <w:r>
              <w:rPr>
                <w:rFonts w:ascii="Arial" w:cs="Arial" w:eastAsia="Arial" w:hAnsi="Arial"/>
                <w:sz w:val="18"/>
                <w:szCs w:val="18"/>
                <w:b w:val="1"/>
                <w:bCs w:val="1"/>
                <w:color w:val="auto"/>
              </w:rPr>
              <w:t>984</w:t>
            </w:r>
          </w:p>
        </w:tc>
        <w:tc>
          <w:tcPr>
            <w:tcW w:w="68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579</w:t>
            </w:r>
          </w:p>
        </w:tc>
      </w:tr>
      <w:tr>
        <w:trPr>
          <w:trHeight w:val="363"/>
        </w:trPr>
        <w:tc>
          <w:tcPr>
            <w:tcW w:w="4080" w:type="dxa"/>
            <w:vAlign w:val="bottom"/>
          </w:tcPr>
          <w:p>
            <w:pPr>
              <w:spacing w:after="0"/>
              <w:rPr>
                <w:sz w:val="24"/>
                <w:szCs w:val="24"/>
                <w:color w:val="auto"/>
              </w:rPr>
            </w:pPr>
          </w:p>
        </w:tc>
        <w:tc>
          <w:tcPr>
            <w:tcW w:w="5160" w:type="dxa"/>
            <w:vAlign w:val="bottom"/>
          </w:tcPr>
          <w:p>
            <w:pPr>
              <w:ind w:left="1540"/>
              <w:spacing w:after="0"/>
              <w:rPr>
                <w:sz w:val="20"/>
                <w:szCs w:val="20"/>
                <w:color w:val="auto"/>
              </w:rPr>
            </w:pPr>
            <w:r>
              <w:rPr>
                <w:rFonts w:ascii="Arial" w:cs="Arial" w:eastAsia="Arial" w:hAnsi="Arial"/>
                <w:sz w:val="18"/>
                <w:szCs w:val="18"/>
                <w:color w:val="auto"/>
              </w:rPr>
              <w:t>11</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9: Noncontrolling Interests</w:t>
      </w:r>
    </w:p>
    <w:p>
      <w:pPr>
        <w:spacing w:after="0" w:line="8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Certain of the subsidiaries that we consolidate are not wholly owned. Some of the agreements with the minority partners of these subsidiaries contain redemption features whereby interests held by the minority partners, including GE’s 49% interest in NBCUniversal, are redeemable either (i) at the option of the holder or</w:t>
      </w:r>
    </w:p>
    <w:p>
      <w:pPr>
        <w:jc w:val="both"/>
        <w:ind w:firstLine="8"/>
        <w:spacing w:after="0" w:line="302" w:lineRule="auto"/>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upon the occurrence of an event that is not solely within our control. If interests were to be redeemed under these agreements, we would generally be required to purchase the interest at fair value on the date of redemption. These interests are presented on the balance sheet outside of equity under the caption “Redeemable noncontrolling interests.” Noncontrolling interests that do not contain such redemption features are presented in equity.</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presents the changes in equity resulting from net income attributable to Comcast Corporation and transfers to or from noncontrolling interests.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80" w:type="dxa"/>
            <w:vAlign w:val="bottom"/>
          </w:tcPr>
          <w:p>
            <w:pPr>
              <w:spacing w:after="0"/>
              <w:rPr>
                <w:sz w:val="14"/>
                <w:szCs w:val="14"/>
                <w:color w:val="auto"/>
              </w:rPr>
            </w:pPr>
          </w:p>
        </w:tc>
        <w:tc>
          <w:tcPr>
            <w:tcW w:w="2140" w:type="dxa"/>
            <w:vAlign w:val="bottom"/>
            <w:gridSpan w:val="3"/>
          </w:tcPr>
          <w:p>
            <w:pPr>
              <w:jc w:val="right"/>
              <w:ind w:right="23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ind w:right="39"/>
              <w:spacing w:after="0" w:line="159" w:lineRule="exact"/>
              <w:rPr>
                <w:sz w:val="20"/>
                <w:szCs w:val="20"/>
                <w:color w:val="auto"/>
              </w:rPr>
            </w:pPr>
            <w:r>
              <w:rPr>
                <w:rFonts w:ascii="Arial" w:cs="Arial" w:eastAsia="Arial" w:hAnsi="Arial"/>
                <w:sz w:val="14"/>
                <w:szCs w:val="14"/>
                <w:color w:val="auto"/>
                <w:w w:val="8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80" w:type="dxa"/>
            <w:vAlign w:val="bottom"/>
            <w:tcBorders>
              <w:bottom w:val="single" w:sz="8" w:color="auto"/>
            </w:tcBorders>
            <w:vMerge w:val="continue"/>
          </w:tcPr>
          <w:p>
            <w:pPr>
              <w:spacing w:after="0"/>
              <w:rPr>
                <w:sz w:val="12"/>
                <w:szCs w:val="12"/>
                <w:color w:val="auto"/>
              </w:rPr>
            </w:pPr>
          </w:p>
        </w:tc>
        <w:tc>
          <w:tcPr>
            <w:tcW w:w="980" w:type="dxa"/>
            <w:vAlign w:val="bottom"/>
            <w:tcBorders>
              <w:bottom w:val="single" w:sz="8" w:color="auto"/>
            </w:tcBorders>
          </w:tcPr>
          <w:p>
            <w:pPr>
              <w:jc w:val="right"/>
              <w:ind w:right="59"/>
              <w:spacing w:after="0" w:line="142" w:lineRule="exact"/>
              <w:rPr>
                <w:sz w:val="20"/>
                <w:szCs w:val="20"/>
                <w:color w:val="auto"/>
              </w:rPr>
            </w:pPr>
            <w:r>
              <w:rPr>
                <w:rFonts w:ascii="Arial" w:cs="Arial" w:eastAsia="Arial" w:hAnsi="Arial"/>
                <w:sz w:val="14"/>
                <w:szCs w:val="14"/>
                <w:color w:val="auto"/>
              </w:rPr>
              <w:t>2012</w:t>
            </w:r>
          </w:p>
        </w:tc>
        <w:tc>
          <w:tcPr>
            <w:tcW w:w="6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928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$ 1,224</w:t>
            </w:r>
          </w:p>
        </w:tc>
        <w:tc>
          <w:tcPr>
            <w:tcW w:w="6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943</w:t>
            </w:r>
          </w:p>
        </w:tc>
        <w:tc>
          <w:tcPr>
            <w:tcW w:w="0" w:type="dxa"/>
            <w:vAlign w:val="bottom"/>
          </w:tcPr>
          <w:p>
            <w:pPr>
              <w:spacing w:after="0"/>
              <w:rPr>
                <w:sz w:val="1"/>
                <w:szCs w:val="1"/>
                <w:color w:val="auto"/>
              </w:rPr>
            </w:pPr>
          </w:p>
        </w:tc>
      </w:tr>
      <w:tr>
        <w:trPr>
          <w:trHeight w:val="216"/>
        </w:trPr>
        <w:tc>
          <w:tcPr>
            <w:tcW w:w="9280" w:type="dxa"/>
            <w:vAlign w:val="bottom"/>
          </w:tcPr>
          <w:p>
            <w:pPr>
              <w:spacing w:after="0"/>
              <w:rPr>
                <w:sz w:val="20"/>
                <w:szCs w:val="20"/>
                <w:color w:val="auto"/>
              </w:rPr>
            </w:pPr>
            <w:r>
              <w:rPr>
                <w:rFonts w:ascii="Arial" w:cs="Arial" w:eastAsia="Arial" w:hAnsi="Arial"/>
                <w:sz w:val="18"/>
                <w:szCs w:val="18"/>
                <w:color w:val="auto"/>
              </w:rPr>
              <w:t>Transfers from (to) noncontrolling interests:</w:t>
            </w:r>
          </w:p>
        </w:tc>
        <w:tc>
          <w:tcPr>
            <w:tcW w:w="9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80" w:type="dxa"/>
            <w:vAlign w:val="bottom"/>
            <w:shd w:val="clear" w:color="auto" w:fill="E5E5E5"/>
          </w:tcPr>
          <w:p>
            <w:pPr>
              <w:ind w:left="440"/>
              <w:spacing w:after="0"/>
              <w:rPr>
                <w:sz w:val="20"/>
                <w:szCs w:val="20"/>
                <w:color w:val="auto"/>
              </w:rPr>
            </w:pPr>
            <w:r>
              <w:rPr>
                <w:rFonts w:ascii="Arial" w:cs="Arial" w:eastAsia="Arial" w:hAnsi="Arial"/>
                <w:sz w:val="18"/>
                <w:szCs w:val="18"/>
                <w:color w:val="auto"/>
                <w:w w:val="94"/>
              </w:rPr>
              <w:t>Increase in Comcast Corporation additional paid-in capital resulting from the issuance of noncontrolling equity interest</w:t>
            </w:r>
          </w:p>
        </w:tc>
        <w:tc>
          <w:tcPr>
            <w:tcW w:w="9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88"/>
              </w:rPr>
              <w:t>1,692</w:t>
            </w:r>
          </w:p>
        </w:tc>
        <w:tc>
          <w:tcPr>
            <w:tcW w:w="0" w:type="dxa"/>
            <w:vAlign w:val="bottom"/>
          </w:tcPr>
          <w:p>
            <w:pPr>
              <w:spacing w:after="0"/>
              <w:rPr>
                <w:sz w:val="1"/>
                <w:szCs w:val="1"/>
                <w:color w:val="auto"/>
              </w:rPr>
            </w:pPr>
          </w:p>
        </w:tc>
      </w:tr>
      <w:tr>
        <w:trPr>
          <w:trHeight w:val="216"/>
        </w:trPr>
        <w:tc>
          <w:tcPr>
            <w:tcW w:w="9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9"/>
              </w:rPr>
              <w:t>Increase in Comcast Corporation additional paid-in capital resulting from the purchase of noncontrolling interest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6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5"/>
        </w:trPr>
        <w:tc>
          <w:tcPr>
            <w:tcW w:w="928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Changes in equity resulting from net income attributable to Comcast Corporation and transfers from (to) noncontrolling</w:t>
            </w:r>
          </w:p>
        </w:tc>
        <w:tc>
          <w:tcPr>
            <w:tcW w:w="980" w:type="dxa"/>
            <w:vAlign w:val="bottom"/>
            <w:shd w:val="clear" w:color="auto" w:fill="E5E5E5"/>
          </w:tcPr>
          <w:p>
            <w:pPr>
              <w:spacing w:after="0"/>
              <w:rPr>
                <w:sz w:val="16"/>
                <w:szCs w:val="16"/>
                <w:color w:val="auto"/>
              </w:rPr>
            </w:pPr>
          </w:p>
        </w:tc>
        <w:tc>
          <w:tcPr>
            <w:tcW w:w="640" w:type="dxa"/>
            <w:vAlign w:val="bottom"/>
            <w:shd w:val="clear" w:color="auto" w:fill="E5E5E5"/>
          </w:tcPr>
          <w:p>
            <w:pPr>
              <w:spacing w:after="0"/>
              <w:rPr>
                <w:sz w:val="16"/>
                <w:szCs w:val="16"/>
                <w:color w:val="auto"/>
              </w:rPr>
            </w:pPr>
          </w:p>
        </w:tc>
        <w:tc>
          <w:tcPr>
            <w:tcW w:w="5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9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interests</w:t>
            </w:r>
          </w:p>
        </w:tc>
        <w:tc>
          <w:tcPr>
            <w:tcW w:w="9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$ 1,226</w:t>
            </w:r>
          </w:p>
        </w:tc>
        <w:tc>
          <w:tcPr>
            <w:tcW w:w="6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w w:val="88"/>
              </w:rPr>
              <w:t>2,635</w:t>
            </w:r>
          </w:p>
        </w:tc>
        <w:tc>
          <w:tcPr>
            <w:tcW w:w="0" w:type="dxa"/>
            <w:vAlign w:val="bottom"/>
          </w:tcPr>
          <w:p>
            <w:pPr>
              <w:spacing w:after="0"/>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10: Pension Plans and Postretirement Benefits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the components of net periodic benefit expense related to our active pension plans and postretirement benefit plans.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520" w:type="dxa"/>
            <w:vAlign w:val="bottom"/>
            <w:gridSpan w:val="2"/>
          </w:tcPr>
          <w:p>
            <w:pPr>
              <w:jc w:val="center"/>
              <w:ind w:left="56"/>
              <w:spacing w:after="0"/>
              <w:rPr>
                <w:sz w:val="20"/>
                <w:szCs w:val="20"/>
                <w:color w:val="auto"/>
              </w:rPr>
            </w:pPr>
            <w:r>
              <w:rPr>
                <w:rFonts w:ascii="Arial" w:cs="Arial" w:eastAsia="Arial" w:hAnsi="Arial"/>
                <w:sz w:val="14"/>
                <w:szCs w:val="14"/>
                <w:color w:val="auto"/>
                <w:w w:val="87"/>
              </w:rPr>
              <w:t>Three Months Ended</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80" w:type="dxa"/>
            <w:vAlign w:val="bottom"/>
            <w:gridSpan w:val="2"/>
          </w:tcPr>
          <w:p>
            <w:pPr>
              <w:jc w:val="center"/>
              <w:ind w:left="56"/>
              <w:spacing w:after="0"/>
              <w:rPr>
                <w:sz w:val="20"/>
                <w:szCs w:val="20"/>
                <w:color w:val="auto"/>
              </w:rPr>
            </w:pPr>
            <w:r>
              <w:rPr>
                <w:rFonts w:ascii="Arial" w:cs="Arial" w:eastAsia="Arial" w:hAnsi="Arial"/>
                <w:sz w:val="14"/>
                <w:szCs w:val="14"/>
                <w:color w:val="auto"/>
                <w:w w:val="87"/>
              </w:rPr>
              <w:t>Three Months Ended</w:t>
            </w:r>
          </w:p>
        </w:tc>
        <w:tc>
          <w:tcPr>
            <w:tcW w:w="440" w:type="dxa"/>
            <w:vAlign w:val="bottom"/>
          </w:tcPr>
          <w:p>
            <w:pPr>
              <w:spacing w:after="0"/>
              <w:rPr>
                <w:sz w:val="14"/>
                <w:szCs w:val="14"/>
                <w:color w:val="auto"/>
              </w:rPr>
            </w:pPr>
          </w:p>
        </w:tc>
      </w:tr>
      <w:tr>
        <w:trPr>
          <w:trHeight w:val="159"/>
        </w:trPr>
        <w:tc>
          <w:tcPr>
            <w:tcW w:w="5900" w:type="dxa"/>
            <w:vAlign w:val="bottom"/>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44"/>
              <w:spacing w:after="0" w:line="159" w:lineRule="exact"/>
              <w:rPr>
                <w:sz w:val="20"/>
                <w:szCs w:val="20"/>
                <w:color w:val="auto"/>
              </w:rPr>
            </w:pPr>
            <w:r>
              <w:rPr>
                <w:rFonts w:ascii="Arial" w:cs="Arial" w:eastAsia="Arial" w:hAnsi="Arial"/>
                <w:sz w:val="14"/>
                <w:szCs w:val="14"/>
                <w:color w:val="auto"/>
                <w:w w:val="88"/>
              </w:rPr>
              <w:t>March 31, 2012</w:t>
            </w:r>
          </w:p>
        </w:tc>
        <w:tc>
          <w:tcPr>
            <w:tcW w:w="6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center"/>
              <w:ind w:right="104"/>
              <w:spacing w:after="0" w:line="159" w:lineRule="exact"/>
              <w:rPr>
                <w:sz w:val="20"/>
                <w:szCs w:val="20"/>
                <w:color w:val="auto"/>
              </w:rPr>
            </w:pPr>
            <w:r>
              <w:rPr>
                <w:rFonts w:ascii="Arial" w:cs="Arial" w:eastAsia="Arial" w:hAnsi="Arial"/>
                <w:sz w:val="14"/>
                <w:szCs w:val="14"/>
                <w:color w:val="auto"/>
                <w:w w:val="88"/>
              </w:rPr>
              <w:t>March 31, 2011</w:t>
            </w:r>
          </w:p>
        </w:tc>
        <w:tc>
          <w:tcPr>
            <w:tcW w:w="440" w:type="dxa"/>
            <w:vAlign w:val="bottom"/>
            <w:tcBorders>
              <w:bottom w:val="single" w:sz="8" w:color="auto"/>
            </w:tcBorders>
          </w:tcPr>
          <w:p>
            <w:pPr>
              <w:spacing w:after="0"/>
              <w:rPr>
                <w:sz w:val="13"/>
                <w:szCs w:val="13"/>
                <w:color w:val="auto"/>
              </w:rPr>
            </w:pPr>
          </w:p>
        </w:tc>
      </w:tr>
      <w:tr>
        <w:trPr>
          <w:trHeight w:val="131"/>
        </w:trPr>
        <w:tc>
          <w:tcPr>
            <w:tcW w:w="5900" w:type="dxa"/>
            <w:vAlign w:val="bottom"/>
          </w:tcPr>
          <w:p>
            <w:pPr>
              <w:spacing w:after="0"/>
              <w:rPr>
                <w:sz w:val="11"/>
                <w:szCs w:val="11"/>
                <w:color w:val="auto"/>
              </w:rPr>
            </w:pPr>
          </w:p>
        </w:tc>
        <w:tc>
          <w:tcPr>
            <w:tcW w:w="1200" w:type="dxa"/>
            <w:vAlign w:val="bottom"/>
            <w:gridSpan w:val="2"/>
          </w:tcPr>
          <w:p>
            <w:pPr>
              <w:ind w:left="680"/>
              <w:spacing w:after="0" w:line="131" w:lineRule="exact"/>
              <w:rPr>
                <w:sz w:val="20"/>
                <w:szCs w:val="20"/>
                <w:color w:val="auto"/>
              </w:rPr>
            </w:pPr>
            <w:r>
              <w:rPr>
                <w:rFonts w:ascii="Arial" w:cs="Arial" w:eastAsia="Arial" w:hAnsi="Arial"/>
                <w:sz w:val="14"/>
                <w:szCs w:val="14"/>
                <w:color w:val="auto"/>
                <w:w w:val="98"/>
              </w:rPr>
              <w:t>Pension</w:t>
            </w:r>
          </w:p>
        </w:tc>
        <w:tc>
          <w:tcPr>
            <w:tcW w:w="1840" w:type="dxa"/>
            <w:vAlign w:val="bottom"/>
            <w:gridSpan w:val="2"/>
          </w:tcPr>
          <w:p>
            <w:pPr>
              <w:ind w:left="680"/>
              <w:spacing w:after="0" w:line="131" w:lineRule="exact"/>
              <w:rPr>
                <w:sz w:val="20"/>
                <w:szCs w:val="20"/>
                <w:color w:val="auto"/>
              </w:rPr>
            </w:pPr>
            <w:r>
              <w:rPr>
                <w:rFonts w:ascii="Arial" w:cs="Arial" w:eastAsia="Arial" w:hAnsi="Arial"/>
                <w:sz w:val="14"/>
                <w:szCs w:val="14"/>
                <w:color w:val="auto"/>
              </w:rPr>
              <w:t>Postretirement</w:t>
            </w:r>
          </w:p>
        </w:tc>
        <w:tc>
          <w:tcPr>
            <w:tcW w:w="880" w:type="dxa"/>
            <w:vAlign w:val="bottom"/>
            <w:gridSpan w:val="2"/>
          </w:tcPr>
          <w:p>
            <w:pPr>
              <w:ind w:left="380"/>
              <w:spacing w:after="0" w:line="131" w:lineRule="exact"/>
              <w:rPr>
                <w:sz w:val="20"/>
                <w:szCs w:val="20"/>
                <w:color w:val="auto"/>
              </w:rPr>
            </w:pPr>
            <w:r>
              <w:rPr>
                <w:rFonts w:ascii="Arial" w:cs="Arial" w:eastAsia="Arial" w:hAnsi="Arial"/>
                <w:sz w:val="14"/>
                <w:szCs w:val="14"/>
                <w:color w:val="auto"/>
                <w:w w:val="94"/>
              </w:rPr>
              <w:t>Pension</w:t>
            </w:r>
          </w:p>
        </w:tc>
        <w:tc>
          <w:tcPr>
            <w:tcW w:w="1600" w:type="dxa"/>
            <w:vAlign w:val="bottom"/>
            <w:gridSpan w:val="2"/>
          </w:tcPr>
          <w:p>
            <w:pPr>
              <w:ind w:left="700"/>
              <w:spacing w:after="0" w:line="131" w:lineRule="exact"/>
              <w:rPr>
                <w:sz w:val="20"/>
                <w:szCs w:val="20"/>
                <w:color w:val="auto"/>
              </w:rPr>
            </w:pPr>
            <w:r>
              <w:rPr>
                <w:rFonts w:ascii="Arial" w:cs="Arial" w:eastAsia="Arial" w:hAnsi="Arial"/>
                <w:sz w:val="14"/>
                <w:szCs w:val="14"/>
                <w:color w:val="auto"/>
                <w:w w:val="96"/>
              </w:rPr>
              <w:t>Postretirement</w:t>
            </w:r>
          </w:p>
        </w:tc>
      </w:tr>
      <w:tr>
        <w:trPr>
          <w:trHeight w:val="159"/>
        </w:trPr>
        <w:tc>
          <w:tcPr>
            <w:tcW w:w="590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200" w:type="dxa"/>
            <w:vAlign w:val="bottom"/>
            <w:tcBorders>
              <w:bottom w:val="single" w:sz="8" w:color="auto"/>
            </w:tcBorders>
            <w:gridSpan w:val="2"/>
          </w:tcPr>
          <w:p>
            <w:pPr>
              <w:ind w:left="660"/>
              <w:spacing w:after="0" w:line="159" w:lineRule="exact"/>
              <w:rPr>
                <w:sz w:val="20"/>
                <w:szCs w:val="20"/>
                <w:color w:val="auto"/>
              </w:rPr>
            </w:pPr>
            <w:r>
              <w:rPr>
                <w:rFonts w:ascii="Arial" w:cs="Arial" w:eastAsia="Arial" w:hAnsi="Arial"/>
                <w:sz w:val="14"/>
                <w:szCs w:val="14"/>
                <w:color w:val="auto"/>
              </w:rPr>
              <w:t>Benefits</w:t>
            </w:r>
          </w:p>
        </w:tc>
        <w:tc>
          <w:tcPr>
            <w:tcW w:w="1840" w:type="dxa"/>
            <w:vAlign w:val="bottom"/>
            <w:tcBorders>
              <w:bottom w:val="single" w:sz="8" w:color="auto"/>
            </w:tcBorders>
            <w:gridSpan w:val="2"/>
          </w:tcPr>
          <w:p>
            <w:pPr>
              <w:jc w:val="right"/>
              <w:ind w:right="452"/>
              <w:spacing w:after="0" w:line="159" w:lineRule="exact"/>
              <w:rPr>
                <w:sz w:val="20"/>
                <w:szCs w:val="20"/>
                <w:color w:val="auto"/>
              </w:rPr>
            </w:pPr>
            <w:r>
              <w:rPr>
                <w:rFonts w:ascii="Arial" w:cs="Arial" w:eastAsia="Arial" w:hAnsi="Arial"/>
                <w:sz w:val="14"/>
                <w:szCs w:val="14"/>
                <w:color w:val="auto"/>
              </w:rPr>
              <w:t>Benefits</w:t>
            </w:r>
          </w:p>
        </w:tc>
        <w:tc>
          <w:tcPr>
            <w:tcW w:w="880" w:type="dxa"/>
            <w:vAlign w:val="bottom"/>
            <w:tcBorders>
              <w:bottom w:val="single" w:sz="8" w:color="auto"/>
            </w:tcBorders>
            <w:gridSpan w:val="2"/>
          </w:tcPr>
          <w:p>
            <w:pPr>
              <w:ind w:left="380"/>
              <w:spacing w:after="0" w:line="159" w:lineRule="exact"/>
              <w:rPr>
                <w:sz w:val="20"/>
                <w:szCs w:val="20"/>
                <w:color w:val="auto"/>
              </w:rPr>
            </w:pPr>
            <w:r>
              <w:rPr>
                <w:rFonts w:ascii="Arial" w:cs="Arial" w:eastAsia="Arial" w:hAnsi="Arial"/>
                <w:sz w:val="14"/>
                <w:szCs w:val="14"/>
                <w:color w:val="auto"/>
                <w:w w:val="94"/>
              </w:rPr>
              <w:t>Benefits</w:t>
            </w:r>
          </w:p>
        </w:tc>
        <w:tc>
          <w:tcPr>
            <w:tcW w:w="1600" w:type="dxa"/>
            <w:vAlign w:val="bottom"/>
            <w:tcBorders>
              <w:bottom w:val="single" w:sz="8" w:color="auto"/>
            </w:tcBorders>
            <w:gridSpan w:val="2"/>
          </w:tcPr>
          <w:p>
            <w:pPr>
              <w:jc w:val="right"/>
              <w:ind w:right="192"/>
              <w:spacing w:after="0" w:line="159" w:lineRule="exact"/>
              <w:rPr>
                <w:sz w:val="20"/>
                <w:szCs w:val="20"/>
                <w:color w:val="auto"/>
              </w:rPr>
            </w:pPr>
            <w:r>
              <w:rPr>
                <w:rFonts w:ascii="Arial" w:cs="Arial" w:eastAsia="Arial" w:hAnsi="Arial"/>
                <w:sz w:val="14"/>
                <w:szCs w:val="14"/>
                <w:color w:val="auto"/>
              </w:rPr>
              <w:t>Benefits</w:t>
            </w:r>
          </w:p>
        </w:tc>
      </w:tr>
      <w:tr>
        <w:trPr>
          <w:trHeight w:val="210"/>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E5E5E5"/>
          </w:tcPr>
          <w:p>
            <w:pPr>
              <w:ind w:left="660"/>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1160" w:type="dxa"/>
            <w:vAlign w:val="bottom"/>
            <w:shd w:val="clear" w:color="auto" w:fill="E5E5E5"/>
          </w:tcPr>
          <w:p>
            <w:pPr>
              <w:ind w:left="680"/>
              <w:spacing w:after="0"/>
              <w:rPr>
                <w:sz w:val="20"/>
                <w:szCs w:val="20"/>
                <w:color w:val="auto"/>
              </w:rPr>
            </w:pPr>
            <w:r>
              <w:rPr>
                <w:rFonts w:ascii="Arial" w:cs="Arial" w:eastAsia="Arial" w:hAnsi="Arial"/>
                <w:sz w:val="18"/>
                <w:szCs w:val="18"/>
                <w:color w:val="auto"/>
              </w:rPr>
              <w:t>$</w:t>
            </w:r>
          </w:p>
        </w:tc>
        <w:tc>
          <w:tcPr>
            <w:tcW w:w="6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8</w:t>
            </w:r>
          </w:p>
        </w:tc>
        <w:tc>
          <w:tcPr>
            <w:tcW w:w="560" w:type="dxa"/>
            <w:vAlign w:val="bottom"/>
            <w:shd w:val="clear" w:color="auto" w:fill="E5E5E5"/>
          </w:tcPr>
          <w:p>
            <w:pPr>
              <w:ind w:left="380"/>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w:t>
            </w:r>
          </w:p>
        </w:tc>
        <w:tc>
          <w:tcPr>
            <w:tcW w:w="1160" w:type="dxa"/>
            <w:vAlign w:val="bottom"/>
            <w:shd w:val="clear" w:color="auto" w:fill="E5E5E5"/>
          </w:tcPr>
          <w:p>
            <w:pPr>
              <w:ind w:left="700"/>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Interest cost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160" w:type="dxa"/>
            <w:vAlign w:val="bottom"/>
          </w:tcPr>
          <w:p>
            <w:pPr>
              <w:spacing w:after="0"/>
              <w:rPr>
                <w:sz w:val="18"/>
                <w:szCs w:val="18"/>
                <w:color w:val="auto"/>
              </w:rPr>
            </w:pPr>
          </w:p>
        </w:tc>
        <w:tc>
          <w:tcPr>
            <w:tcW w:w="680" w:type="dxa"/>
            <w:vAlign w:val="bottom"/>
          </w:tcPr>
          <w:p>
            <w:pPr>
              <w:jc w:val="right"/>
              <w:ind w:right="272"/>
              <w:spacing w:after="0"/>
              <w:rPr>
                <w:sz w:val="20"/>
                <w:szCs w:val="20"/>
                <w:color w:val="auto"/>
              </w:rPr>
            </w:pPr>
            <w:r>
              <w:rPr>
                <w:rFonts w:ascii="Arial" w:cs="Arial" w:eastAsia="Arial" w:hAnsi="Arial"/>
                <w:sz w:val="18"/>
                <w:szCs w:val="18"/>
                <w:color w:val="auto"/>
              </w:rPr>
              <w:t>7</w:t>
            </w:r>
          </w:p>
        </w:tc>
        <w:tc>
          <w:tcPr>
            <w:tcW w:w="5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160" w:type="dxa"/>
            <w:vAlign w:val="bottom"/>
          </w:tcPr>
          <w:p>
            <w:pPr>
              <w:spacing w:after="0"/>
              <w:rPr>
                <w:sz w:val="18"/>
                <w:szCs w:val="18"/>
                <w:color w:val="auto"/>
              </w:rPr>
            </w:pPr>
          </w:p>
        </w:tc>
        <w:tc>
          <w:tcPr>
            <w:tcW w:w="440" w:type="dxa"/>
            <w:vAlign w:val="bottom"/>
          </w:tcPr>
          <w:p>
            <w:pPr>
              <w:jc w:val="right"/>
              <w:ind w:right="12"/>
              <w:spacing w:after="0"/>
              <w:rPr>
                <w:sz w:val="20"/>
                <w:szCs w:val="20"/>
                <w:color w:val="auto"/>
              </w:rPr>
            </w:pPr>
            <w:r>
              <w:rPr>
                <w:rFonts w:ascii="Arial" w:cs="Arial" w:eastAsia="Arial" w:hAnsi="Arial"/>
                <w:sz w:val="18"/>
                <w:szCs w:val="18"/>
                <w:color w:val="auto"/>
              </w:rPr>
              <w:t>7</w:t>
            </w:r>
          </w:p>
        </w:tc>
      </w:tr>
      <w:tr>
        <w:trPr>
          <w:trHeight w:val="216"/>
        </w:trPr>
        <w:tc>
          <w:tcPr>
            <w:tcW w:w="5900" w:type="dxa"/>
            <w:vAlign w:val="bottom"/>
            <w:shd w:val="clear" w:color="auto" w:fill="E5E5E5"/>
          </w:tcPr>
          <w:p>
            <w:pPr>
              <w:spacing w:after="0"/>
              <w:rPr>
                <w:sz w:val="20"/>
                <w:szCs w:val="20"/>
                <w:color w:val="auto"/>
              </w:rPr>
            </w:pPr>
            <w:r>
              <w:rPr>
                <w:rFonts w:ascii="Arial" w:cs="Arial" w:eastAsia="Arial" w:hAnsi="Arial"/>
                <w:sz w:val="18"/>
                <w:szCs w:val="18"/>
                <w:color w:val="auto"/>
              </w:rPr>
              <w:t>Prior service cost</w:t>
            </w: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spacing w:after="0"/>
              <w:rPr>
                <w:sz w:val="18"/>
                <w:szCs w:val="18"/>
                <w:color w:val="auto"/>
              </w:rPr>
            </w:pPr>
          </w:p>
        </w:tc>
        <w:tc>
          <w:tcPr>
            <w:tcW w:w="3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spacing w:after="0"/>
              <w:rPr>
                <w:sz w:val="18"/>
                <w:szCs w:val="18"/>
                <w:color w:val="auto"/>
              </w:rPr>
            </w:pPr>
          </w:p>
        </w:tc>
        <w:tc>
          <w:tcPr>
            <w:tcW w:w="4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r>
      <w:tr>
        <w:trPr>
          <w:trHeight w:val="217"/>
        </w:trPr>
        <w:tc>
          <w:tcPr>
            <w:tcW w:w="59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benefits expense</w:t>
            </w:r>
          </w:p>
        </w:tc>
        <w:tc>
          <w:tcPr>
            <w:tcW w:w="840" w:type="dxa"/>
            <w:vAlign w:val="bottom"/>
            <w:tcBorders>
              <w:bottom w:val="single" w:sz="8" w:color="auto"/>
            </w:tcBorders>
            <w:shd w:val="clear" w:color="auto" w:fill="E5E5E5"/>
          </w:tcPr>
          <w:p>
            <w:pPr>
              <w:ind w:left="660"/>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35</w:t>
            </w:r>
          </w:p>
        </w:tc>
        <w:tc>
          <w:tcPr>
            <w:tcW w:w="1160" w:type="dxa"/>
            <w:vAlign w:val="bottom"/>
            <w:tcBorders>
              <w:bottom w:val="single" w:sz="8" w:color="auto"/>
            </w:tcBorders>
            <w:shd w:val="clear" w:color="auto" w:fill="E5E5E5"/>
          </w:tcPr>
          <w:p>
            <w:pPr>
              <w:ind w:left="680"/>
              <w:spacing w:after="0"/>
              <w:rPr>
                <w:sz w:val="20"/>
                <w:szCs w:val="20"/>
                <w:color w:val="auto"/>
              </w:rPr>
            </w:pPr>
            <w:r>
              <w:rPr>
                <w:rFonts w:ascii="Arial" w:cs="Arial" w:eastAsia="Arial" w:hAnsi="Arial"/>
                <w:sz w:val="18"/>
                <w:szCs w:val="18"/>
                <w:b w:val="1"/>
                <w:bCs w:val="1"/>
                <w:color w:val="auto"/>
              </w:rPr>
              <w:t>$</w:t>
            </w:r>
          </w:p>
        </w:tc>
        <w:tc>
          <w:tcPr>
            <w:tcW w:w="680" w:type="dxa"/>
            <w:vAlign w:val="bottom"/>
            <w:tcBorders>
              <w:bottom w:val="single" w:sz="8" w:color="auto"/>
            </w:tcBorders>
            <w:shd w:val="clear" w:color="auto" w:fill="E5E5E5"/>
          </w:tcPr>
          <w:p>
            <w:pPr>
              <w:jc w:val="right"/>
              <w:ind w:right="272"/>
              <w:spacing w:after="0"/>
              <w:rPr>
                <w:sz w:val="20"/>
                <w:szCs w:val="20"/>
                <w:color w:val="auto"/>
              </w:rPr>
            </w:pPr>
            <w:r>
              <w:rPr>
                <w:rFonts w:ascii="Arial" w:cs="Arial" w:eastAsia="Arial" w:hAnsi="Arial"/>
                <w:sz w:val="18"/>
                <w:szCs w:val="18"/>
                <w:b w:val="1"/>
                <w:bCs w:val="1"/>
                <w:color w:val="auto"/>
              </w:rPr>
              <w:t>15</w:t>
            </w:r>
          </w:p>
        </w:tc>
        <w:tc>
          <w:tcPr>
            <w:tcW w:w="560" w:type="dxa"/>
            <w:vAlign w:val="bottom"/>
            <w:tcBorders>
              <w:bottom w:val="single" w:sz="8" w:color="auto"/>
            </w:tcBorders>
            <w:shd w:val="clear" w:color="auto" w:fill="E5E5E5"/>
          </w:tcPr>
          <w:p>
            <w:pPr>
              <w:ind w:left="38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20</w:t>
            </w:r>
          </w:p>
        </w:tc>
        <w:tc>
          <w:tcPr>
            <w:tcW w:w="1160" w:type="dxa"/>
            <w:vAlign w:val="bottom"/>
            <w:tcBorders>
              <w:bottom w:val="single" w:sz="8" w:color="auto"/>
            </w:tcBorders>
            <w:shd w:val="clear" w:color="auto" w:fill="E5E5E5"/>
          </w:tcPr>
          <w:p>
            <w:pPr>
              <w:ind w:left="700"/>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1</w:t>
            </w: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April 2012, NBCUniversal provided initial funding to its qualified defined benefit plan of $76 million. The expected return on the plan assets of this plan is 5%.</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11: Share-Based Compensation</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approach to long-term incentive compensation includes awarding stock options and RSUs to certain employees and directors. We grant these awards under various plans. Additionally, through our employee stock purchase plans, employees are able to purchase shares of Comcast Class A common stock at a discount through payroll deductions.</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March 2012, we granted 21.8 million stock options and 5.7 million RSUs related to our annual management grant program. The weighted-average fair values associated with these grants were $7.38 per stock option and $27.43 per RSU.</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Recognized Share-Based Compensation Expense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3"/>
          </w:tcPr>
          <w:p>
            <w:pPr>
              <w:jc w:val="right"/>
              <w:ind w:right="336"/>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8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39"/>
              <w:spacing w:after="0" w:line="159" w:lineRule="exact"/>
              <w:rPr>
                <w:sz w:val="20"/>
                <w:szCs w:val="20"/>
                <w:color w:val="auto"/>
              </w:rPr>
            </w:pPr>
            <w:r>
              <w:rPr>
                <w:rFonts w:ascii="Arial" w:cs="Arial" w:eastAsia="Arial" w:hAnsi="Arial"/>
                <w:sz w:val="14"/>
                <w:szCs w:val="14"/>
                <w:color w:val="auto"/>
                <w:w w:val="95"/>
              </w:rPr>
              <w:t>March 31</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8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color w:val="auto"/>
                <w:w w:val="89"/>
              </w:rPr>
              <w:t>2012</w:t>
            </w:r>
          </w:p>
        </w:tc>
        <w:tc>
          <w:tcPr>
            <w:tcW w:w="80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8880" w:type="dxa"/>
            <w:vAlign w:val="bottom"/>
            <w:shd w:val="clear" w:color="auto" w:fill="E5E5E5"/>
          </w:tcPr>
          <w:p>
            <w:pPr>
              <w:spacing w:after="0"/>
              <w:rPr>
                <w:sz w:val="20"/>
                <w:szCs w:val="20"/>
                <w:color w:val="auto"/>
              </w:rPr>
            </w:pPr>
            <w:r>
              <w:rPr>
                <w:rFonts w:ascii="Arial" w:cs="Arial" w:eastAsia="Arial" w:hAnsi="Arial"/>
                <w:sz w:val="18"/>
                <w:szCs w:val="18"/>
                <w:color w:val="auto"/>
              </w:rPr>
              <w:t>Stock options</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8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Arial" w:cs="Arial" w:eastAsia="Arial" w:hAnsi="Arial"/>
                <w:sz w:val="18"/>
                <w:szCs w:val="18"/>
                <w:color w:val="auto"/>
              </w:rPr>
              <w:t>Restricted share units</w:t>
            </w:r>
          </w:p>
        </w:tc>
        <w:tc>
          <w:tcPr>
            <w:tcW w:w="7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800" w:type="dxa"/>
            <w:vAlign w:val="bottom"/>
          </w:tcPr>
          <w:p>
            <w:pPr>
              <w:spacing w:after="0"/>
              <w:rPr>
                <w:sz w:val="18"/>
                <w:szCs w:val="18"/>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8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Employee stock purchase plans</w:t>
            </w:r>
          </w:p>
        </w:tc>
        <w:tc>
          <w:tcPr>
            <w:tcW w:w="740" w:type="dxa"/>
            <w:vAlign w:val="bottom"/>
            <w:tcBorders>
              <w:bottom w:val="single" w:sz="8" w:color="auto"/>
            </w:tcBorders>
            <w:shd w:val="clear" w:color="auto" w:fill="E5E5E5"/>
          </w:tcPr>
          <w:p>
            <w:pPr>
              <w:spacing w:after="0"/>
              <w:rPr>
                <w:sz w:val="18"/>
                <w:szCs w:val="18"/>
                <w:color w:val="auto"/>
              </w:rPr>
            </w:pP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w:t>
            </w:r>
          </w:p>
        </w:tc>
        <w:tc>
          <w:tcPr>
            <w:tcW w:w="800" w:type="dxa"/>
            <w:vAlign w:val="bottom"/>
            <w:tcBorders>
              <w:bottom w:val="single" w:sz="8" w:color="auto"/>
            </w:tcBorders>
            <w:shd w:val="clear" w:color="auto" w:fill="E5E5E5"/>
          </w:tcPr>
          <w:p>
            <w:pPr>
              <w:spacing w:after="0"/>
              <w:rPr>
                <w:sz w:val="18"/>
                <w:szCs w:val="18"/>
                <w:color w:val="auto"/>
              </w:rPr>
            </w:pPr>
          </w:p>
        </w:tc>
        <w:tc>
          <w:tcPr>
            <w:tcW w:w="52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88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65</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March 31, 2012, we had unrecognized pretax compensation expense related to nonvested stock options and nonvested RSUs of $417 million and $439 million, respectively.</w:t>
      </w:r>
    </w:p>
    <w:p>
      <w:pPr>
        <w:spacing w:after="0" w:line="3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the three months ended March 31, 2012 and 2011, the employee cost associated with participation in the employee stock purchase plans was satisfied with payroll deductions of $18 million and $15 million, respectively.</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12: Supplemental Financial Information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40" w:type="dxa"/>
            <w:vAlign w:val="bottom"/>
          </w:tcPr>
          <w:p>
            <w:pPr>
              <w:spacing w:after="0"/>
              <w:rPr>
                <w:sz w:val="14"/>
                <w:szCs w:val="14"/>
                <w:color w:val="auto"/>
              </w:rPr>
            </w:pPr>
          </w:p>
        </w:tc>
        <w:tc>
          <w:tcPr>
            <w:tcW w:w="1940" w:type="dxa"/>
            <w:vAlign w:val="bottom"/>
            <w:gridSpan w:val="3"/>
          </w:tcPr>
          <w:p>
            <w:pPr>
              <w:jc w:val="right"/>
              <w:ind w:right="597"/>
              <w:spacing w:after="0"/>
              <w:rPr>
                <w:sz w:val="20"/>
                <w:szCs w:val="20"/>
                <w:color w:val="auto"/>
              </w:rPr>
            </w:pPr>
            <w:r>
              <w:rPr>
                <w:rFonts w:ascii="Arial" w:cs="Arial" w:eastAsia="Arial" w:hAnsi="Arial"/>
                <w:sz w:val="14"/>
                <w:szCs w:val="14"/>
                <w:color w:val="auto"/>
              </w:rPr>
              <w:t>March 31,</w:t>
            </w:r>
          </w:p>
        </w:tc>
        <w:tc>
          <w:tcPr>
            <w:tcW w:w="940" w:type="dxa"/>
            <w:vAlign w:val="bottom"/>
            <w:gridSpan w:val="2"/>
          </w:tcPr>
          <w:p>
            <w:pPr>
              <w:ind w:left="80"/>
              <w:spacing w:after="0"/>
              <w:rPr>
                <w:sz w:val="20"/>
                <w:szCs w:val="20"/>
                <w:color w:val="auto"/>
              </w:rPr>
            </w:pPr>
            <w:r>
              <w:rPr>
                <w:rFonts w:ascii="Arial" w:cs="Arial" w:eastAsia="Arial" w:hAnsi="Arial"/>
                <w:sz w:val="14"/>
                <w:szCs w:val="14"/>
                <w:color w:val="auto"/>
                <w:w w:val="95"/>
              </w:rPr>
              <w:t>December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1940" w:type="dxa"/>
            <w:vAlign w:val="bottom"/>
            <w:tcBorders>
              <w:bottom w:val="single" w:sz="8" w:color="auto"/>
            </w:tcBorders>
            <w:gridSpan w:val="3"/>
          </w:tcPr>
          <w:p>
            <w:pPr>
              <w:jc w:val="right"/>
              <w:ind w:right="737"/>
              <w:spacing w:after="0" w:line="159" w:lineRule="exact"/>
              <w:rPr>
                <w:sz w:val="20"/>
                <w:szCs w:val="20"/>
                <w:color w:val="auto"/>
              </w:rPr>
            </w:pPr>
            <w:r>
              <w:rPr>
                <w:rFonts w:ascii="Arial" w:cs="Arial" w:eastAsia="Arial" w:hAnsi="Arial"/>
                <w:sz w:val="14"/>
                <w:szCs w:val="14"/>
                <w:color w:val="auto"/>
              </w:rPr>
              <w:t>2012</w:t>
            </w:r>
          </w:p>
        </w:tc>
        <w:tc>
          <w:tcPr>
            <w:tcW w:w="940" w:type="dxa"/>
            <w:vAlign w:val="bottom"/>
            <w:tcBorders>
              <w:bottom w:val="single" w:sz="8" w:color="auto"/>
            </w:tcBorders>
            <w:gridSpan w:val="2"/>
          </w:tcPr>
          <w:p>
            <w:pPr>
              <w:jc w:val="right"/>
              <w:ind w:right="255"/>
              <w:spacing w:after="0" w:line="159"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Receivables, gross</w:t>
            </w:r>
          </w:p>
        </w:tc>
        <w:tc>
          <w:tcPr>
            <w:tcW w:w="1940" w:type="dxa"/>
            <w:vAlign w:val="bottom"/>
            <w:gridSpan w:val="3"/>
            <w:shd w:val="clear" w:color="auto" w:fill="E5E5E5"/>
          </w:tcPr>
          <w:p>
            <w:pPr>
              <w:jc w:val="right"/>
              <w:ind w:right="577"/>
              <w:spacing w:after="0"/>
              <w:rPr>
                <w:sz w:val="20"/>
                <w:szCs w:val="20"/>
                <w:color w:val="auto"/>
              </w:rPr>
            </w:pPr>
            <w:r>
              <w:rPr>
                <w:rFonts w:ascii="Arial" w:cs="Arial" w:eastAsia="Arial" w:hAnsi="Arial"/>
                <w:sz w:val="18"/>
                <w:szCs w:val="18"/>
                <w:color w:val="auto"/>
              </w:rPr>
              <w:t>$ 4,880</w:t>
            </w:r>
          </w:p>
        </w:tc>
        <w:tc>
          <w:tcPr>
            <w:tcW w:w="380" w:type="dxa"/>
            <w:vAlign w:val="bottom"/>
            <w:shd w:val="clear" w:color="auto" w:fill="E5E5E5"/>
          </w:tcPr>
          <w:p>
            <w:pPr>
              <w:ind w:lef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7"/>
              </w:rPr>
              <w:t>4,978</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Less: Allowance for returns and customer incentives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577"/>
              <w:spacing w:after="0"/>
              <w:rPr>
                <w:sz w:val="20"/>
                <w:szCs w:val="20"/>
                <w:color w:val="auto"/>
              </w:rPr>
            </w:pPr>
            <w:r>
              <w:rPr>
                <w:rFonts w:ascii="Arial" w:cs="Arial" w:eastAsia="Arial" w:hAnsi="Arial"/>
                <w:sz w:val="18"/>
                <w:szCs w:val="18"/>
                <w:color w:val="auto"/>
                <w:w w:val="86"/>
              </w:rPr>
              <w:t>333</w:t>
            </w:r>
          </w:p>
        </w:tc>
        <w:tc>
          <w:tcPr>
            <w:tcW w:w="38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Less: Allowance for doubtful accounts</w:t>
            </w:r>
          </w:p>
        </w:tc>
        <w:tc>
          <w:tcPr>
            <w:tcW w:w="94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577"/>
              <w:spacing w:after="0"/>
              <w:rPr>
                <w:sz w:val="20"/>
                <w:szCs w:val="20"/>
                <w:color w:val="auto"/>
              </w:rPr>
            </w:pPr>
            <w:r>
              <w:rPr>
                <w:rFonts w:ascii="Arial" w:cs="Arial" w:eastAsia="Arial" w:hAnsi="Arial"/>
                <w:sz w:val="18"/>
                <w:szCs w:val="18"/>
                <w:color w:val="auto"/>
                <w:w w:val="86"/>
              </w:rPr>
              <w:t>168</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Receivables, net</w:t>
            </w:r>
          </w:p>
        </w:tc>
        <w:tc>
          <w:tcPr>
            <w:tcW w:w="194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8"/>
                <w:szCs w:val="18"/>
                <w:b w:val="1"/>
                <w:bCs w:val="1"/>
                <w:color w:val="auto"/>
              </w:rPr>
              <w:t>$ 4,379</w:t>
            </w:r>
          </w:p>
        </w:tc>
        <w:tc>
          <w:tcPr>
            <w:tcW w:w="38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7"/>
              </w:rPr>
              <w:t>4,351</w:t>
            </w:r>
          </w:p>
        </w:tc>
        <w:tc>
          <w:tcPr>
            <w:tcW w:w="0" w:type="dxa"/>
            <w:vAlign w:val="bottom"/>
          </w:tcPr>
          <w:p>
            <w:pPr>
              <w:spacing w:after="0"/>
              <w:rPr>
                <w:sz w:val="1"/>
                <w:szCs w:val="1"/>
                <w:color w:val="auto"/>
              </w:rPr>
            </w:pPr>
          </w:p>
        </w:tc>
      </w:tr>
      <w:tr>
        <w:trPr>
          <w:trHeight w:val="403"/>
        </w:trPr>
        <w:tc>
          <w:tcPr>
            <w:tcW w:w="8540" w:type="dxa"/>
            <w:vAlign w:val="bottom"/>
          </w:tcPr>
          <w:p>
            <w:pPr>
              <w:jc w:val="center"/>
              <w:ind w:left="2795"/>
              <w:spacing w:after="0"/>
              <w:rPr>
                <w:sz w:val="20"/>
                <w:szCs w:val="20"/>
                <w:color w:val="auto"/>
              </w:rPr>
            </w:pPr>
            <w:r>
              <w:rPr>
                <w:rFonts w:ascii="Arial" w:cs="Arial" w:eastAsia="Arial" w:hAnsi="Arial"/>
                <w:sz w:val="18"/>
                <w:szCs w:val="18"/>
                <w:b w:val="1"/>
                <w:bCs w:val="1"/>
                <w:color w:val="auto"/>
                <w:w w:val="97"/>
              </w:rPr>
              <w:t>Accumulated Other Comprehensive Income (Loss)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540" w:type="dxa"/>
            <w:vAlign w:val="bottom"/>
          </w:tcPr>
          <w:p>
            <w:pPr>
              <w:spacing w:after="0"/>
              <w:rPr>
                <w:sz w:val="16"/>
                <w:szCs w:val="16"/>
                <w:color w:val="auto"/>
              </w:rPr>
            </w:pPr>
          </w:p>
        </w:tc>
        <w:tc>
          <w:tcPr>
            <w:tcW w:w="1940" w:type="dxa"/>
            <w:vAlign w:val="bottom"/>
            <w:gridSpan w:val="3"/>
          </w:tcPr>
          <w:p>
            <w:pPr>
              <w:ind w:left="900"/>
              <w:spacing w:after="0"/>
              <w:rPr>
                <w:sz w:val="20"/>
                <w:szCs w:val="20"/>
                <w:color w:val="auto"/>
              </w:rPr>
            </w:pPr>
            <w:r>
              <w:rPr>
                <w:rFonts w:ascii="Arial" w:cs="Arial" w:eastAsia="Arial" w:hAnsi="Arial"/>
                <w:sz w:val="14"/>
                <w:szCs w:val="14"/>
                <w:color w:val="auto"/>
              </w:rPr>
              <w:t>March 31,</w:t>
            </w:r>
          </w:p>
        </w:tc>
        <w:tc>
          <w:tcPr>
            <w:tcW w:w="940" w:type="dxa"/>
            <w:vAlign w:val="bottom"/>
            <w:gridSpan w:val="2"/>
          </w:tcPr>
          <w:p>
            <w:pPr>
              <w:jc w:val="right"/>
              <w:ind w:right="35"/>
              <w:spacing w:after="0"/>
              <w:rPr>
                <w:sz w:val="20"/>
                <w:szCs w:val="20"/>
                <w:color w:val="auto"/>
              </w:rPr>
            </w:pPr>
            <w:r>
              <w:rPr>
                <w:rFonts w:ascii="Arial" w:cs="Arial" w:eastAsia="Arial" w:hAnsi="Arial"/>
                <w:sz w:val="14"/>
                <w:szCs w:val="14"/>
                <w:color w:val="auto"/>
              </w:rPr>
              <w:t>March 31,</w:t>
            </w:r>
          </w:p>
        </w:tc>
        <w:tc>
          <w:tcPr>
            <w:tcW w:w="0" w:type="dxa"/>
            <w:vAlign w:val="bottom"/>
          </w:tcPr>
          <w:p>
            <w:pPr>
              <w:spacing w:after="0"/>
              <w:rPr>
                <w:sz w:val="1"/>
                <w:szCs w:val="1"/>
                <w:color w:val="auto"/>
              </w:rPr>
            </w:pPr>
          </w:p>
        </w:tc>
      </w:tr>
      <w:tr>
        <w:trPr>
          <w:trHeight w:val="159"/>
        </w:trPr>
        <w:tc>
          <w:tcPr>
            <w:tcW w:w="8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94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537"/>
              <w:spacing w:after="0" w:line="159" w:lineRule="exact"/>
              <w:rPr>
                <w:sz w:val="20"/>
                <w:szCs w:val="20"/>
                <w:color w:val="auto"/>
              </w:rPr>
            </w:pPr>
            <w:r>
              <w:rPr>
                <w:rFonts w:ascii="Arial" w:cs="Arial" w:eastAsia="Arial" w:hAnsi="Arial"/>
                <w:sz w:val="14"/>
                <w:szCs w:val="14"/>
                <w:color w:val="auto"/>
                <w:w w:val="96"/>
              </w:rPr>
              <w:t>2012</w:t>
            </w:r>
          </w:p>
        </w:tc>
        <w:tc>
          <w:tcPr>
            <w:tcW w:w="3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75"/>
              <w:spacing w:after="0" w:line="159"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Unrealized gains (losses) on marketable securities</w:t>
            </w:r>
          </w:p>
        </w:tc>
        <w:tc>
          <w:tcPr>
            <w:tcW w:w="1000" w:type="dxa"/>
            <w:vAlign w:val="bottom"/>
            <w:gridSpan w:val="2"/>
            <w:shd w:val="clear" w:color="auto" w:fill="E5E5E5"/>
          </w:tcPr>
          <w:p>
            <w:pPr>
              <w:ind w:left="90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22</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Deferred gains (losses) on cash flow hedges</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ind w:right="337"/>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Unrecognized gains (losses) on employee benefit obligations</w:t>
            </w:r>
          </w:p>
        </w:tc>
        <w:tc>
          <w:tcPr>
            <w:tcW w:w="9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337"/>
              <w:spacing w:after="0"/>
              <w:rPr>
                <w:sz w:val="20"/>
                <w:szCs w:val="20"/>
                <w:color w:val="auto"/>
              </w:rPr>
            </w:pPr>
            <w:r>
              <w:rPr>
                <w:rFonts w:ascii="Arial" w:cs="Arial" w:eastAsia="Arial" w:hAnsi="Arial"/>
                <w:sz w:val="18"/>
                <w:szCs w:val="18"/>
                <w:color w:val="auto"/>
              </w:rPr>
              <w:t>(58)</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Cumulative translation adjustments</w:t>
            </w: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8"/>
                <w:szCs w:val="18"/>
                <w:color w:val="auto"/>
              </w:rPr>
              <w:t>(5)</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Accumulated other comprehensive income (loss), net of deferred taxes</w:t>
            </w:r>
          </w:p>
        </w:tc>
        <w:tc>
          <w:tcPr>
            <w:tcW w:w="1000" w:type="dxa"/>
            <w:vAlign w:val="bottom"/>
            <w:tcBorders>
              <w:bottom w:val="single" w:sz="8" w:color="auto"/>
            </w:tcBorders>
            <w:gridSpan w:val="2"/>
            <w:shd w:val="clear" w:color="auto" w:fill="E5E5E5"/>
          </w:tcPr>
          <w:p>
            <w:pPr>
              <w:ind w:left="90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E5E5"/>
          </w:tcPr>
          <w:p>
            <w:pPr>
              <w:jc w:val="right"/>
              <w:ind w:right="337"/>
              <w:spacing w:after="0"/>
              <w:rPr>
                <w:sz w:val="20"/>
                <w:szCs w:val="20"/>
                <w:color w:val="auto"/>
              </w:rPr>
            </w:pPr>
            <w:r>
              <w:rPr>
                <w:rFonts w:ascii="Arial" w:cs="Arial" w:eastAsia="Arial" w:hAnsi="Arial"/>
                <w:sz w:val="18"/>
                <w:szCs w:val="18"/>
                <w:b w:val="1"/>
                <w:bCs w:val="1"/>
                <w:color w:val="auto"/>
              </w:rPr>
              <w:t>(148)</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(97)</w:t>
            </w:r>
          </w:p>
        </w:tc>
        <w:tc>
          <w:tcPr>
            <w:tcW w:w="0" w:type="dxa"/>
            <w:vAlign w:val="bottom"/>
          </w:tcPr>
          <w:p>
            <w:pPr>
              <w:spacing w:after="0"/>
              <w:rPr>
                <w:sz w:val="1"/>
                <w:szCs w:val="1"/>
                <w:color w:val="auto"/>
              </w:rPr>
            </w:pPr>
          </w:p>
        </w:tc>
      </w:tr>
      <w:tr>
        <w:trPr>
          <w:trHeight w:val="403"/>
        </w:trPr>
        <w:tc>
          <w:tcPr>
            <w:tcW w:w="8540" w:type="dxa"/>
            <w:vAlign w:val="bottom"/>
          </w:tcPr>
          <w:p>
            <w:pPr>
              <w:jc w:val="center"/>
              <w:ind w:left="2815"/>
              <w:spacing w:after="0"/>
              <w:rPr>
                <w:sz w:val="20"/>
                <w:szCs w:val="20"/>
                <w:color w:val="auto"/>
              </w:rPr>
            </w:pPr>
            <w:r>
              <w:rPr>
                <w:rFonts w:ascii="Arial" w:cs="Arial" w:eastAsia="Arial" w:hAnsi="Arial"/>
                <w:sz w:val="18"/>
                <w:szCs w:val="18"/>
                <w:b w:val="1"/>
                <w:bCs w:val="1"/>
                <w:color w:val="auto"/>
                <w:w w:val="97"/>
              </w:rPr>
              <w:t>Operating Costs and Expenses</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85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3"/>
          </w:tcPr>
          <w:p>
            <w:pPr>
              <w:jc w:val="right"/>
              <w:ind w:right="195"/>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5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94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gridSpan w:val="2"/>
          </w:tcPr>
          <w:p>
            <w:pPr>
              <w:jc w:val="right"/>
              <w:spacing w:after="0" w:line="159" w:lineRule="exact"/>
              <w:rPr>
                <w:sz w:val="20"/>
                <w:szCs w:val="20"/>
                <w:color w:val="auto"/>
              </w:rPr>
            </w:pPr>
            <w:r>
              <w:rPr>
                <w:rFonts w:ascii="Arial" w:cs="Arial" w:eastAsia="Arial" w:hAnsi="Arial"/>
                <w:sz w:val="14"/>
                <w:szCs w:val="14"/>
                <w:color w:val="auto"/>
              </w:rPr>
              <w:t>March 31</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540" w:type="dxa"/>
            <w:vAlign w:val="bottom"/>
            <w:tcBorders>
              <w:bottom w:val="single" w:sz="8" w:color="auto"/>
            </w:tcBorders>
            <w:vMerge w:val="continue"/>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rPr>
              <w:t>2012</w:t>
            </w:r>
          </w:p>
        </w:tc>
        <w:tc>
          <w:tcPr>
            <w:tcW w:w="3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Programming and production</w:t>
            </w:r>
          </w:p>
        </w:tc>
        <w:tc>
          <w:tcPr>
            <w:tcW w:w="9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$ 4,737</w:t>
            </w:r>
          </w:p>
        </w:tc>
        <w:tc>
          <w:tcPr>
            <w:tcW w:w="940" w:type="dxa"/>
            <w:vAlign w:val="bottom"/>
            <w:gridSpan w:val="2"/>
            <w:shd w:val="clear" w:color="auto" w:fill="E5E5E5"/>
          </w:tcPr>
          <w:p>
            <w:pPr>
              <w:jc w:val="right"/>
              <w:ind w:right="15"/>
              <w:spacing w:after="0"/>
              <w:rPr>
                <w:sz w:val="20"/>
                <w:szCs w:val="20"/>
                <w:color w:val="auto"/>
              </w:rPr>
            </w:pPr>
            <w:r>
              <w:rPr>
                <w:rFonts w:ascii="Arial" w:cs="Arial" w:eastAsia="Arial" w:hAnsi="Arial"/>
                <w:sz w:val="18"/>
                <w:szCs w:val="18"/>
                <w:color w:val="auto"/>
              </w:rPr>
              <w:t>$3,271</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Cable Communications technical labor</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588</w:t>
            </w:r>
          </w:p>
        </w:tc>
        <w:tc>
          <w:tcPr>
            <w:tcW w:w="38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593</w:t>
            </w:r>
          </w:p>
        </w:tc>
        <w:tc>
          <w:tcPr>
            <w:tcW w:w="0" w:type="dxa"/>
            <w:vAlign w:val="bottom"/>
          </w:tcPr>
          <w:p>
            <w:pPr>
              <w:spacing w:after="0"/>
              <w:rPr>
                <w:sz w:val="1"/>
                <w:szCs w:val="1"/>
                <w:color w:val="auto"/>
              </w:rPr>
            </w:pPr>
          </w:p>
        </w:tc>
      </w:tr>
      <w:tr>
        <w:trPr>
          <w:trHeight w:val="216"/>
        </w:trPr>
        <w:tc>
          <w:tcPr>
            <w:tcW w:w="8540" w:type="dxa"/>
            <w:vAlign w:val="bottom"/>
            <w:shd w:val="clear" w:color="auto" w:fill="E5E5E5"/>
          </w:tcPr>
          <w:p>
            <w:pPr>
              <w:spacing w:after="0"/>
              <w:rPr>
                <w:sz w:val="20"/>
                <w:szCs w:val="20"/>
                <w:color w:val="auto"/>
              </w:rPr>
            </w:pPr>
            <w:r>
              <w:rPr>
                <w:rFonts w:ascii="Arial" w:cs="Arial" w:eastAsia="Arial" w:hAnsi="Arial"/>
                <w:sz w:val="18"/>
                <w:szCs w:val="18"/>
                <w:color w:val="auto"/>
              </w:rPr>
              <w:t>Cable Communications customer service</w:t>
            </w:r>
          </w:p>
        </w:tc>
        <w:tc>
          <w:tcPr>
            <w:tcW w:w="94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9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494</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469</w:t>
            </w:r>
          </w:p>
        </w:tc>
        <w:tc>
          <w:tcPr>
            <w:tcW w:w="0" w:type="dxa"/>
            <w:vAlign w:val="bottom"/>
          </w:tcPr>
          <w:p>
            <w:pPr>
              <w:spacing w:after="0"/>
              <w:rPr>
                <w:sz w:val="1"/>
                <w:szCs w:val="1"/>
                <w:color w:val="auto"/>
              </w:rPr>
            </w:pPr>
          </w:p>
        </w:tc>
      </w:tr>
      <w:tr>
        <w:trPr>
          <w:trHeight w:val="216"/>
        </w:trPr>
        <w:tc>
          <w:tcPr>
            <w:tcW w:w="8540" w:type="dxa"/>
            <w:vAlign w:val="bottom"/>
          </w:tcPr>
          <w:p>
            <w:pPr>
              <w:spacing w:after="0"/>
              <w:rPr>
                <w:sz w:val="20"/>
                <w:szCs w:val="20"/>
                <w:color w:val="auto"/>
              </w:rPr>
            </w:pPr>
            <w:r>
              <w:rPr>
                <w:rFonts w:ascii="Arial" w:cs="Arial" w:eastAsia="Arial" w:hAnsi="Arial"/>
                <w:sz w:val="18"/>
                <w:szCs w:val="18"/>
                <w:color w:val="auto"/>
              </w:rPr>
              <w:t>Advertising, marketing and promotion</w:t>
            </w: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1,203</w:t>
            </w:r>
          </w:p>
        </w:tc>
        <w:tc>
          <w:tcPr>
            <w:tcW w:w="380" w:type="dxa"/>
            <w:vAlign w:val="bottom"/>
          </w:tcPr>
          <w:p>
            <w:pPr>
              <w:spacing w:after="0"/>
              <w:rPr>
                <w:sz w:val="18"/>
                <w:szCs w:val="18"/>
                <w:color w:val="auto"/>
              </w:rPr>
            </w:pPr>
          </w:p>
        </w:tc>
        <w:tc>
          <w:tcPr>
            <w:tcW w:w="560" w:type="dxa"/>
            <w:vAlign w:val="bottom"/>
          </w:tcPr>
          <w:p>
            <w:pPr>
              <w:jc w:val="right"/>
              <w:ind w:right="15"/>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16"/>
        </w:trPr>
        <w:tc>
          <w:tcPr>
            <w:tcW w:w="85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w:t>
            </w:r>
          </w:p>
        </w:tc>
        <w:tc>
          <w:tcPr>
            <w:tcW w:w="940" w:type="dxa"/>
            <w:vAlign w:val="bottom"/>
            <w:tcBorders>
              <w:bottom w:val="single" w:sz="8" w:color="auto"/>
            </w:tcBorders>
            <w:shd w:val="clear" w:color="auto" w:fill="E5E5E5"/>
          </w:tcPr>
          <w:p>
            <w:pPr>
              <w:spacing w:after="0"/>
              <w:rPr>
                <w:sz w:val="18"/>
                <w:szCs w:val="18"/>
                <w:color w:val="auto"/>
              </w:rPr>
            </w:pPr>
          </w:p>
        </w:tc>
        <w:tc>
          <w:tcPr>
            <w:tcW w:w="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3,168</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ind w:right="15"/>
              <w:spacing w:after="0"/>
              <w:rPr>
                <w:sz w:val="20"/>
                <w:szCs w:val="20"/>
                <w:color w:val="auto"/>
              </w:rPr>
            </w:pPr>
            <w:r>
              <w:rPr>
                <w:rFonts w:ascii="Arial" w:cs="Arial" w:eastAsia="Arial" w:hAnsi="Arial"/>
                <w:sz w:val="18"/>
                <w:szCs w:val="18"/>
                <w:color w:val="auto"/>
                <w:w w:val="97"/>
              </w:rPr>
              <w:t>2,749</w:t>
            </w:r>
          </w:p>
        </w:tc>
        <w:tc>
          <w:tcPr>
            <w:tcW w:w="0" w:type="dxa"/>
            <w:vAlign w:val="bottom"/>
          </w:tcPr>
          <w:p>
            <w:pPr>
              <w:spacing w:after="0"/>
              <w:rPr>
                <w:sz w:val="1"/>
                <w:szCs w:val="1"/>
                <w:color w:val="auto"/>
              </w:rPr>
            </w:pPr>
          </w:p>
        </w:tc>
      </w:tr>
      <w:tr>
        <w:trPr>
          <w:trHeight w:val="217"/>
        </w:trPr>
        <w:tc>
          <w:tcPr>
            <w:tcW w:w="85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costs and expenses (excluding depreciation and amortization)</w:t>
            </w:r>
          </w:p>
        </w:tc>
        <w:tc>
          <w:tcPr>
            <w:tcW w:w="9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$10,190</w:t>
            </w:r>
          </w:p>
        </w:tc>
        <w:tc>
          <w:tcPr>
            <w:tcW w:w="940" w:type="dxa"/>
            <w:vAlign w:val="bottom"/>
            <w:tcBorders>
              <w:bottom w:val="single" w:sz="8" w:color="auto"/>
            </w:tcBorders>
            <w:gridSpan w:val="2"/>
          </w:tcPr>
          <w:p>
            <w:pPr>
              <w:jc w:val="right"/>
              <w:ind w:right="15"/>
              <w:spacing w:after="0"/>
              <w:rPr>
                <w:sz w:val="20"/>
                <w:szCs w:val="20"/>
                <w:color w:val="auto"/>
              </w:rPr>
            </w:pPr>
            <w:r>
              <w:rPr>
                <w:rFonts w:ascii="Arial" w:cs="Arial" w:eastAsia="Arial" w:hAnsi="Arial"/>
                <w:sz w:val="18"/>
                <w:szCs w:val="18"/>
                <w:b w:val="1"/>
                <w:bCs w:val="1"/>
                <w:color w:val="auto"/>
              </w:rPr>
              <w:t>$8,062</w:t>
            </w:r>
          </w:p>
        </w:tc>
        <w:tc>
          <w:tcPr>
            <w:tcW w:w="0" w:type="dxa"/>
            <w:vAlign w:val="bottom"/>
          </w:tcPr>
          <w:p>
            <w:pPr>
              <w:spacing w:after="0"/>
              <w:rPr>
                <w:sz w:val="1"/>
                <w:szCs w:val="1"/>
                <w:color w:val="auto"/>
              </w:rPr>
            </w:pPr>
          </w:p>
        </w:tc>
      </w:tr>
      <w:tr>
        <w:trPr>
          <w:trHeight w:val="363"/>
        </w:trPr>
        <w:tc>
          <w:tcPr>
            <w:tcW w:w="8540" w:type="dxa"/>
            <w:vAlign w:val="bottom"/>
          </w:tcPr>
          <w:p>
            <w:pPr>
              <w:jc w:val="center"/>
              <w:ind w:left="2815"/>
              <w:spacing w:after="0"/>
              <w:rPr>
                <w:sz w:val="20"/>
                <w:szCs w:val="20"/>
                <w:color w:val="auto"/>
              </w:rPr>
            </w:pPr>
            <w:r>
              <w:rPr>
                <w:rFonts w:ascii="Arial" w:cs="Arial" w:eastAsia="Arial" w:hAnsi="Arial"/>
                <w:sz w:val="18"/>
                <w:szCs w:val="18"/>
                <w:color w:val="auto"/>
                <w:w w:val="99"/>
              </w:rPr>
              <w:t>13</w:t>
            </w: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60" w:type="dxa"/>
            <w:vAlign w:val="bottom"/>
            <w:gridSpan w:val="3"/>
          </w:tcPr>
          <w:p>
            <w:pPr>
              <w:jc w:val="center"/>
              <w:ind w:right="115"/>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24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57"/>
              <w:spacing w:after="0" w:line="159" w:lineRule="exact"/>
              <w:rPr>
                <w:sz w:val="20"/>
                <w:szCs w:val="20"/>
                <w:color w:val="auto"/>
              </w:rPr>
            </w:pPr>
            <w:r>
              <w:rPr>
                <w:rFonts w:ascii="Arial" w:cs="Arial" w:eastAsia="Arial" w:hAnsi="Arial"/>
                <w:sz w:val="14"/>
                <w:szCs w:val="14"/>
                <w:color w:val="auto"/>
                <w:w w:val="89"/>
              </w:rPr>
              <w:t>March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40" w:type="dxa"/>
            <w:vAlign w:val="bottom"/>
            <w:tcBorders>
              <w:bottom w:val="single" w:sz="8" w:color="auto"/>
            </w:tcBorders>
            <w:gridSpan w:val="2"/>
            <w:vMerge w:val="continue"/>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597"/>
              <w:spacing w:after="0" w:line="142" w:lineRule="exact"/>
              <w:rPr>
                <w:sz w:val="20"/>
                <w:szCs w:val="20"/>
                <w:color w:val="auto"/>
              </w:rPr>
            </w:pPr>
            <w:r>
              <w:rPr>
                <w:rFonts w:ascii="Arial" w:cs="Arial" w:eastAsia="Arial" w:hAnsi="Arial"/>
                <w:sz w:val="14"/>
                <w:szCs w:val="14"/>
                <w:color w:val="auto"/>
                <w:w w:val="96"/>
              </w:rPr>
              <w:t>2012</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color w:val="auto"/>
                <w:w w:val="83"/>
              </w:rPr>
              <w:t>2011</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Net income</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w w:val="97"/>
              </w:rPr>
              <w:t>1,447</w:t>
            </w:r>
          </w:p>
        </w:tc>
        <w:tc>
          <w:tcPr>
            <w:tcW w:w="120" w:type="dxa"/>
            <w:vAlign w:val="bottom"/>
            <w:shd w:val="clear" w:color="auto" w:fill="E5E5E5"/>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3"/>
              </w:rPr>
              <w:t>1,039</w:t>
            </w:r>
          </w:p>
        </w:tc>
        <w:tc>
          <w:tcPr>
            <w:tcW w:w="0" w:type="dxa"/>
            <w:vAlign w:val="bottom"/>
          </w:tcPr>
          <w:p>
            <w:pPr>
              <w:spacing w:after="0"/>
              <w:rPr>
                <w:sz w:val="1"/>
                <w:szCs w:val="1"/>
                <w:color w:val="auto"/>
              </w:rPr>
            </w:pPr>
          </w:p>
        </w:tc>
      </w:tr>
      <w:tr>
        <w:trPr>
          <w:trHeight w:val="216"/>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Depreciation and amortization</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w w:val="97"/>
              </w:rPr>
              <w:t>1,930</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w w:val="93"/>
              </w:rPr>
              <w:t>1,842</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Amortization of film and television costs</w:t>
            </w:r>
          </w:p>
        </w:tc>
        <w:tc>
          <w:tcPr>
            <w:tcW w:w="5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w w:val="97"/>
              </w:rPr>
              <w:t>2,153</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w w:val="93"/>
              </w:rPr>
              <w:t>1,184</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Share-based compensation</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57"/>
              <w:spacing w:after="0"/>
              <w:rPr>
                <w:sz w:val="20"/>
                <w:szCs w:val="20"/>
                <w:color w:val="auto"/>
              </w:rPr>
            </w:pPr>
            <w:r>
              <w:rPr>
                <w:rFonts w:ascii="Arial" w:cs="Arial" w:eastAsia="Arial" w:hAnsi="Arial"/>
                <w:sz w:val="18"/>
                <w:szCs w:val="18"/>
                <w:color w:val="auto"/>
              </w:rPr>
              <w:t>89</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Noncash interest expense (income), net</w:t>
            </w:r>
          </w:p>
        </w:tc>
        <w:tc>
          <w:tcPr>
            <w:tcW w:w="5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Equity in net (income) losses of investees, net</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(3)</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Cash received from investees</w:t>
            </w:r>
          </w:p>
        </w:tc>
        <w:tc>
          <w:tcPr>
            <w:tcW w:w="5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Net (gain) loss on investment activity and other</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rPr>
              <w:t>(74)</w:t>
            </w: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Deferred income taxes</w:t>
            </w:r>
          </w:p>
        </w:tc>
        <w:tc>
          <w:tcPr>
            <w:tcW w:w="520" w:type="dxa"/>
            <w:vAlign w:val="bottom"/>
          </w:tcPr>
          <w:p>
            <w:pPr>
              <w:spacing w:after="0"/>
              <w:rPr>
                <w:sz w:val="18"/>
                <w:szCs w:val="18"/>
                <w:color w:val="auto"/>
              </w:rPr>
            </w:pPr>
          </w:p>
        </w:tc>
        <w:tc>
          <w:tcPr>
            <w:tcW w:w="1000" w:type="dxa"/>
            <w:vAlign w:val="bottom"/>
          </w:tcPr>
          <w:p>
            <w:pPr>
              <w:jc w:val="right"/>
              <w:ind w:right="397"/>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Changes in operating assets and liabilities, net of effects of acquisitions and divestitures:</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receivables, net</w:t>
            </w:r>
          </w:p>
        </w:tc>
        <w:tc>
          <w:tcPr>
            <w:tcW w:w="520" w:type="dxa"/>
            <w:vAlign w:val="bottom"/>
          </w:tcPr>
          <w:p>
            <w:pPr>
              <w:spacing w:after="0"/>
              <w:rPr>
                <w:sz w:val="18"/>
                <w:szCs w:val="18"/>
                <w:color w:val="auto"/>
              </w:rPr>
            </w:pPr>
          </w:p>
        </w:tc>
        <w:tc>
          <w:tcPr>
            <w:tcW w:w="1000" w:type="dxa"/>
            <w:vAlign w:val="bottom"/>
          </w:tcPr>
          <w:p>
            <w:pPr>
              <w:jc w:val="right"/>
              <w:ind w:right="397"/>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c>
          <w:tcPr>
            <w:tcW w:w="540" w:type="dxa"/>
            <w:vAlign w:val="bottom"/>
          </w:tcPr>
          <w:p>
            <w:pPr>
              <w:jc w:val="right"/>
              <w:ind w:right="15"/>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16"/>
        </w:trPr>
        <w:tc>
          <w:tcPr>
            <w:tcW w:w="9240" w:type="dxa"/>
            <w:vAlign w:val="bottom"/>
            <w:gridSpan w:val="2"/>
            <w:shd w:val="clear" w:color="auto" w:fill="E5E5E5"/>
          </w:tcPr>
          <w:p>
            <w:pPr>
              <w:ind w:left="440"/>
              <w:spacing w:after="0"/>
              <w:rPr>
                <w:sz w:val="20"/>
                <w:szCs w:val="20"/>
                <w:color w:val="auto"/>
              </w:rPr>
            </w:pPr>
            <w:r>
              <w:rPr>
                <w:rFonts w:ascii="Arial" w:cs="Arial" w:eastAsia="Arial" w:hAnsi="Arial"/>
                <w:sz w:val="18"/>
                <w:szCs w:val="18"/>
                <w:color w:val="auto"/>
              </w:rPr>
              <w:t>Change in film and television costs</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397"/>
              <w:spacing w:after="0"/>
              <w:rPr>
                <w:sz w:val="20"/>
                <w:szCs w:val="20"/>
                <w:color w:val="auto"/>
              </w:rPr>
            </w:pPr>
            <w:r>
              <w:rPr>
                <w:rFonts w:ascii="Arial" w:cs="Arial" w:eastAsia="Arial" w:hAnsi="Arial"/>
                <w:sz w:val="18"/>
                <w:szCs w:val="18"/>
                <w:color w:val="auto"/>
                <w:w w:val="87"/>
              </w:rPr>
              <w:t>(2,061)</w:t>
            </w:r>
          </w:p>
        </w:tc>
        <w:tc>
          <w:tcPr>
            <w:tcW w:w="660" w:type="dxa"/>
            <w:vAlign w:val="bottom"/>
            <w:gridSpan w:val="2"/>
            <w:shd w:val="clear" w:color="auto" w:fill="E5E5E5"/>
          </w:tcPr>
          <w:p>
            <w:pPr>
              <w:jc w:val="right"/>
              <w:spacing w:after="0"/>
              <w:rPr>
                <w:sz w:val="20"/>
                <w:szCs w:val="20"/>
                <w:color w:val="auto"/>
              </w:rPr>
            </w:pPr>
            <w:r>
              <w:rPr>
                <w:rFonts w:ascii="Arial" w:cs="Arial" w:eastAsia="Arial" w:hAnsi="Arial"/>
                <w:sz w:val="18"/>
                <w:szCs w:val="18"/>
                <w:color w:val="auto"/>
              </w:rPr>
              <w:t>(1,466)</w:t>
            </w:r>
          </w:p>
        </w:tc>
        <w:tc>
          <w:tcPr>
            <w:tcW w:w="0" w:type="dxa"/>
            <w:vAlign w:val="bottom"/>
          </w:tcPr>
          <w:p>
            <w:pPr>
              <w:spacing w:after="0"/>
              <w:rPr>
                <w:sz w:val="1"/>
                <w:szCs w:val="1"/>
                <w:color w:val="auto"/>
              </w:rPr>
            </w:pPr>
          </w:p>
        </w:tc>
      </w:tr>
      <w:tr>
        <w:trPr>
          <w:trHeight w:val="216"/>
        </w:trPr>
        <w:tc>
          <w:tcPr>
            <w:tcW w:w="9240" w:type="dxa"/>
            <w:vAlign w:val="bottom"/>
            <w:gridSpan w:val="2"/>
          </w:tcPr>
          <w:p>
            <w:pPr>
              <w:ind w:left="440"/>
              <w:spacing w:after="0"/>
              <w:rPr>
                <w:sz w:val="20"/>
                <w:szCs w:val="20"/>
                <w:color w:val="auto"/>
              </w:rPr>
            </w:pPr>
            <w:r>
              <w:rPr>
                <w:rFonts w:ascii="Arial" w:cs="Arial" w:eastAsia="Arial" w:hAnsi="Arial"/>
                <w:sz w:val="18"/>
                <w:szCs w:val="18"/>
                <w:color w:val="auto"/>
              </w:rPr>
              <w:t>Change in accounts payable and accrued expenses related to trade creditors</w:t>
            </w:r>
          </w:p>
        </w:tc>
        <w:tc>
          <w:tcPr>
            <w:tcW w:w="520" w:type="dxa"/>
            <w:vAlign w:val="bottom"/>
          </w:tcPr>
          <w:p>
            <w:pPr>
              <w:spacing w:after="0"/>
              <w:rPr>
                <w:sz w:val="18"/>
                <w:szCs w:val="18"/>
                <w:color w:val="auto"/>
              </w:rPr>
            </w:pPr>
          </w:p>
        </w:tc>
        <w:tc>
          <w:tcPr>
            <w:tcW w:w="1000" w:type="dxa"/>
            <w:vAlign w:val="bottom"/>
          </w:tcPr>
          <w:p>
            <w:pPr>
              <w:jc w:val="right"/>
              <w:ind w:right="457"/>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shd w:val="clear" w:color="auto" w:fill="E5E5E5"/>
          </w:tcPr>
          <w:p>
            <w:pPr>
              <w:ind w:left="440"/>
              <w:spacing w:after="0"/>
              <w:rPr>
                <w:sz w:val="20"/>
                <w:szCs w:val="20"/>
                <w:color w:val="auto"/>
              </w:rPr>
            </w:pPr>
            <w:r>
              <w:rPr>
                <w:rFonts w:ascii="Arial" w:cs="Arial" w:eastAsia="Arial" w:hAnsi="Arial"/>
                <w:sz w:val="18"/>
                <w:szCs w:val="18"/>
                <w:color w:val="auto"/>
              </w:rPr>
              <w:t>Change in other operating assets and liabilities</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57"/>
              <w:spacing w:after="0"/>
              <w:rPr>
                <w:sz w:val="20"/>
                <w:szCs w:val="20"/>
                <w:color w:val="auto"/>
              </w:rPr>
            </w:pPr>
            <w:r>
              <w:rPr>
                <w:rFonts w:ascii="Arial" w:cs="Arial" w:eastAsia="Arial" w:hAnsi="Arial"/>
                <w:sz w:val="18"/>
                <w:szCs w:val="18"/>
                <w:color w:val="auto"/>
              </w:rPr>
              <w:t>711</w:t>
            </w:r>
          </w:p>
        </w:tc>
        <w:tc>
          <w:tcPr>
            <w:tcW w:w="1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7"/>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8"/>
                <w:szCs w:val="18"/>
                <w:b w:val="1"/>
                <w:bCs w:val="1"/>
                <w:color w:val="auto"/>
                <w:w w:val="97"/>
              </w:rPr>
              <w:t>4,393</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w w:val="93"/>
              </w:rPr>
              <w:t>3,468</w:t>
            </w:r>
          </w:p>
        </w:tc>
        <w:tc>
          <w:tcPr>
            <w:tcW w:w="0" w:type="dxa"/>
            <w:vAlign w:val="bottom"/>
          </w:tcPr>
          <w:p>
            <w:pPr>
              <w:spacing w:after="0"/>
              <w:rPr>
                <w:sz w:val="1"/>
                <w:szCs w:val="1"/>
                <w:color w:val="auto"/>
              </w:rPr>
            </w:pPr>
          </w:p>
        </w:tc>
      </w:tr>
      <w:tr>
        <w:trPr>
          <w:trHeight w:val="403"/>
        </w:trPr>
        <w:tc>
          <w:tcPr>
            <w:tcW w:w="9240" w:type="dxa"/>
            <w:vAlign w:val="bottom"/>
            <w:gridSpan w:val="2"/>
          </w:tcPr>
          <w:p>
            <w:pPr>
              <w:ind w:left="3800"/>
              <w:spacing w:after="0"/>
              <w:rPr>
                <w:sz w:val="20"/>
                <w:szCs w:val="20"/>
                <w:color w:val="auto"/>
              </w:rPr>
            </w:pPr>
            <w:r>
              <w:rPr>
                <w:rFonts w:ascii="Arial" w:cs="Arial" w:eastAsia="Arial" w:hAnsi="Arial"/>
                <w:sz w:val="18"/>
                <w:szCs w:val="18"/>
                <w:b w:val="1"/>
                <w:bCs w:val="1"/>
                <w:color w:val="auto"/>
              </w:rPr>
              <w:t>Cash Payments for Interest and Income Taxes</w:t>
            </w:r>
          </w:p>
        </w:tc>
        <w:tc>
          <w:tcPr>
            <w:tcW w:w="5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60" w:type="dxa"/>
            <w:vAlign w:val="bottom"/>
            <w:gridSpan w:val="3"/>
          </w:tcPr>
          <w:p>
            <w:pPr>
              <w:jc w:val="center"/>
              <w:ind w:right="155"/>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0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7"/>
              <w:spacing w:after="0" w:line="159" w:lineRule="exact"/>
              <w:rPr>
                <w:sz w:val="20"/>
                <w:szCs w:val="20"/>
                <w:color w:val="auto"/>
              </w:rPr>
            </w:pPr>
            <w:r>
              <w:rPr>
                <w:rFonts w:ascii="Arial" w:cs="Arial" w:eastAsia="Arial" w:hAnsi="Arial"/>
                <w:sz w:val="14"/>
                <w:szCs w:val="14"/>
                <w:color w:val="auto"/>
                <w:w w:val="89"/>
              </w:rPr>
              <w:t>March 31</w:t>
            </w:r>
          </w:p>
        </w:tc>
        <w:tc>
          <w:tcPr>
            <w:tcW w:w="12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8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(in millions)</w:t>
            </w:r>
          </w:p>
        </w:tc>
        <w:tc>
          <w:tcPr>
            <w:tcW w:w="16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2"/>
          </w:tcPr>
          <w:p>
            <w:pPr>
              <w:jc w:val="right"/>
              <w:ind w:right="657"/>
              <w:spacing w:after="0" w:line="142" w:lineRule="exact"/>
              <w:rPr>
                <w:sz w:val="20"/>
                <w:szCs w:val="20"/>
                <w:color w:val="auto"/>
              </w:rPr>
            </w:pPr>
            <w:r>
              <w:rPr>
                <w:rFonts w:ascii="Arial" w:cs="Arial" w:eastAsia="Arial" w:hAnsi="Arial"/>
                <w:sz w:val="14"/>
                <w:szCs w:val="14"/>
                <w:color w:val="auto"/>
              </w:rPr>
              <w:t>2012</w:t>
            </w:r>
          </w:p>
        </w:tc>
        <w:tc>
          <w:tcPr>
            <w:tcW w:w="12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92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Interest</w:t>
            </w:r>
          </w:p>
        </w:tc>
        <w:tc>
          <w:tcPr>
            <w:tcW w:w="5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E5E5E5"/>
          </w:tcPr>
          <w:p>
            <w:pPr>
              <w:jc w:val="right"/>
              <w:ind w:right="517"/>
              <w:spacing w:after="0"/>
              <w:rPr>
                <w:sz w:val="20"/>
                <w:szCs w:val="20"/>
                <w:color w:val="auto"/>
              </w:rPr>
            </w:pPr>
            <w:r>
              <w:rPr>
                <w:rFonts w:ascii="Arial" w:cs="Arial" w:eastAsia="Arial" w:hAnsi="Arial"/>
                <w:sz w:val="18"/>
                <w:szCs w:val="18"/>
                <w:color w:val="auto"/>
              </w:rPr>
              <w:t>614</w:t>
            </w:r>
          </w:p>
        </w:tc>
        <w:tc>
          <w:tcPr>
            <w:tcW w:w="12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E5E5E5"/>
          </w:tcPr>
          <w:p>
            <w:pPr>
              <w:jc w:val="right"/>
              <w:ind w:right="15"/>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9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Income taxes</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17"/>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Noncash Investing and Financing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2012, we:</w:t>
      </w:r>
    </w:p>
    <w:p>
      <w:pPr>
        <w:spacing w:after="0" w:line="77" w:lineRule="exact"/>
        <w:rPr>
          <w:sz w:val="20"/>
          <w:szCs w:val="20"/>
          <w:color w:val="auto"/>
        </w:rPr>
      </w:pPr>
    </w:p>
    <w:p>
      <w:pPr>
        <w:ind w:left="1020" w:right="124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acquired $476 million of property and equipment and intangible assets that were accrued but unpaid, which is a noncash investing activity</w:t>
      </w:r>
    </w:p>
    <w:p>
      <w:pPr>
        <w:spacing w:after="0" w:line="37" w:lineRule="exact"/>
        <w:rPr>
          <w:rFonts w:ascii="Arial" w:cs="Arial" w:eastAsia="Arial" w:hAnsi="Arial"/>
          <w:sz w:val="18"/>
          <w:szCs w:val="18"/>
          <w:color w:val="auto"/>
        </w:rPr>
      </w:pPr>
    </w:p>
    <w:p>
      <w:pPr>
        <w:ind w:left="1020" w:right="1240" w:hanging="215"/>
        <w:spacing w:after="0" w:line="268"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recorded a liability of $439 million for a quarterly cash dividend of $0.1625 per common share paid in April 2012, which is a noncash financing activity</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Actual and Pro Forma Information</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following unaudited pro forma information has been presented as if both the NBCUniversal transaction and the Universal Orlando transaction occurred on January 1, 2010. This information is based on historical results of operations, adjusted for the allocation of purchase price and other acquisition accounting adjustments, and is not necessarily indicative of what our results would have been had we operated the businesses since January 1, 2010. No pro forma adjustments have been made for our incremental transaction-related expenses.</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0" w:type="dxa"/>
            <w:vAlign w:val="bottom"/>
            <w:gridSpan w:val="3"/>
          </w:tcPr>
          <w:p>
            <w:pPr>
              <w:jc w:val="center"/>
              <w:ind w:right="96"/>
              <w:spacing w:after="0"/>
              <w:rPr>
                <w:sz w:val="20"/>
                <w:szCs w:val="20"/>
                <w:color w:val="auto"/>
              </w:rPr>
            </w:pPr>
            <w:r>
              <w:rPr>
                <w:rFonts w:ascii="Arial" w:cs="Arial" w:eastAsia="Arial" w:hAnsi="Arial"/>
                <w:sz w:val="14"/>
                <w:szCs w:val="14"/>
                <w:color w:val="auto"/>
                <w:w w:val="87"/>
              </w:rPr>
              <w:t>Three Months Ended</w:t>
            </w:r>
          </w:p>
        </w:tc>
        <w:tc>
          <w:tcPr>
            <w:tcW w:w="0" w:type="dxa"/>
            <w:vAlign w:val="bottom"/>
          </w:tcPr>
          <w:p>
            <w:pPr>
              <w:spacing w:after="0"/>
              <w:rPr>
                <w:sz w:val="1"/>
                <w:szCs w:val="1"/>
                <w:color w:val="auto"/>
              </w:rPr>
            </w:pPr>
          </w:p>
        </w:tc>
      </w:tr>
      <w:tr>
        <w:trPr>
          <w:trHeight w:val="159"/>
        </w:trPr>
        <w:tc>
          <w:tcPr>
            <w:tcW w:w="9400" w:type="dxa"/>
            <w:vAlign w:val="bottom"/>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left="301"/>
              <w:spacing w:after="0" w:line="159" w:lineRule="exact"/>
              <w:rPr>
                <w:sz w:val="20"/>
                <w:szCs w:val="20"/>
                <w:color w:val="auto"/>
              </w:rPr>
            </w:pPr>
            <w:r>
              <w:rPr>
                <w:rFonts w:ascii="Arial" w:cs="Arial" w:eastAsia="Arial" w:hAnsi="Arial"/>
                <w:sz w:val="14"/>
                <w:szCs w:val="14"/>
                <w:color w:val="auto"/>
                <w:w w:val="89"/>
              </w:rPr>
              <w:t>March 31</w:t>
            </w:r>
          </w:p>
        </w:tc>
        <w:tc>
          <w:tcPr>
            <w:tcW w:w="5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400" w:type="dxa"/>
            <w:vAlign w:val="bottom"/>
            <w:vMerge w:val="restart"/>
          </w:tcPr>
          <w:p>
            <w:pPr>
              <w:spacing w:after="0"/>
              <w:rPr>
                <w:sz w:val="20"/>
                <w:szCs w:val="20"/>
                <w:color w:val="auto"/>
              </w:rPr>
            </w:pPr>
            <w:r>
              <w:rPr>
                <w:rFonts w:ascii="Arial" w:cs="Arial" w:eastAsia="Arial" w:hAnsi="Arial"/>
                <w:sz w:val="14"/>
                <w:szCs w:val="14"/>
                <w:color w:val="auto"/>
              </w:rPr>
              <w:t>(in millions except per share amounts)</w:t>
            </w: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41"/>
              <w:spacing w:after="0" w:line="142" w:lineRule="exact"/>
              <w:rPr>
                <w:sz w:val="20"/>
                <w:szCs w:val="20"/>
                <w:color w:val="auto"/>
              </w:rPr>
            </w:pPr>
            <w:r>
              <w:rPr>
                <w:rFonts w:ascii="Arial" w:cs="Arial" w:eastAsia="Arial" w:hAnsi="Arial"/>
                <w:sz w:val="14"/>
                <w:szCs w:val="14"/>
                <w:color w:val="auto"/>
                <w:w w:val="92"/>
              </w:rPr>
              <w:t>Actual</w:t>
            </w:r>
          </w:p>
        </w:tc>
        <w:tc>
          <w:tcPr>
            <w:tcW w:w="90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color w:val="auto"/>
                <w:w w:val="99"/>
              </w:rPr>
              <w:t>Pro Forma</w:t>
            </w:r>
          </w:p>
        </w:tc>
        <w:tc>
          <w:tcPr>
            <w:tcW w:w="0" w:type="dxa"/>
            <w:vAlign w:val="bottom"/>
          </w:tcPr>
          <w:p>
            <w:pPr>
              <w:spacing w:after="0"/>
              <w:rPr>
                <w:sz w:val="1"/>
                <w:szCs w:val="1"/>
                <w:color w:val="auto"/>
              </w:rPr>
            </w:pPr>
          </w:p>
        </w:tc>
      </w:tr>
      <w:tr>
        <w:trPr>
          <w:trHeight w:val="142"/>
        </w:trPr>
        <w:tc>
          <w:tcPr>
            <w:tcW w:w="9400" w:type="dxa"/>
            <w:vAlign w:val="bottom"/>
            <w:tcBorders>
              <w:bottom w:val="single" w:sz="8" w:color="auto"/>
            </w:tcBorders>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1"/>
              <w:spacing w:after="0" w:line="142" w:lineRule="exact"/>
              <w:rPr>
                <w:sz w:val="20"/>
                <w:szCs w:val="20"/>
                <w:color w:val="auto"/>
              </w:rPr>
            </w:pPr>
            <w:r>
              <w:rPr>
                <w:rFonts w:ascii="Arial" w:cs="Arial" w:eastAsia="Arial" w:hAnsi="Arial"/>
                <w:sz w:val="14"/>
                <w:szCs w:val="14"/>
                <w:color w:val="auto"/>
              </w:rPr>
              <w:t>2012</w:t>
            </w:r>
          </w:p>
        </w:tc>
        <w:tc>
          <w:tcPr>
            <w:tcW w:w="3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color w:val="auto"/>
                <w:w w:val="96"/>
              </w:rPr>
              <w:t>2011</w:t>
            </w:r>
          </w:p>
        </w:tc>
        <w:tc>
          <w:tcPr>
            <w:tcW w:w="0" w:type="dxa"/>
            <w:vAlign w:val="bottom"/>
          </w:tcPr>
          <w:p>
            <w:pPr>
              <w:spacing w:after="0"/>
              <w:rPr>
                <w:sz w:val="1"/>
                <w:szCs w:val="1"/>
                <w:color w:val="auto"/>
              </w:rPr>
            </w:pPr>
          </w:p>
        </w:tc>
      </w:tr>
      <w:tr>
        <w:trPr>
          <w:trHeight w:val="210"/>
        </w:trPr>
        <w:tc>
          <w:tcPr>
            <w:tcW w:w="9400" w:type="dxa"/>
            <w:vAlign w:val="bottom"/>
            <w:shd w:val="clear" w:color="auto" w:fill="E5E5E5"/>
          </w:tcPr>
          <w:p>
            <w:pPr>
              <w:spacing w:after="0"/>
              <w:rPr>
                <w:sz w:val="20"/>
                <w:szCs w:val="20"/>
                <w:color w:val="auto"/>
              </w:rPr>
            </w:pPr>
            <w:r>
              <w:rPr>
                <w:rFonts w:ascii="Arial" w:cs="Arial" w:eastAsia="Arial" w:hAnsi="Arial"/>
                <w:sz w:val="18"/>
                <w:szCs w:val="18"/>
                <w:color w:val="auto"/>
              </w:rPr>
              <w:t>Revenue</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w w:val="87"/>
              </w:rPr>
              <w:t>14,878</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w w:val="83"/>
              </w:rPr>
              <w:t>13,580</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Net income</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1"/>
              <w:spacing w:after="0"/>
              <w:rPr>
                <w:sz w:val="20"/>
                <w:szCs w:val="20"/>
                <w:color w:val="auto"/>
              </w:rPr>
            </w:pPr>
            <w:r>
              <w:rPr>
                <w:rFonts w:ascii="Arial" w:cs="Arial" w:eastAsia="Arial" w:hAnsi="Arial"/>
                <w:sz w:val="18"/>
                <w:szCs w:val="18"/>
                <w:color w:val="auto"/>
              </w:rPr>
              <w:t>1,447</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9400" w:type="dxa"/>
            <w:vAlign w:val="bottom"/>
            <w:shd w:val="clear" w:color="auto" w:fill="E5E5E5"/>
          </w:tcPr>
          <w:p>
            <w:pPr>
              <w:spacing w:after="0"/>
              <w:rPr>
                <w:sz w:val="20"/>
                <w:szCs w:val="20"/>
                <w:color w:val="auto"/>
              </w:rPr>
            </w:pPr>
            <w:r>
              <w:rPr>
                <w:rFonts w:ascii="Arial" w:cs="Arial" w:eastAsia="Arial" w:hAnsi="Arial"/>
                <w:sz w:val="18"/>
                <w:szCs w:val="18"/>
                <w:color w:val="auto"/>
              </w:rPr>
              <w:t>Net income attributable to Comcast Corporation</w:t>
            </w:r>
          </w:p>
        </w:tc>
        <w:tc>
          <w:tcPr>
            <w:tcW w:w="4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21"/>
              <w:spacing w:after="0"/>
              <w:rPr>
                <w:sz w:val="20"/>
                <w:szCs w:val="20"/>
                <w:color w:val="auto"/>
              </w:rPr>
            </w:pPr>
            <w:r>
              <w:rPr>
                <w:rFonts w:ascii="Arial" w:cs="Arial" w:eastAsia="Arial" w:hAnsi="Arial"/>
                <w:sz w:val="18"/>
                <w:szCs w:val="18"/>
                <w:color w:val="auto"/>
              </w:rPr>
              <w:t>1,224</w:t>
            </w:r>
          </w:p>
        </w:tc>
        <w:tc>
          <w:tcPr>
            <w:tcW w:w="320" w:type="dxa"/>
            <w:vAlign w:val="bottom"/>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916</w:t>
            </w:r>
          </w:p>
        </w:tc>
        <w:tc>
          <w:tcPr>
            <w:tcW w:w="0" w:type="dxa"/>
            <w:vAlign w:val="bottom"/>
          </w:tcPr>
          <w:p>
            <w:pPr>
              <w:spacing w:after="0"/>
              <w:rPr>
                <w:sz w:val="1"/>
                <w:szCs w:val="1"/>
                <w:color w:val="auto"/>
              </w:rPr>
            </w:pPr>
          </w:p>
        </w:tc>
      </w:tr>
      <w:tr>
        <w:trPr>
          <w:trHeight w:val="216"/>
        </w:trPr>
        <w:tc>
          <w:tcPr>
            <w:tcW w:w="9400" w:type="dxa"/>
            <w:vAlign w:val="bottom"/>
          </w:tcPr>
          <w:p>
            <w:pPr>
              <w:spacing w:after="0"/>
              <w:rPr>
                <w:sz w:val="20"/>
                <w:szCs w:val="20"/>
                <w:color w:val="auto"/>
              </w:rPr>
            </w:pPr>
            <w:r>
              <w:rPr>
                <w:rFonts w:ascii="Arial" w:cs="Arial" w:eastAsia="Arial" w:hAnsi="Arial"/>
                <w:sz w:val="18"/>
                <w:szCs w:val="18"/>
                <w:color w:val="auto"/>
              </w:rPr>
              <w:t>Basic earnings per common share attributable to Comcast Corporation shareholders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21"/>
              <w:spacing w:after="0"/>
              <w:rPr>
                <w:sz w:val="20"/>
                <w:szCs w:val="20"/>
                <w:color w:val="auto"/>
              </w:rPr>
            </w:pPr>
            <w:r>
              <w:rPr>
                <w:rFonts w:ascii="Arial" w:cs="Arial" w:eastAsia="Arial" w:hAnsi="Arial"/>
                <w:sz w:val="18"/>
                <w:szCs w:val="18"/>
                <w:color w:val="auto"/>
              </w:rPr>
              <w:t>0.45</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ind w:right="16"/>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216"/>
        </w:trPr>
        <w:tc>
          <w:tcPr>
            <w:tcW w:w="94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Diluted earnings per common share attributable to Comcast Corporation shareholders</w:t>
            </w:r>
          </w:p>
        </w:tc>
        <w:tc>
          <w:tcPr>
            <w:tcW w:w="4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21"/>
              <w:spacing w:after="0"/>
              <w:rPr>
                <w:sz w:val="20"/>
                <w:szCs w:val="20"/>
                <w:color w:val="auto"/>
              </w:rPr>
            </w:pPr>
            <w:r>
              <w:rPr>
                <w:rFonts w:ascii="Arial" w:cs="Arial" w:eastAsia="Arial" w:hAnsi="Arial"/>
                <w:sz w:val="18"/>
                <w:szCs w:val="18"/>
                <w:color w:val="auto"/>
              </w:rPr>
              <w:t>0.45</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color w:val="auto"/>
              </w:rPr>
              <w:t>0.33</w:t>
            </w:r>
          </w:p>
        </w:tc>
        <w:tc>
          <w:tcPr>
            <w:tcW w:w="0" w:type="dxa"/>
            <w:vAlign w:val="bottom"/>
          </w:tcPr>
          <w:p>
            <w:pPr>
              <w:spacing w:after="0"/>
              <w:rPr>
                <w:sz w:val="1"/>
                <w:szCs w:val="1"/>
                <w:color w:val="auto"/>
              </w:rPr>
            </w:pPr>
          </w:p>
        </w:tc>
      </w:tr>
      <w:tr>
        <w:trPr>
          <w:trHeight w:val="356"/>
        </w:trPr>
        <w:tc>
          <w:tcPr>
            <w:tcW w:w="9400" w:type="dxa"/>
            <w:vAlign w:val="bottom"/>
          </w:tcPr>
          <w:p>
            <w:pPr>
              <w:ind w:left="5620"/>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13: Receivables Monetization</w:t>
      </w:r>
    </w:p>
    <w:p>
      <w:pPr>
        <w:spacing w:after="0" w:line="8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NBCUniversal monetizes certain of its accounts receivable under programs with a syndicate of banks. We account for receivables monetized through these programs as sales in accordance with the appropriate accounting guidance. We receive deferred consideration from the assets sold in the form of a receivable, which is funded by residual cash flows after the senior interests have been fully paid. The deferred consideration is recorded in receivables, net at its initial fair value, which reflects the net cash flows we expect to receive related to these interests. The accounts receivable we sold that underlie the deferred consideration are generally short-term in nature and, therefore, the fair value of the deferred consideration approximated its carrying value as of March 31, 2012.</w:t>
      </w:r>
    </w:p>
    <w:p>
      <w:pPr>
        <w:spacing w:after="0" w:line="2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NBCUniversal is responsible for servicing the receivables and remitting collections to the purchasers under the monetization programs. NBCUniversal performs this service for a fee that is equal to the prevailing market rate for such services. As a result, no servicing asset or liability has been recorded in our condensed consolidated balance sheet as of March 31, 2012. The servicing fees are a component of net loss (gain) on sale, which is presented in the table below.</w:t>
      </w:r>
    </w:p>
    <w:p>
      <w:pPr>
        <w:spacing w:after="0" w:line="1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 on Income from Receivables Monetization and Cash Flows on Transfers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20" w:type="dxa"/>
            <w:vAlign w:val="bottom"/>
            <w:gridSpan w:val="3"/>
          </w:tcPr>
          <w:p>
            <w:pPr>
              <w:jc w:val="right"/>
              <w:ind w:right="357"/>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88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7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37"/>
              <w:spacing w:after="0" w:line="159" w:lineRule="exact"/>
              <w:rPr>
                <w:sz w:val="20"/>
                <w:szCs w:val="20"/>
                <w:color w:val="auto"/>
              </w:rPr>
            </w:pPr>
            <w:r>
              <w:rPr>
                <w:rFonts w:ascii="Arial" w:cs="Arial" w:eastAsia="Arial" w:hAnsi="Arial"/>
                <w:sz w:val="14"/>
                <w:szCs w:val="14"/>
                <w:color w:val="auto"/>
                <w:w w:val="89"/>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8860" w:type="dxa"/>
            <w:vAlign w:val="bottom"/>
            <w:tcBorders>
              <w:bottom w:val="single" w:sz="8" w:color="auto"/>
            </w:tcBorders>
            <w:vMerge w:val="continue"/>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color w:val="auto"/>
                <w:w w:val="89"/>
              </w:rPr>
              <w:t>2012</w:t>
            </w:r>
          </w:p>
        </w:tc>
        <w:tc>
          <w:tcPr>
            <w:tcW w:w="7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7"/>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886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3</w:t>
            </w: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60" w:type="dxa"/>
            <w:vAlign w:val="bottom"/>
          </w:tcPr>
          <w:p>
            <w:pPr>
              <w:spacing w:after="0"/>
              <w:rPr>
                <w:sz w:val="20"/>
                <w:szCs w:val="20"/>
                <w:color w:val="auto"/>
              </w:rPr>
            </w:pPr>
            <w:r>
              <w:rPr>
                <w:rFonts w:ascii="Arial" w:cs="Arial" w:eastAsia="Arial" w:hAnsi="Arial"/>
                <w:sz w:val="18"/>
                <w:szCs w:val="18"/>
                <w:color w:val="auto"/>
              </w:rPr>
              <w:t>Net (loss) gain on sale</w:t>
            </w:r>
            <w:r>
              <w:rPr>
                <w:rFonts w:ascii="Arial" w:cs="Arial" w:eastAsia="Arial" w:hAnsi="Arial"/>
                <w:sz w:val="11"/>
                <w:szCs w:val="11"/>
                <w:color w:val="auto"/>
              </w:rPr>
              <w:t>(a)</w:t>
            </w: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w:t>
            </w: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88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cash proceeds (payments) on transfers</w:t>
            </w:r>
            <w:r>
              <w:rPr>
                <w:rFonts w:ascii="Arial" w:cs="Arial" w:eastAsia="Arial" w:hAnsi="Arial"/>
                <w:sz w:val="11"/>
                <w:szCs w:val="11"/>
                <w:color w:val="auto"/>
              </w:rPr>
              <w:t>(b)</w:t>
            </w:r>
          </w:p>
        </w:tc>
        <w:tc>
          <w:tcPr>
            <w:tcW w:w="7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(90)</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(loss) gain on sale is included in other income (expense), net in our condensed consolidated statement of income.</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7"/>
        </w:numPr>
        <w:rPr>
          <w:rFonts w:ascii="Arial" w:cs="Arial" w:eastAsia="Arial" w:hAnsi="Arial"/>
          <w:sz w:val="14"/>
          <w:szCs w:val="14"/>
          <w:color w:val="auto"/>
        </w:rPr>
      </w:pPr>
      <w:r>
        <w:rPr>
          <w:rFonts w:ascii="Arial" w:cs="Arial" w:eastAsia="Arial" w:hAnsi="Arial"/>
          <w:sz w:val="14"/>
          <w:szCs w:val="14"/>
          <w:color w:val="auto"/>
        </w:rPr>
        <w:t>Net cash proceeds (payments) on transfers are included within net cash provided by operating activities in our condensed consolidated statement of cash flows.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Receivables Monetized and Deferred Consideration</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4600" w:type="dxa"/>
            <w:vAlign w:val="bottom"/>
            <w:gridSpan w:val="2"/>
          </w:tcPr>
          <w:p>
            <w:pPr>
              <w:ind w:left="3620"/>
              <w:spacing w:after="0"/>
              <w:rPr>
                <w:sz w:val="20"/>
                <w:szCs w:val="20"/>
                <w:color w:val="auto"/>
              </w:rPr>
            </w:pPr>
            <w:r>
              <w:rPr>
                <w:rFonts w:ascii="Arial" w:cs="Arial" w:eastAsia="Arial" w:hAnsi="Arial"/>
                <w:sz w:val="14"/>
                <w:szCs w:val="14"/>
                <w:color w:val="auto"/>
              </w:rPr>
              <w:t>March 31,</w:t>
            </w:r>
          </w:p>
        </w:tc>
        <w:tc>
          <w:tcPr>
            <w:tcW w:w="1280" w:type="dxa"/>
            <w:vAlign w:val="bottom"/>
            <w:gridSpan w:val="2"/>
          </w:tcPr>
          <w:p>
            <w:pPr>
              <w:ind w:left="420"/>
              <w:spacing w:after="0"/>
              <w:rPr>
                <w:sz w:val="20"/>
                <w:szCs w:val="20"/>
                <w:color w:val="auto"/>
              </w:rPr>
            </w:pPr>
            <w:r>
              <w:rPr>
                <w:rFonts w:ascii="Arial" w:cs="Arial" w:eastAsia="Arial" w:hAnsi="Arial"/>
                <w:sz w:val="14"/>
                <w:szCs w:val="14"/>
                <w:color w:val="auto"/>
                <w:w w:val="95"/>
              </w:rPr>
              <w:t>December 31,</w:t>
            </w:r>
          </w:p>
        </w:tc>
      </w:tr>
      <w:tr>
        <w:trPr>
          <w:trHeight w:val="159"/>
        </w:trPr>
        <w:tc>
          <w:tcPr>
            <w:tcW w:w="55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rPr>
              <w:t>(in millions)</w:t>
            </w:r>
          </w:p>
        </w:tc>
        <w:tc>
          <w:tcPr>
            <w:tcW w:w="37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499"/>
              <w:spacing w:after="0" w:line="159" w:lineRule="exact"/>
              <w:rPr>
                <w:sz w:val="20"/>
                <w:szCs w:val="20"/>
                <w:color w:val="auto"/>
              </w:rPr>
            </w:pPr>
            <w:r>
              <w:rPr>
                <w:rFonts w:ascii="Arial" w:cs="Arial" w:eastAsia="Arial" w:hAnsi="Arial"/>
                <w:sz w:val="14"/>
                <w:szCs w:val="14"/>
                <w:color w:val="auto"/>
                <w:w w:val="89"/>
              </w:rPr>
              <w:t>2012</w:t>
            </w:r>
          </w:p>
        </w:tc>
        <w:tc>
          <w:tcPr>
            <w:tcW w:w="5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59"/>
              <w:spacing w:after="0" w:line="159" w:lineRule="exact"/>
              <w:rPr>
                <w:sz w:val="20"/>
                <w:szCs w:val="20"/>
                <w:color w:val="auto"/>
              </w:rPr>
            </w:pPr>
            <w:r>
              <w:rPr>
                <w:rFonts w:ascii="Arial" w:cs="Arial" w:eastAsia="Arial" w:hAnsi="Arial"/>
                <w:sz w:val="14"/>
                <w:szCs w:val="14"/>
                <w:color w:val="auto"/>
              </w:rPr>
              <w:t>2011</w:t>
            </w:r>
          </w:p>
        </w:tc>
      </w:tr>
      <w:tr>
        <w:trPr>
          <w:trHeight w:val="210"/>
        </w:trPr>
        <w:tc>
          <w:tcPr>
            <w:tcW w:w="5540" w:type="dxa"/>
            <w:vAlign w:val="bottom"/>
            <w:shd w:val="clear" w:color="auto" w:fill="E5E5E5"/>
          </w:tcPr>
          <w:p>
            <w:pPr>
              <w:spacing w:after="0"/>
              <w:rPr>
                <w:sz w:val="20"/>
                <w:szCs w:val="20"/>
                <w:color w:val="auto"/>
              </w:rPr>
            </w:pPr>
            <w:r>
              <w:rPr>
                <w:rFonts w:ascii="Arial" w:cs="Arial" w:eastAsia="Arial" w:hAnsi="Arial"/>
                <w:sz w:val="18"/>
                <w:szCs w:val="18"/>
                <w:color w:val="auto"/>
              </w:rPr>
              <w:t>Monetized receivables sold</w:t>
            </w:r>
          </w:p>
        </w:tc>
        <w:tc>
          <w:tcPr>
            <w:tcW w:w="3720" w:type="dxa"/>
            <w:vAlign w:val="bottom"/>
            <w:shd w:val="clear" w:color="auto" w:fill="E5E5E5"/>
          </w:tcPr>
          <w:p>
            <w:pPr>
              <w:ind w:left="362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E5E5E5"/>
          </w:tcPr>
          <w:p>
            <w:pPr>
              <w:jc w:val="right"/>
              <w:ind w:right="339"/>
              <w:spacing w:after="0"/>
              <w:rPr>
                <w:sz w:val="20"/>
                <w:szCs w:val="20"/>
                <w:color w:val="auto"/>
              </w:rPr>
            </w:pPr>
            <w:r>
              <w:rPr>
                <w:rFonts w:ascii="Arial" w:cs="Arial" w:eastAsia="Arial" w:hAnsi="Arial"/>
                <w:sz w:val="18"/>
                <w:szCs w:val="18"/>
                <w:color w:val="auto"/>
              </w:rPr>
              <w:t>808</w:t>
            </w:r>
          </w:p>
        </w:tc>
        <w:tc>
          <w:tcPr>
            <w:tcW w:w="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w:t>
            </w:r>
          </w:p>
        </w:tc>
        <w:tc>
          <w:tcPr>
            <w:tcW w:w="70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961</w:t>
            </w:r>
          </w:p>
        </w:tc>
      </w:tr>
      <w:tr>
        <w:trPr>
          <w:trHeight w:val="216"/>
        </w:trPr>
        <w:tc>
          <w:tcPr>
            <w:tcW w:w="5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consideration</w:t>
            </w:r>
          </w:p>
        </w:tc>
        <w:tc>
          <w:tcPr>
            <w:tcW w:w="3720" w:type="dxa"/>
            <w:vAlign w:val="bottom"/>
            <w:tcBorders>
              <w:bottom w:val="single" w:sz="8" w:color="auto"/>
            </w:tcBorders>
          </w:tcPr>
          <w:p>
            <w:pPr>
              <w:ind w:left="362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8"/>
                <w:szCs w:val="18"/>
                <w:color w:val="auto"/>
              </w:rPr>
              <w:t>278</w:t>
            </w:r>
          </w:p>
        </w:tc>
        <w:tc>
          <w:tcPr>
            <w:tcW w:w="5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268</w:t>
            </w:r>
          </w:p>
        </w:tc>
      </w:tr>
    </w:tbl>
    <w:p>
      <w:pPr>
        <w:spacing w:after="0" w:line="10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the amounts presented above, we had $855 million and $781 million payable to our monetization programs as of March 31, 2012 and December 31, 2011, respectively. These amounts represent cash receipts that have not yet been remitted to the monetization programs as of the balance sheet date and are recorded to accounts payable and accrued expenses related to trade creditors.</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14: Commitments and Contingencies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Antitrust Cases</w:t>
      </w:r>
    </w:p>
    <w:p>
      <w:pPr>
        <w:spacing w:after="0" w:line="7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defendants in two purported class actions originally filed in December 2003 in the United States District Courts for the District of Massachusetts and the Eastern District of Pennsylvania. The potential class in the Massachusetts case, which has been transferred to the Eastern District of Pennsylvania, is our customer base in the “Boston Cluster” area, and the potential class in the Pennsylvania case is our customer base in the “Philadelphia and Chicago Clusters,” as those terms are defined in the complaints. In each case, the plaintiffs allege that certain customer exchange transactions with other cable providers resulted in unlawful horizontal market restraints in those areas and seek damages under antitrust statutes, including treble damages.</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Classes of Chicago Cluster and Philadelphia Cluster customers were certified in October 2007 and January 2010, respectively. We appealed the class certification in the Philadelphia Cluster case to the Third Circuit Court of Appeals, which affirmed the class certification in August 2011 and denied our petition for a rehearing en banc in September 2011. While we have given notice to the class, we filed a writ of certiorari with the U.S. Supreme Court asking that it review the Third Circuit Court of Appeals’ ruling. In March 2010, we moved for summary judgment dismissing all of the plaintiffs’ claims in the Philadelphia Cluster. In April 2012, the District Court issued a decision dismissing some of the plaintiffs’ claims, but allowing two claims to proceed to trial. A trial for the Philadelphia Cluster case has been set for September 2012. The plaintiffs’ claims concerning the other two clusters are stayed pending determination of the Philadelphia Cluster claims.</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also are among the defendants in a purported class action filed in the United States District Court for the Central District of California in September 2007. The potential class is comprised of all persons residing in the United States who have subscribed to an expanded basic level of video service provided by one of the defendants. The plaintiffs allege that the defendants who produce video programming have entered into agreements with the defendants who distribute video programming via cable and satellite (including us), which preclude the distributor defendants from reselling channels to customers on an “unbundled” basis in violation of federal antitrust laws. The plaintiffs seek treble damages and injunctive relief requiring each distributor defendant to resell certain channels to its customers on an “unbundled” basis. In October 2009, the Central District of California issued an order dismissing the plaintiffs’ complaint with prejudice. In March 2012, a panel of the Ninth Circuit Court of Appeals affirmed the District Court’s order, and in April 2012, the plaintiffs filed a petition for a rehearing.</w:t>
      </w:r>
    </w:p>
    <w:p>
      <w:pPr>
        <w:spacing w:after="0" w:line="24"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addition, we are the defendant in 22 purported class actions filed in federal district courts throughout the country. All of these actions have been consolidated by the Judicial Panel on Multidistrict Litigation in the United States District Court for the Eastern District of Pennsylvania for pre-trial proceedings. In a consolidated complaint filed in November 2009 on behalf of all plaintiffs in the multidistrict litigation, the plaintiffs allege that we improperly “tie” the rental of set-top boxes to the provision of premium cable services in violation of Section 1 of the Sherman Antitrust Act, various state antitrust laws and unfair/deceptive trade practices acts in California, Illinois and Alabama. The plaintiffs also allege a claim for unjust enrichment and seek relief on behalf of a nationwide class of our premium cable customers and on behalf of subclasses consisting of premium cable customers from California, Alabama, Illinois, Pennsylvania and Washington. In January 2010, we moved to compel arbitration of the plaintiffs’ claims for unjust enrichment and violations of the unfair/deceptive trade practices acts of Illinois and Alabama. In September 2010, the plaintiffs filed an amended complaint alleging violations of additional state antitrust laws and unfair/deceptive trade practices acts on behalf of new subclasses in Connecticut, Florida, Minnesota, Missouri, New Jersey, New Mexico and West Virginia. In the amended complaint, plaintiffs omitted their unjust enrichment claim, as well as their state law claims on behalf of the Alabama, Illinois and Pennsylvania subclasses. In June 2011, the plaintiffs filed another amended complaint alleging only violations of Section 1 of the Sherman Antitrust Act, antitrust law in Washington and unfair/deceptive trade practices acts in California and Washington. The plaintiffs seek relief on behalf of a nationwide class of our premium cable customers and on behalf of subclasses consisting of premium cable customers from California and Washington. In July 2011, we moved to compel arbitration of certain claims and to stay the remaining claims pending arbitration.</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West Virginia Attorney General also filed a complaint in West Virginia state court in July 2009 alleging that we improperly “tie” the rental of set-top boxes to the provision of digital cable services in violation of the West Virginia Antitrust Act and the West Virginia Consumer Credit and Protection Act. The Attorney General also alleges a claim for unjust enrichment/restitution. We removed the case to the United States District Court for West Virginia, and it was subsequently transferred to the United States District Court for the Eastern District of Pennsylvania and consolidated with the multidistrict litigation described above. In March 2010, the Eastern District of Pennsylvania denied the Attorney General’s motion to remand the case back to West Virginia state court. In June 2010, the Attorney General moved to sever and remand the portion of the claims seeking civil penalties and injunctive relief back to West Virginia state court. We filed a brief in opposition to the motion in July 2010.</w:t>
      </w:r>
    </w:p>
    <w:p>
      <w:pPr>
        <w:spacing w:after="0" w:line="5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believe the claims in each of the pending actions described above in this item are without merit and intend to defend the actions vigorously. We cannot predict the outcome of any of the actions described above, including a range of possible loss, or how the final resolution of any such actions would impact our results of operations or cash flows for any one period or our consolidated financial position. In addition, as any action nears a trial, there is an increased possibility that the action may be settled by the parties. Nevertheless, the final disposition of any of the above actions is not expected to have a material adverse effect on our consolidated financial position, but could possibly be material to our consolidated results of operations or cash flows for any one period.</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in part or in whole the responsibility of our equipment and technology vendors under applicable contractual indemnification provisions. We are also subject to other legal proceedings and claims that arise in the ordinary course of our business. While the amount of ultimate liability with respect to such actions is not expected to materially affect our financial position, results of operations or cash flows, any litigation resulting from any such legal proceedings or claims could be time consuming, costly and injure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15: Financial Data by Business Segment</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present our operations in five reportable business segments:</w:t>
      </w:r>
    </w:p>
    <w:p>
      <w:pPr>
        <w:spacing w:after="0" w:line="71" w:lineRule="exact"/>
        <w:rPr>
          <w:sz w:val="20"/>
          <w:szCs w:val="20"/>
          <w:color w:val="auto"/>
        </w:rPr>
      </w:pPr>
    </w:p>
    <w:p>
      <w:pPr>
        <w:ind w:left="1020" w:right="1240" w:hanging="215"/>
        <w:spacing w:after="0" w:line="27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Cable Communications</w:t>
      </w:r>
      <w:r>
        <w:rPr>
          <w:rFonts w:ascii="Arial" w:cs="Arial" w:eastAsia="Arial" w:hAnsi="Arial"/>
          <w:sz w:val="18"/>
          <w:szCs w:val="18"/>
          <w:color w:val="auto"/>
        </w:rPr>
        <w:t>: Provides video, high-speed Internet and voice services (“cable services”) to residential and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in 39 states and the District of Columbia.</w:t>
      </w:r>
    </w:p>
    <w:p>
      <w:pPr>
        <w:spacing w:after="0" w:line="25" w:lineRule="exact"/>
        <w:rPr>
          <w:rFonts w:ascii="Arial" w:cs="Arial" w:eastAsia="Arial" w:hAnsi="Arial"/>
          <w:sz w:val="18"/>
          <w:szCs w:val="18"/>
          <w:color w:val="auto"/>
        </w:rPr>
      </w:pPr>
    </w:p>
    <w:p>
      <w:pPr>
        <w:ind w:left="1020" w:right="1240" w:hanging="215"/>
        <w:spacing w:after="0" w:line="32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Cable Networks</w:t>
      </w:r>
      <w:r>
        <w:rPr>
          <w:rFonts w:ascii="Arial" w:cs="Arial" w:eastAsia="Arial" w:hAnsi="Arial"/>
          <w:sz w:val="16"/>
          <w:szCs w:val="16"/>
          <w:color w:val="auto"/>
        </w:rPr>
        <w:t>: Consists primarily of our national cable television networks, our regional sports and news networks, our</w:t>
      </w:r>
      <w:r>
        <w:rPr>
          <w:rFonts w:ascii="Arial" w:cs="Arial" w:eastAsia="Arial" w:hAnsi="Arial"/>
          <w:sz w:val="16"/>
          <w:szCs w:val="16"/>
          <w:b w:val="1"/>
          <w:bCs w:val="1"/>
          <w:color w:val="auto"/>
        </w:rPr>
        <w:t xml:space="preserve"> </w:t>
      </w:r>
      <w:r>
        <w:rPr>
          <w:rFonts w:ascii="Arial" w:cs="Arial" w:eastAsia="Arial" w:hAnsi="Arial"/>
          <w:sz w:val="16"/>
          <w:szCs w:val="16"/>
          <w:color w:val="auto"/>
        </w:rPr>
        <w:t>international cable networks, our cable television production studio, and our related digital media properties.</w:t>
      </w:r>
    </w:p>
    <w:p>
      <w:pPr>
        <w:spacing w:after="0" w:line="1" w:lineRule="exact"/>
        <w:rPr>
          <w:rFonts w:ascii="Arial" w:cs="Arial" w:eastAsia="Arial" w:hAnsi="Arial"/>
          <w:sz w:val="16"/>
          <w:szCs w:val="16"/>
          <w:color w:val="auto"/>
        </w:rPr>
      </w:pPr>
    </w:p>
    <w:p>
      <w:pPr>
        <w:ind w:left="1020" w:right="1240" w:hanging="215"/>
        <w:spacing w:after="0" w:line="325" w:lineRule="auto"/>
        <w:tabs>
          <w:tab w:leader="none" w:pos="102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Broadcast Television</w:t>
      </w:r>
      <w:r>
        <w:rPr>
          <w:rFonts w:ascii="Arial" w:cs="Arial" w:eastAsia="Arial" w:hAnsi="Arial"/>
          <w:sz w:val="16"/>
          <w:szCs w:val="16"/>
          <w:color w:val="auto"/>
        </w:rPr>
        <w:t>: Consists primarily of our NBC and Telemundo broadcast networks, our NBC and Telemundo owned local</w:t>
      </w:r>
      <w:r>
        <w:rPr>
          <w:rFonts w:ascii="Arial" w:cs="Arial" w:eastAsia="Arial" w:hAnsi="Arial"/>
          <w:sz w:val="16"/>
          <w:szCs w:val="16"/>
          <w:b w:val="1"/>
          <w:bCs w:val="1"/>
          <w:color w:val="auto"/>
        </w:rPr>
        <w:t xml:space="preserve"> </w:t>
      </w:r>
      <w:r>
        <w:rPr>
          <w:rFonts w:ascii="Arial" w:cs="Arial" w:eastAsia="Arial" w:hAnsi="Arial"/>
          <w:sz w:val="16"/>
          <w:szCs w:val="16"/>
          <w:color w:val="auto"/>
        </w:rPr>
        <w:t>television stations, our broadcast television production operations, and our related digital media properties.</w:t>
      </w:r>
    </w:p>
    <w:p>
      <w:pPr>
        <w:spacing w:after="0" w:line="1" w:lineRule="exact"/>
        <w:rPr>
          <w:rFonts w:ascii="Arial" w:cs="Arial" w:eastAsia="Arial" w:hAnsi="Arial"/>
          <w:sz w:val="16"/>
          <w:szCs w:val="16"/>
          <w:color w:val="auto"/>
        </w:rPr>
      </w:pPr>
    </w:p>
    <w:p>
      <w:pPr>
        <w:ind w:left="1020" w:right="1240" w:hanging="215"/>
        <w:spacing w:after="0" w:line="275" w:lineRule="auto"/>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w:t>
      </w:r>
      <w:r>
        <w:rPr>
          <w:rFonts w:ascii="Arial" w:cs="Arial" w:eastAsia="Arial" w:hAnsi="Arial"/>
          <w:sz w:val="18"/>
          <w:szCs w:val="18"/>
          <w:b w:val="1"/>
          <w:bCs w:val="1"/>
          <w:color w:val="auto"/>
        </w:rPr>
        <w:t xml:space="preserve"> </w:t>
      </w:r>
      <w:r>
        <w:rPr>
          <w:rFonts w:ascii="Arial" w:cs="Arial" w:eastAsia="Arial" w:hAnsi="Arial"/>
          <w:sz w:val="18"/>
          <w:szCs w:val="18"/>
          <w:color w:val="auto"/>
        </w:rPr>
        <w:t>filmed entertainment and stage plays worldwide.</w:t>
      </w:r>
    </w:p>
    <w:p>
      <w:pPr>
        <w:spacing w:after="0" w:line="25" w:lineRule="exact"/>
        <w:rPr>
          <w:rFonts w:ascii="Arial" w:cs="Arial" w:eastAsia="Arial" w:hAnsi="Arial"/>
          <w:sz w:val="18"/>
          <w:szCs w:val="18"/>
          <w:color w:val="auto"/>
        </w:rPr>
      </w:pPr>
    </w:p>
    <w:p>
      <w:pPr>
        <w:ind w:left="1020" w:hanging="215"/>
        <w:spacing w:after="0"/>
        <w:tabs>
          <w:tab w:leader="none" w:pos="102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evaluating the profitability of our operating segments, the components of net income (loss) below operating income (loss) before depreciation and amortization are not separately evaluated by our management. Our financial data by business segment is presented in the tables below.</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color w:val="auto"/>
              </w:rPr>
              <w:t>Three Months Ended March 31, 2012</w:t>
            </w: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8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Operating Income (Loss)</w:t>
            </w: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940" w:type="dxa"/>
            <w:vAlign w:val="bottom"/>
            <w:gridSpan w:val="2"/>
            <w:vMerge w:val="restart"/>
          </w:tcPr>
          <w:p>
            <w:pPr>
              <w:ind w:left="102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980" w:type="dxa"/>
            <w:vAlign w:val="bottom"/>
            <w:gridSpan w:val="2"/>
          </w:tcPr>
          <w:p>
            <w:pPr>
              <w:ind w:left="300"/>
              <w:spacing w:after="0" w:line="133" w:lineRule="exact"/>
              <w:rPr>
                <w:sz w:val="20"/>
                <w:szCs w:val="20"/>
                <w:color w:val="auto"/>
              </w:rPr>
            </w:pPr>
            <w:r>
              <w:rPr>
                <w:rFonts w:ascii="Arial" w:cs="Arial" w:eastAsia="Arial" w:hAnsi="Arial"/>
                <w:sz w:val="14"/>
                <w:szCs w:val="14"/>
                <w:color w:val="auto"/>
              </w:rPr>
              <w:t>Before Depreciation and</w:t>
            </w:r>
          </w:p>
        </w:tc>
        <w:tc>
          <w:tcPr>
            <w:tcW w:w="1700" w:type="dxa"/>
            <w:vAlign w:val="bottom"/>
            <w:gridSpan w:val="2"/>
          </w:tcPr>
          <w:p>
            <w:pPr>
              <w:ind w:left="280"/>
              <w:spacing w:after="0" w:line="133" w:lineRule="exact"/>
              <w:rPr>
                <w:sz w:val="20"/>
                <w:szCs w:val="20"/>
                <w:color w:val="auto"/>
              </w:rPr>
            </w:pPr>
            <w:r>
              <w:rPr>
                <w:rFonts w:ascii="Arial" w:cs="Arial" w:eastAsia="Arial" w:hAnsi="Arial"/>
                <w:sz w:val="14"/>
                <w:szCs w:val="14"/>
                <w:color w:val="auto"/>
              </w:rPr>
              <w:t>Depreciation and</w:t>
            </w:r>
          </w:p>
        </w:tc>
        <w:tc>
          <w:tcPr>
            <w:tcW w:w="1380" w:type="dxa"/>
            <w:vAlign w:val="bottom"/>
            <w:gridSpan w:val="2"/>
          </w:tcPr>
          <w:p>
            <w:pPr>
              <w:ind w:left="80"/>
              <w:spacing w:after="0" w:line="133" w:lineRule="exact"/>
              <w:rPr>
                <w:sz w:val="20"/>
                <w:szCs w:val="20"/>
                <w:color w:val="auto"/>
              </w:rPr>
            </w:pPr>
            <w:r>
              <w:rPr>
                <w:rFonts w:ascii="Arial" w:cs="Arial" w:eastAsia="Arial" w:hAnsi="Arial"/>
                <w:sz w:val="14"/>
                <w:szCs w:val="14"/>
                <w:color w:val="auto"/>
              </w:rPr>
              <w:t>Operating Income</w:t>
            </w:r>
          </w:p>
        </w:tc>
        <w:tc>
          <w:tcPr>
            <w:tcW w:w="4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5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360" w:type="dxa"/>
            <w:vAlign w:val="bottom"/>
          </w:tcPr>
          <w:p>
            <w:pPr>
              <w:spacing w:after="0"/>
              <w:rPr>
                <w:sz w:val="15"/>
                <w:szCs w:val="15"/>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color w:val="auto"/>
                <w:w w:val="92"/>
              </w:rPr>
              <w:t>Amortization</w:t>
            </w:r>
          </w:p>
        </w:tc>
        <w:tc>
          <w:tcPr>
            <w:tcW w:w="280" w:type="dxa"/>
            <w:vAlign w:val="bottom"/>
          </w:tcPr>
          <w:p>
            <w:pPr>
              <w:spacing w:after="0"/>
              <w:rPr>
                <w:sz w:val="15"/>
                <w:szCs w:val="15"/>
                <w:color w:val="auto"/>
              </w:rPr>
            </w:pPr>
          </w:p>
        </w:tc>
        <w:tc>
          <w:tcPr>
            <w:tcW w:w="1100" w:type="dxa"/>
            <w:vAlign w:val="bottom"/>
          </w:tcPr>
          <w:p>
            <w:pPr>
              <w:jc w:val="right"/>
              <w:ind w:right="554"/>
              <w:spacing w:after="0"/>
              <w:rPr>
                <w:sz w:val="20"/>
                <w:szCs w:val="20"/>
                <w:color w:val="auto"/>
              </w:rPr>
            </w:pPr>
            <w:r>
              <w:rPr>
                <w:rFonts w:ascii="Arial" w:cs="Arial" w:eastAsia="Arial" w:hAnsi="Arial"/>
                <w:sz w:val="14"/>
                <w:szCs w:val="14"/>
                <w:color w:val="auto"/>
              </w:rPr>
              <w:t>(Loss)</w:t>
            </w: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160" w:type="dxa"/>
            <w:vAlign w:val="bottom"/>
            <w:tcBorders>
              <w:top w:val="single" w:sz="8" w:color="auto"/>
            </w:tcBorders>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w w:val="97"/>
              </w:rPr>
              <w:t>9,599</w:t>
            </w:r>
          </w:p>
        </w:tc>
        <w:tc>
          <w:tcPr>
            <w:tcW w:w="4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3,955</w:t>
            </w:r>
          </w:p>
        </w:tc>
        <w:tc>
          <w:tcPr>
            <w:tcW w:w="3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1,602</w:t>
            </w:r>
          </w:p>
        </w:tc>
        <w:tc>
          <w:tcPr>
            <w:tcW w:w="2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2,353</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NBCUniversal</w:t>
            </w: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97"/>
              </w:rPr>
              <w:t>2,138</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805</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178</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627</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w w:val="97"/>
              </w:rPr>
              <w:t>1,851</w:t>
            </w:r>
          </w:p>
        </w:tc>
        <w:tc>
          <w:tcPr>
            <w:tcW w:w="460" w:type="dxa"/>
            <w:vAlign w:val="bottom"/>
          </w:tcPr>
          <w:p>
            <w:pPr>
              <w:spacing w:after="0"/>
              <w:rPr>
                <w:sz w:val="18"/>
                <w:szCs w:val="18"/>
                <w:color w:val="auto"/>
              </w:rPr>
            </w:pPr>
          </w:p>
        </w:tc>
        <w:tc>
          <w:tcPr>
            <w:tcW w:w="1520" w:type="dxa"/>
            <w:vAlign w:val="bottom"/>
          </w:tcPr>
          <w:p>
            <w:pPr>
              <w:jc w:val="right"/>
              <w:ind w:right="196"/>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(31)</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97"/>
              </w:rPr>
              <w:t>1,192</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6</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Theme Parks</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412</w:t>
            </w:r>
          </w:p>
        </w:tc>
        <w:tc>
          <w:tcPr>
            <w:tcW w:w="460" w:type="dxa"/>
            <w:vAlign w:val="bottom"/>
          </w:tcPr>
          <w:p>
            <w:pPr>
              <w:spacing w:after="0"/>
              <w:rPr>
                <w:sz w:val="18"/>
                <w:szCs w:val="18"/>
                <w:color w:val="auto"/>
              </w:rPr>
            </w:pPr>
          </w:p>
        </w:tc>
        <w:tc>
          <w:tcPr>
            <w:tcW w:w="1520" w:type="dxa"/>
            <w:vAlign w:val="bottom"/>
          </w:tcPr>
          <w:p>
            <w:pPr>
              <w:jc w:val="right"/>
              <w:ind w:right="256"/>
              <w:spacing w:after="0"/>
              <w:rPr>
                <w:sz w:val="20"/>
                <w:szCs w:val="20"/>
                <w:color w:val="auto"/>
              </w:rPr>
            </w:pPr>
            <w:r>
              <w:rPr>
                <w:rFonts w:ascii="Arial" w:cs="Arial" w:eastAsia="Arial" w:hAnsi="Arial"/>
                <w:sz w:val="18"/>
                <w:szCs w:val="18"/>
                <w:color w:val="auto"/>
              </w:rPr>
              <w:t>157</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95</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12</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(146)</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48</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(194)</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(133)</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97"/>
              </w:rPr>
              <w:t>5,472</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813</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312</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501</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174</w:t>
            </w:r>
          </w:p>
        </w:tc>
        <w:tc>
          <w:tcPr>
            <w:tcW w:w="460" w:type="dxa"/>
            <w:vAlign w:val="bottom"/>
          </w:tcPr>
          <w:p>
            <w:pPr>
              <w:spacing w:after="0"/>
              <w:rPr>
                <w:sz w:val="18"/>
                <w:szCs w:val="18"/>
                <w:color w:val="auto"/>
              </w:rPr>
            </w:pPr>
          </w:p>
        </w:tc>
        <w:tc>
          <w:tcPr>
            <w:tcW w:w="1520" w:type="dxa"/>
            <w:vAlign w:val="bottom"/>
          </w:tcPr>
          <w:p>
            <w:pPr>
              <w:jc w:val="right"/>
              <w:ind w:right="196"/>
              <w:spacing w:after="0"/>
              <w:rPr>
                <w:sz w:val="20"/>
                <w:szCs w:val="20"/>
                <w:color w:val="auto"/>
              </w:rPr>
            </w:pPr>
            <w:r>
              <w:rPr>
                <w:rFonts w:ascii="Arial" w:cs="Arial" w:eastAsia="Arial" w:hAnsi="Arial"/>
                <w:sz w:val="18"/>
                <w:szCs w:val="18"/>
                <w:color w:val="auto"/>
              </w:rPr>
              <w:t>(64)</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14</w:t>
            </w:r>
          </w:p>
        </w:tc>
        <w:tc>
          <w:tcPr>
            <w:tcW w:w="28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(78)</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(367)</w:t>
            </w:r>
          </w:p>
        </w:tc>
        <w:tc>
          <w:tcPr>
            <w:tcW w:w="460" w:type="dxa"/>
            <w:vAlign w:val="bottom"/>
            <w:tcBorders>
              <w:bottom w:val="single" w:sz="8" w:color="auto"/>
            </w:tcBorders>
            <w:shd w:val="clear" w:color="auto" w:fill="E5E5E5"/>
          </w:tcPr>
          <w:p>
            <w:pPr>
              <w:spacing w:after="0"/>
              <w:rPr>
                <w:sz w:val="18"/>
                <w:szCs w:val="18"/>
                <w:color w:val="auto"/>
              </w:rPr>
            </w:pPr>
          </w:p>
        </w:tc>
        <w:tc>
          <w:tcPr>
            <w:tcW w:w="1520" w:type="dxa"/>
            <w:vAlign w:val="bottom"/>
            <w:tcBorders>
              <w:bottom w:val="single" w:sz="8" w:color="auto"/>
            </w:tcBorders>
            <w:shd w:val="clear" w:color="auto" w:fill="E5E5E5"/>
          </w:tcPr>
          <w:p>
            <w:pPr>
              <w:jc w:val="right"/>
              <w:ind w:right="196"/>
              <w:spacing w:after="0"/>
              <w:rPr>
                <w:sz w:val="20"/>
                <w:szCs w:val="20"/>
                <w:color w:val="auto"/>
              </w:rPr>
            </w:pPr>
            <w:r>
              <w:rPr>
                <w:rFonts w:ascii="Arial" w:cs="Arial" w:eastAsia="Arial" w:hAnsi="Arial"/>
                <w:sz w:val="18"/>
                <w:szCs w:val="18"/>
                <w:color w:val="auto"/>
              </w:rPr>
              <w:t>(16)</w:t>
            </w:r>
          </w:p>
        </w:tc>
        <w:tc>
          <w:tcPr>
            <w:tcW w:w="3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9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$ 14,878</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4,688</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1,930</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2,758</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1,174</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20" w:type="dxa"/>
            <w:vAlign w:val="bottom"/>
            <w:tcBorders>
              <w:bottom w:val="single" w:sz="8" w:color="auto"/>
            </w:tcBorders>
            <w:gridSpan w:val="3"/>
          </w:tcPr>
          <w:p>
            <w:pPr>
              <w:jc w:val="right"/>
              <w:ind w:right="14"/>
              <w:spacing w:after="0"/>
              <w:rPr>
                <w:sz w:val="20"/>
                <w:szCs w:val="20"/>
                <w:color w:val="auto"/>
              </w:rPr>
            </w:pPr>
            <w:r>
              <w:rPr>
                <w:rFonts w:ascii="Arial" w:cs="Arial" w:eastAsia="Arial" w:hAnsi="Arial"/>
                <w:sz w:val="14"/>
                <w:szCs w:val="14"/>
                <w:color w:val="auto"/>
              </w:rPr>
              <w:t>Three Months Ended March 31, 2011</w:t>
            </w: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80" w:type="dxa"/>
            <w:vAlign w:val="bottom"/>
            <w:gridSpan w:val="2"/>
          </w:tcPr>
          <w:p>
            <w:pPr>
              <w:ind w:left="280"/>
              <w:spacing w:after="0" w:line="131" w:lineRule="exact"/>
              <w:rPr>
                <w:sz w:val="20"/>
                <w:szCs w:val="20"/>
                <w:color w:val="auto"/>
              </w:rPr>
            </w:pPr>
            <w:r>
              <w:rPr>
                <w:rFonts w:ascii="Arial" w:cs="Arial" w:eastAsia="Arial" w:hAnsi="Arial"/>
                <w:sz w:val="14"/>
                <w:szCs w:val="14"/>
                <w:color w:val="auto"/>
              </w:rPr>
              <w:t>Operating Income (Loss)</w:t>
            </w:r>
          </w:p>
        </w:tc>
        <w:tc>
          <w:tcPr>
            <w:tcW w:w="3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940" w:type="dxa"/>
            <w:vAlign w:val="bottom"/>
            <w:gridSpan w:val="2"/>
            <w:vMerge w:val="restart"/>
          </w:tcPr>
          <w:p>
            <w:pPr>
              <w:ind w:left="1020"/>
              <w:spacing w:after="0"/>
              <w:rPr>
                <w:sz w:val="20"/>
                <w:szCs w:val="20"/>
                <w:color w:val="auto"/>
              </w:rPr>
            </w:pPr>
            <w:r>
              <w:rPr>
                <w:rFonts w:ascii="Arial" w:cs="Arial" w:eastAsia="Arial" w:hAnsi="Arial"/>
                <w:sz w:val="14"/>
                <w:szCs w:val="14"/>
                <w:color w:val="auto"/>
              </w:rPr>
              <w:t>Revenue</w:t>
            </w:r>
            <w:r>
              <w:rPr>
                <w:rFonts w:ascii="Arial" w:cs="Arial" w:eastAsia="Arial" w:hAnsi="Arial"/>
                <w:sz w:val="22"/>
                <w:szCs w:val="22"/>
                <w:color w:val="auto"/>
                <w:vertAlign w:val="superscript"/>
              </w:rPr>
              <w:t>(f)</w:t>
            </w:r>
          </w:p>
        </w:tc>
        <w:tc>
          <w:tcPr>
            <w:tcW w:w="1980" w:type="dxa"/>
            <w:vAlign w:val="bottom"/>
            <w:gridSpan w:val="2"/>
          </w:tcPr>
          <w:p>
            <w:pPr>
              <w:ind w:left="300"/>
              <w:spacing w:after="0" w:line="133" w:lineRule="exact"/>
              <w:rPr>
                <w:sz w:val="20"/>
                <w:szCs w:val="20"/>
                <w:color w:val="auto"/>
              </w:rPr>
            </w:pPr>
            <w:r>
              <w:rPr>
                <w:rFonts w:ascii="Arial" w:cs="Arial" w:eastAsia="Arial" w:hAnsi="Arial"/>
                <w:sz w:val="14"/>
                <w:szCs w:val="14"/>
                <w:color w:val="auto"/>
              </w:rPr>
              <w:t>Before Depreciation and</w:t>
            </w:r>
          </w:p>
        </w:tc>
        <w:tc>
          <w:tcPr>
            <w:tcW w:w="1700" w:type="dxa"/>
            <w:vAlign w:val="bottom"/>
            <w:gridSpan w:val="2"/>
          </w:tcPr>
          <w:p>
            <w:pPr>
              <w:ind w:left="280"/>
              <w:spacing w:after="0" w:line="133" w:lineRule="exact"/>
              <w:rPr>
                <w:sz w:val="20"/>
                <w:szCs w:val="20"/>
                <w:color w:val="auto"/>
              </w:rPr>
            </w:pPr>
            <w:r>
              <w:rPr>
                <w:rFonts w:ascii="Arial" w:cs="Arial" w:eastAsia="Arial" w:hAnsi="Arial"/>
                <w:sz w:val="14"/>
                <w:szCs w:val="14"/>
                <w:color w:val="auto"/>
              </w:rPr>
              <w:t>Depreciation and</w:t>
            </w:r>
          </w:p>
        </w:tc>
        <w:tc>
          <w:tcPr>
            <w:tcW w:w="1380" w:type="dxa"/>
            <w:vAlign w:val="bottom"/>
            <w:gridSpan w:val="2"/>
          </w:tcPr>
          <w:p>
            <w:pPr>
              <w:ind w:left="80"/>
              <w:spacing w:after="0" w:line="133" w:lineRule="exact"/>
              <w:rPr>
                <w:sz w:val="20"/>
                <w:szCs w:val="20"/>
                <w:color w:val="auto"/>
              </w:rPr>
            </w:pPr>
            <w:r>
              <w:rPr>
                <w:rFonts w:ascii="Arial" w:cs="Arial" w:eastAsia="Arial" w:hAnsi="Arial"/>
                <w:sz w:val="14"/>
                <w:szCs w:val="14"/>
                <w:color w:val="auto"/>
              </w:rPr>
              <w:t>Operating Income</w:t>
            </w:r>
          </w:p>
        </w:tc>
        <w:tc>
          <w:tcPr>
            <w:tcW w:w="400" w:type="dxa"/>
            <w:vAlign w:val="bottom"/>
          </w:tcPr>
          <w:p>
            <w:pPr>
              <w:spacing w:after="0"/>
              <w:rPr>
                <w:sz w:val="11"/>
                <w:szCs w:val="11"/>
                <w:color w:val="auto"/>
              </w:rPr>
            </w:pPr>
          </w:p>
        </w:tc>
        <w:tc>
          <w:tcPr>
            <w:tcW w:w="680" w:type="dxa"/>
            <w:vAlign w:val="bottom"/>
          </w:tcPr>
          <w:p>
            <w:pPr>
              <w:jc w:val="right"/>
              <w:ind w:right="174"/>
              <w:spacing w:after="0" w:line="133" w:lineRule="exact"/>
              <w:rPr>
                <w:sz w:val="20"/>
                <w:szCs w:val="20"/>
                <w:color w:val="auto"/>
              </w:rPr>
            </w:pPr>
            <w:r>
              <w:rPr>
                <w:rFonts w:ascii="Arial" w:cs="Arial" w:eastAsia="Arial" w:hAnsi="Arial"/>
                <w:sz w:val="14"/>
                <w:szCs w:val="14"/>
                <w:color w:val="auto"/>
                <w:w w:val="91"/>
              </w:rPr>
              <w:t>Capital</w:t>
            </w:r>
          </w:p>
        </w:tc>
        <w:tc>
          <w:tcPr>
            <w:tcW w:w="0" w:type="dxa"/>
            <w:vAlign w:val="bottom"/>
          </w:tcPr>
          <w:p>
            <w:pPr>
              <w:spacing w:after="0"/>
              <w:rPr>
                <w:sz w:val="1"/>
                <w:szCs w:val="1"/>
                <w:color w:val="auto"/>
              </w:rPr>
            </w:pPr>
          </w:p>
        </w:tc>
      </w:tr>
      <w:tr>
        <w:trPr>
          <w:trHeight w:val="176"/>
        </w:trPr>
        <w:tc>
          <w:tcPr>
            <w:tcW w:w="33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9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1520" w:type="dxa"/>
            <w:vAlign w:val="bottom"/>
          </w:tcPr>
          <w:p>
            <w:pPr>
              <w:jc w:val="right"/>
              <w:ind w:right="516"/>
              <w:spacing w:after="0" w:line="176" w:lineRule="exact"/>
              <w:rPr>
                <w:sz w:val="20"/>
                <w:szCs w:val="20"/>
                <w:color w:val="auto"/>
              </w:rPr>
            </w:pPr>
            <w:r>
              <w:rPr>
                <w:rFonts w:ascii="Arial" w:cs="Arial" w:eastAsia="Arial" w:hAnsi="Arial"/>
                <w:sz w:val="13"/>
                <w:szCs w:val="13"/>
                <w:color w:val="auto"/>
              </w:rPr>
              <w:t>Amortization</w:t>
            </w:r>
            <w:r>
              <w:rPr>
                <w:rFonts w:ascii="Arial" w:cs="Arial" w:eastAsia="Arial" w:hAnsi="Arial"/>
                <w:sz w:val="20"/>
                <w:szCs w:val="20"/>
                <w:color w:val="auto"/>
                <w:vertAlign w:val="superscript"/>
              </w:rPr>
              <w:t>(g)</w:t>
            </w:r>
          </w:p>
        </w:tc>
        <w:tc>
          <w:tcPr>
            <w:tcW w:w="360" w:type="dxa"/>
            <w:vAlign w:val="bottom"/>
          </w:tcPr>
          <w:p>
            <w:pPr>
              <w:spacing w:after="0"/>
              <w:rPr>
                <w:sz w:val="15"/>
                <w:szCs w:val="15"/>
                <w:color w:val="auto"/>
              </w:rPr>
            </w:pPr>
          </w:p>
        </w:tc>
        <w:tc>
          <w:tcPr>
            <w:tcW w:w="1340" w:type="dxa"/>
            <w:vAlign w:val="bottom"/>
          </w:tcPr>
          <w:p>
            <w:pPr>
              <w:jc w:val="right"/>
              <w:ind w:right="514"/>
              <w:spacing w:after="0"/>
              <w:rPr>
                <w:sz w:val="20"/>
                <w:szCs w:val="20"/>
                <w:color w:val="auto"/>
              </w:rPr>
            </w:pPr>
            <w:r>
              <w:rPr>
                <w:rFonts w:ascii="Arial" w:cs="Arial" w:eastAsia="Arial" w:hAnsi="Arial"/>
                <w:sz w:val="14"/>
                <w:szCs w:val="14"/>
                <w:color w:val="auto"/>
                <w:w w:val="92"/>
              </w:rPr>
              <w:t>Amortization</w:t>
            </w:r>
          </w:p>
        </w:tc>
        <w:tc>
          <w:tcPr>
            <w:tcW w:w="280" w:type="dxa"/>
            <w:vAlign w:val="bottom"/>
          </w:tcPr>
          <w:p>
            <w:pPr>
              <w:spacing w:after="0"/>
              <w:rPr>
                <w:sz w:val="15"/>
                <w:szCs w:val="15"/>
                <w:color w:val="auto"/>
              </w:rPr>
            </w:pPr>
          </w:p>
        </w:tc>
        <w:tc>
          <w:tcPr>
            <w:tcW w:w="1100" w:type="dxa"/>
            <w:vAlign w:val="bottom"/>
          </w:tcPr>
          <w:p>
            <w:pPr>
              <w:jc w:val="right"/>
              <w:ind w:right="554"/>
              <w:spacing w:after="0"/>
              <w:rPr>
                <w:sz w:val="20"/>
                <w:szCs w:val="20"/>
                <w:color w:val="auto"/>
              </w:rPr>
            </w:pPr>
            <w:r>
              <w:rPr>
                <w:rFonts w:ascii="Arial" w:cs="Arial" w:eastAsia="Arial" w:hAnsi="Arial"/>
                <w:sz w:val="14"/>
                <w:szCs w:val="14"/>
                <w:color w:val="auto"/>
              </w:rPr>
              <w:t>(Loss)</w:t>
            </w:r>
          </w:p>
        </w:tc>
        <w:tc>
          <w:tcPr>
            <w:tcW w:w="1080" w:type="dxa"/>
            <w:vAlign w:val="bottom"/>
            <w:gridSpan w:val="2"/>
          </w:tcPr>
          <w:p>
            <w:pPr>
              <w:ind w:left="280"/>
              <w:spacing w:after="0"/>
              <w:rPr>
                <w:sz w:val="20"/>
                <w:szCs w:val="20"/>
                <w:color w:val="auto"/>
              </w:rPr>
            </w:pPr>
            <w:r>
              <w:rPr>
                <w:rFonts w:ascii="Arial" w:cs="Arial" w:eastAsia="Arial" w:hAnsi="Arial"/>
                <w:sz w:val="14"/>
                <w:szCs w:val="14"/>
                <w:color w:val="auto"/>
                <w:w w:val="95"/>
              </w:rPr>
              <w:t>Expenditures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color w:val="auto"/>
              </w:rPr>
              <w:t>Cable Communications</w:t>
            </w:r>
            <w:r>
              <w:rPr>
                <w:rFonts w:ascii="Arial" w:cs="Arial" w:eastAsia="Arial" w:hAnsi="Arial"/>
                <w:sz w:val="11"/>
                <w:szCs w:val="11"/>
                <w:color w:val="auto"/>
              </w:rPr>
              <w:t>(a)</w:t>
            </w:r>
          </w:p>
        </w:tc>
        <w:tc>
          <w:tcPr>
            <w:tcW w:w="1160" w:type="dxa"/>
            <w:vAlign w:val="bottom"/>
            <w:tcBorders>
              <w:top w:val="single" w:sz="8" w:color="auto"/>
            </w:tcBorders>
            <w:shd w:val="clear" w:color="auto" w:fill="E5E5E5"/>
          </w:tcPr>
          <w:p>
            <w:pPr>
              <w:ind w:left="102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w w:val="97"/>
              </w:rPr>
              <w:t>9,084</w:t>
            </w:r>
          </w:p>
        </w:tc>
        <w:tc>
          <w:tcPr>
            <w:tcW w:w="4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3,749</w:t>
            </w:r>
          </w:p>
        </w:tc>
        <w:tc>
          <w:tcPr>
            <w:tcW w:w="360" w:type="dxa"/>
            <w:vAlign w:val="bottom"/>
            <w:tcBorders>
              <w:top w:val="single" w:sz="8" w:color="auto"/>
            </w:tcBorders>
            <w:shd w:val="clear" w:color="auto" w:fill="E5E5E5"/>
          </w:tcPr>
          <w:p>
            <w:pPr>
              <w:ind w:left="280"/>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E5E5E5"/>
          </w:tcPr>
          <w:p>
            <w:pPr>
              <w:jc w:val="right"/>
              <w:ind w:right="414"/>
              <w:spacing w:after="0"/>
              <w:rPr>
                <w:sz w:val="20"/>
                <w:szCs w:val="20"/>
                <w:color w:val="auto"/>
              </w:rPr>
            </w:pPr>
            <w:r>
              <w:rPr>
                <w:rFonts w:ascii="Arial" w:cs="Arial" w:eastAsia="Arial" w:hAnsi="Arial"/>
                <w:sz w:val="18"/>
                <w:szCs w:val="18"/>
                <w:color w:val="auto"/>
              </w:rPr>
              <w:t>1,621</w:t>
            </w:r>
          </w:p>
        </w:tc>
        <w:tc>
          <w:tcPr>
            <w:tcW w:w="280" w:type="dxa"/>
            <w:vAlign w:val="bottom"/>
            <w:tcBorders>
              <w:top w:val="single" w:sz="8" w:color="auto"/>
            </w:tcBorders>
            <w:shd w:val="clear" w:color="auto" w:fill="E5E5E5"/>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2,128</w:t>
            </w:r>
          </w:p>
        </w:tc>
        <w:tc>
          <w:tcPr>
            <w:tcW w:w="400" w:type="dxa"/>
            <w:vAlign w:val="bottom"/>
            <w:tcBorders>
              <w:top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1,053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NBCUniversal</w:t>
            </w:r>
          </w:p>
        </w:tc>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Cable Networks</w:t>
            </w:r>
            <w:r>
              <w:rPr>
                <w:rFonts w:ascii="Arial" w:cs="Arial" w:eastAsia="Arial" w:hAnsi="Arial"/>
                <w:sz w:val="11"/>
                <w:szCs w:val="11"/>
                <w:color w:val="auto"/>
              </w:rPr>
              <w:t>(b)</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97"/>
              </w:rPr>
              <w:t>1,632</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665</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153</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512</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Broadcast Television</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888</w:t>
            </w:r>
          </w:p>
        </w:tc>
        <w:tc>
          <w:tcPr>
            <w:tcW w:w="460" w:type="dxa"/>
            <w:vAlign w:val="bottom"/>
          </w:tcPr>
          <w:p>
            <w:pPr>
              <w:spacing w:after="0"/>
              <w:rPr>
                <w:sz w:val="18"/>
                <w:szCs w:val="18"/>
                <w:color w:val="auto"/>
              </w:rPr>
            </w:pPr>
          </w:p>
        </w:tc>
        <w:tc>
          <w:tcPr>
            <w:tcW w:w="1520" w:type="dxa"/>
            <w:vAlign w:val="bottom"/>
          </w:tcPr>
          <w:p>
            <w:pPr>
              <w:jc w:val="right"/>
              <w:ind w:right="256"/>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21</w:t>
            </w:r>
          </w:p>
        </w:tc>
        <w:tc>
          <w:tcPr>
            <w:tcW w:w="28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14</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Filmed Entertainment</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622</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(143)</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4</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(147)</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420"/>
              <w:spacing w:after="0"/>
              <w:rPr>
                <w:sz w:val="20"/>
                <w:szCs w:val="20"/>
                <w:color w:val="auto"/>
              </w:rPr>
            </w:pPr>
            <w:r>
              <w:rPr>
                <w:rFonts w:ascii="Arial" w:cs="Arial" w:eastAsia="Arial" w:hAnsi="Arial"/>
                <w:sz w:val="18"/>
                <w:szCs w:val="18"/>
                <w:color w:val="auto"/>
              </w:rPr>
              <w:t>Theme Parks</w:t>
            </w:r>
            <w:r>
              <w:rPr>
                <w:rFonts w:ascii="Arial" w:cs="Arial" w:eastAsia="Arial" w:hAnsi="Arial"/>
                <w:sz w:val="11"/>
                <w:szCs w:val="11"/>
                <w:color w:val="auto"/>
              </w:rPr>
              <w:t>(c)</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275</w:t>
            </w:r>
          </w:p>
        </w:tc>
        <w:tc>
          <w:tcPr>
            <w:tcW w:w="460" w:type="dxa"/>
            <w:vAlign w:val="bottom"/>
          </w:tcPr>
          <w:p>
            <w:pPr>
              <w:spacing w:after="0"/>
              <w:rPr>
                <w:sz w:val="18"/>
                <w:szCs w:val="18"/>
                <w:color w:val="auto"/>
              </w:rPr>
            </w:pPr>
          </w:p>
        </w:tc>
        <w:tc>
          <w:tcPr>
            <w:tcW w:w="1520" w:type="dxa"/>
            <w:vAlign w:val="bottom"/>
          </w:tcPr>
          <w:p>
            <w:pPr>
              <w:jc w:val="right"/>
              <w:ind w:right="256"/>
              <w:spacing w:after="0"/>
              <w:rPr>
                <w:sz w:val="20"/>
                <w:szCs w:val="20"/>
                <w:color w:val="auto"/>
              </w:rPr>
            </w:pPr>
            <w:r>
              <w:rPr>
                <w:rFonts w:ascii="Arial" w:cs="Arial" w:eastAsia="Arial" w:hAnsi="Arial"/>
                <w:sz w:val="18"/>
                <w:szCs w:val="18"/>
                <w:color w:val="auto"/>
              </w:rPr>
              <w:t>97</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28</w:t>
            </w:r>
          </w:p>
        </w:tc>
        <w:tc>
          <w:tcPr>
            <w:tcW w:w="280" w:type="dxa"/>
            <w:vAlign w:val="bottom"/>
          </w:tcPr>
          <w:p>
            <w:pPr>
              <w:spacing w:after="0"/>
              <w:rPr>
                <w:sz w:val="18"/>
                <w:szCs w:val="18"/>
                <w:color w:val="auto"/>
              </w:rPr>
            </w:pPr>
          </w:p>
        </w:tc>
        <w:tc>
          <w:tcPr>
            <w:tcW w:w="1100" w:type="dxa"/>
            <w:vAlign w:val="bottom"/>
          </w:tcPr>
          <w:p>
            <w:pPr>
              <w:jc w:val="right"/>
              <w:ind w:right="234"/>
              <w:spacing w:after="0"/>
              <w:rPr>
                <w:sz w:val="20"/>
                <w:szCs w:val="20"/>
                <w:color w:val="auto"/>
              </w:rPr>
            </w:pPr>
            <w:r>
              <w:rPr>
                <w:rFonts w:ascii="Arial" w:cs="Arial" w:eastAsia="Arial" w:hAnsi="Arial"/>
                <w:sz w:val="18"/>
                <w:szCs w:val="18"/>
                <w:color w:val="auto"/>
              </w:rPr>
              <w:t>69</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5E5E5"/>
          </w:tcPr>
          <w:p>
            <w:pPr>
              <w:ind w:left="420"/>
              <w:spacing w:after="0"/>
              <w:rPr>
                <w:sz w:val="20"/>
                <w:szCs w:val="20"/>
                <w:color w:val="auto"/>
              </w:rPr>
            </w:pPr>
            <w:r>
              <w:rPr>
                <w:rFonts w:ascii="Arial" w:cs="Arial" w:eastAsia="Arial" w:hAnsi="Arial"/>
                <w:sz w:val="18"/>
                <w:szCs w:val="18"/>
                <w:color w:val="auto"/>
              </w:rPr>
              <w:t>Headquarters and Other</w:t>
            </w:r>
            <w:r>
              <w:rPr>
                <w:rFonts w:ascii="Arial" w:cs="Arial" w:eastAsia="Arial" w:hAnsi="Arial"/>
                <w:sz w:val="11"/>
                <w:szCs w:val="11"/>
                <w:color w:val="auto"/>
              </w:rPr>
              <w:t>(d)</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11</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196"/>
              <w:spacing w:after="0"/>
              <w:rPr>
                <w:sz w:val="20"/>
                <w:szCs w:val="20"/>
                <w:color w:val="auto"/>
              </w:rPr>
            </w:pPr>
            <w:r>
              <w:rPr>
                <w:rFonts w:ascii="Arial" w:cs="Arial" w:eastAsia="Arial" w:hAnsi="Arial"/>
                <w:sz w:val="18"/>
                <w:szCs w:val="18"/>
                <w:color w:val="auto"/>
              </w:rPr>
              <w:t>(96)</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22</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(118)</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(285)</w:t>
            </w:r>
          </w:p>
        </w:tc>
        <w:tc>
          <w:tcPr>
            <w:tcW w:w="4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96"/>
              <w:spacing w:after="0"/>
              <w:rPr>
                <w:sz w:val="20"/>
                <w:szCs w:val="20"/>
                <w:color w:val="auto"/>
              </w:rPr>
            </w:pPr>
            <w:r>
              <w:rPr>
                <w:rFonts w:ascii="Arial" w:cs="Arial" w:eastAsia="Arial" w:hAnsi="Arial"/>
                <w:sz w:val="18"/>
                <w:szCs w:val="18"/>
                <w:color w:val="auto"/>
              </w:rPr>
              <w:t>(100)</w:t>
            </w:r>
          </w:p>
        </w:tc>
        <w:tc>
          <w:tcPr>
            <w:tcW w:w="3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354"/>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(78)</w:t>
            </w:r>
          </w:p>
        </w:tc>
        <w:tc>
          <w:tcPr>
            <w:tcW w:w="4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E5E5E5"/>
          </w:tcPr>
          <w:p>
            <w:pPr>
              <w:spacing w:after="0"/>
              <w:rPr>
                <w:sz w:val="20"/>
                <w:szCs w:val="20"/>
                <w:color w:val="auto"/>
              </w:rPr>
            </w:pPr>
            <w:r>
              <w:rPr>
                <w:rFonts w:ascii="Arial" w:cs="Arial" w:eastAsia="Arial" w:hAnsi="Arial"/>
                <w:sz w:val="18"/>
                <w:szCs w:val="18"/>
                <w:color w:val="auto"/>
              </w:rPr>
              <w:t>NBCUniversal</w:t>
            </w:r>
          </w:p>
        </w:tc>
        <w:tc>
          <w:tcPr>
            <w:tcW w:w="116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97"/>
              </w:rPr>
              <w:t>3,143</w:t>
            </w:r>
          </w:p>
        </w:tc>
        <w:tc>
          <w:tcPr>
            <w:tcW w:w="460" w:type="dxa"/>
            <w:vAlign w:val="bottom"/>
            <w:shd w:val="clear" w:color="auto" w:fill="E5E5E5"/>
          </w:tcPr>
          <w:p>
            <w:pPr>
              <w:spacing w:after="0"/>
              <w:rPr>
                <w:sz w:val="18"/>
                <w:szCs w:val="18"/>
                <w:color w:val="auto"/>
              </w:rPr>
            </w:pPr>
          </w:p>
        </w:tc>
        <w:tc>
          <w:tcPr>
            <w:tcW w:w="1520" w:type="dxa"/>
            <w:vAlign w:val="bottom"/>
            <w:shd w:val="clear" w:color="auto" w:fill="E5E5E5"/>
          </w:tcPr>
          <w:p>
            <w:pPr>
              <w:jc w:val="right"/>
              <w:ind w:right="256"/>
              <w:spacing w:after="0"/>
              <w:rPr>
                <w:sz w:val="20"/>
                <w:szCs w:val="20"/>
                <w:color w:val="auto"/>
              </w:rPr>
            </w:pPr>
            <w:r>
              <w:rPr>
                <w:rFonts w:ascii="Arial" w:cs="Arial" w:eastAsia="Arial" w:hAnsi="Arial"/>
                <w:sz w:val="18"/>
                <w:szCs w:val="18"/>
                <w:color w:val="auto"/>
              </w:rPr>
              <w:t>458</w:t>
            </w:r>
          </w:p>
        </w:tc>
        <w:tc>
          <w:tcPr>
            <w:tcW w:w="360" w:type="dxa"/>
            <w:vAlign w:val="bottom"/>
            <w:shd w:val="clear" w:color="auto" w:fill="E5E5E5"/>
          </w:tcPr>
          <w:p>
            <w:pPr>
              <w:spacing w:after="0"/>
              <w:rPr>
                <w:sz w:val="18"/>
                <w:szCs w:val="18"/>
                <w:color w:val="auto"/>
              </w:rPr>
            </w:pPr>
          </w:p>
        </w:tc>
        <w:tc>
          <w:tcPr>
            <w:tcW w:w="1340" w:type="dxa"/>
            <w:vAlign w:val="bottom"/>
            <w:shd w:val="clear" w:color="auto" w:fill="E5E5E5"/>
          </w:tcPr>
          <w:p>
            <w:pPr>
              <w:jc w:val="right"/>
              <w:ind w:right="414"/>
              <w:spacing w:after="0"/>
              <w:rPr>
                <w:sz w:val="20"/>
                <w:szCs w:val="20"/>
                <w:color w:val="auto"/>
              </w:rPr>
            </w:pPr>
            <w:r>
              <w:rPr>
                <w:rFonts w:ascii="Arial" w:cs="Arial" w:eastAsia="Arial" w:hAnsi="Arial"/>
                <w:sz w:val="18"/>
                <w:szCs w:val="18"/>
                <w:color w:val="auto"/>
              </w:rPr>
              <w:t>206</w:t>
            </w:r>
          </w:p>
        </w:tc>
        <w:tc>
          <w:tcPr>
            <w:tcW w:w="280" w:type="dxa"/>
            <w:vAlign w:val="bottom"/>
            <w:shd w:val="clear" w:color="auto" w:fill="E5E5E5"/>
          </w:tcPr>
          <w:p>
            <w:pPr>
              <w:spacing w:after="0"/>
              <w:rPr>
                <w:sz w:val="18"/>
                <w:szCs w:val="18"/>
                <w:color w:val="auto"/>
              </w:rPr>
            </w:pPr>
          </w:p>
        </w:tc>
        <w:tc>
          <w:tcPr>
            <w:tcW w:w="1100" w:type="dxa"/>
            <w:vAlign w:val="bottom"/>
            <w:shd w:val="clear" w:color="auto" w:fill="E5E5E5"/>
          </w:tcPr>
          <w:p>
            <w:pPr>
              <w:jc w:val="right"/>
              <w:ind w:right="234"/>
              <w:spacing w:after="0"/>
              <w:rPr>
                <w:sz w:val="20"/>
                <w:szCs w:val="20"/>
                <w:color w:val="auto"/>
              </w:rPr>
            </w:pPr>
            <w:r>
              <w:rPr>
                <w:rFonts w:ascii="Arial" w:cs="Arial" w:eastAsia="Arial" w:hAnsi="Arial"/>
                <w:sz w:val="18"/>
                <w:szCs w:val="18"/>
                <w:color w:val="auto"/>
              </w:rPr>
              <w:t>252</w:t>
            </w:r>
          </w:p>
        </w:tc>
        <w:tc>
          <w:tcPr>
            <w:tcW w:w="4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Corporate and Other</w:t>
            </w:r>
          </w:p>
        </w:tc>
        <w:tc>
          <w:tcPr>
            <w:tcW w:w="1160" w:type="dxa"/>
            <w:vAlign w:val="bottom"/>
          </w:tcPr>
          <w:p>
            <w:pPr>
              <w:spacing w:after="0"/>
              <w:rPr>
                <w:sz w:val="18"/>
                <w:szCs w:val="18"/>
                <w:color w:val="auto"/>
              </w:rPr>
            </w:pPr>
          </w:p>
        </w:tc>
        <w:tc>
          <w:tcPr>
            <w:tcW w:w="780" w:type="dxa"/>
            <w:vAlign w:val="bottom"/>
          </w:tcPr>
          <w:p>
            <w:pPr>
              <w:jc w:val="right"/>
              <w:ind w:right="232"/>
              <w:spacing w:after="0"/>
              <w:rPr>
                <w:sz w:val="20"/>
                <w:szCs w:val="20"/>
                <w:color w:val="auto"/>
              </w:rPr>
            </w:pPr>
            <w:r>
              <w:rPr>
                <w:rFonts w:ascii="Arial" w:cs="Arial" w:eastAsia="Arial" w:hAnsi="Arial"/>
                <w:sz w:val="18"/>
                <w:szCs w:val="18"/>
                <w:color w:val="auto"/>
              </w:rPr>
              <w:t>188</w:t>
            </w:r>
          </w:p>
        </w:tc>
        <w:tc>
          <w:tcPr>
            <w:tcW w:w="460" w:type="dxa"/>
            <w:vAlign w:val="bottom"/>
          </w:tcPr>
          <w:p>
            <w:pPr>
              <w:spacing w:after="0"/>
              <w:rPr>
                <w:sz w:val="18"/>
                <w:szCs w:val="18"/>
                <w:color w:val="auto"/>
              </w:rPr>
            </w:pPr>
          </w:p>
        </w:tc>
        <w:tc>
          <w:tcPr>
            <w:tcW w:w="1520" w:type="dxa"/>
            <w:vAlign w:val="bottom"/>
          </w:tcPr>
          <w:p>
            <w:pPr>
              <w:jc w:val="right"/>
              <w:ind w:right="196"/>
              <w:spacing w:after="0"/>
              <w:rPr>
                <w:sz w:val="20"/>
                <w:szCs w:val="20"/>
                <w:color w:val="auto"/>
              </w:rPr>
            </w:pPr>
            <w:r>
              <w:rPr>
                <w:rFonts w:ascii="Arial" w:cs="Arial" w:eastAsia="Arial" w:hAnsi="Arial"/>
                <w:sz w:val="18"/>
                <w:szCs w:val="18"/>
                <w:color w:val="auto"/>
              </w:rPr>
              <w:t>(141)</w:t>
            </w:r>
          </w:p>
        </w:tc>
        <w:tc>
          <w:tcPr>
            <w:tcW w:w="360" w:type="dxa"/>
            <w:vAlign w:val="bottom"/>
          </w:tcPr>
          <w:p>
            <w:pPr>
              <w:spacing w:after="0"/>
              <w:rPr>
                <w:sz w:val="18"/>
                <w:szCs w:val="18"/>
                <w:color w:val="auto"/>
              </w:rPr>
            </w:pPr>
          </w:p>
        </w:tc>
        <w:tc>
          <w:tcPr>
            <w:tcW w:w="1340" w:type="dxa"/>
            <w:vAlign w:val="bottom"/>
          </w:tcPr>
          <w:p>
            <w:pPr>
              <w:jc w:val="right"/>
              <w:ind w:right="414"/>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(157)</w:t>
            </w:r>
          </w:p>
        </w:tc>
        <w:tc>
          <w:tcPr>
            <w:tcW w:w="400" w:type="dxa"/>
            <w:vAlign w:val="bottom"/>
          </w:tcPr>
          <w:p>
            <w:pPr>
              <w:spacing w:after="0"/>
              <w:rPr>
                <w:sz w:val="18"/>
                <w:szCs w:val="18"/>
                <w:color w:val="auto"/>
              </w:rPr>
            </w:pPr>
          </w:p>
        </w:tc>
        <w:tc>
          <w:tcPr>
            <w:tcW w:w="68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Eliminations</w:t>
            </w:r>
            <w:r>
              <w:rPr>
                <w:rFonts w:ascii="Arial" w:cs="Arial" w:eastAsia="Arial" w:hAnsi="Arial"/>
                <w:sz w:val="11"/>
                <w:szCs w:val="11"/>
                <w:color w:val="auto"/>
              </w:rPr>
              <w:t>(e)</w:t>
            </w:r>
          </w:p>
        </w:tc>
        <w:tc>
          <w:tcPr>
            <w:tcW w:w="116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(287)</w:t>
            </w:r>
          </w:p>
        </w:tc>
        <w:tc>
          <w:tcPr>
            <w:tcW w:w="460" w:type="dxa"/>
            <w:vAlign w:val="bottom"/>
            <w:tcBorders>
              <w:bottom w:val="single" w:sz="8" w:color="auto"/>
            </w:tcBorders>
            <w:shd w:val="clear" w:color="auto" w:fill="E5E5E5"/>
          </w:tcPr>
          <w:p>
            <w:pPr>
              <w:spacing w:after="0"/>
              <w:rPr>
                <w:sz w:val="18"/>
                <w:szCs w:val="18"/>
                <w:color w:val="auto"/>
              </w:rPr>
            </w:pPr>
          </w:p>
        </w:tc>
        <w:tc>
          <w:tcPr>
            <w:tcW w:w="1520" w:type="dxa"/>
            <w:vAlign w:val="bottom"/>
            <w:tcBorders>
              <w:bottom w:val="single" w:sz="8" w:color="auto"/>
            </w:tcBorders>
            <w:shd w:val="clear" w:color="auto" w:fill="E5E5E5"/>
          </w:tcPr>
          <w:p>
            <w:pPr>
              <w:jc w:val="right"/>
              <w:ind w:right="256"/>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1340" w:type="dxa"/>
            <w:vAlign w:val="bottom"/>
            <w:tcBorders>
              <w:bottom w:val="single" w:sz="8" w:color="auto"/>
            </w:tcBorders>
            <w:shd w:val="clear" w:color="auto" w:fill="E5E5E5"/>
          </w:tcPr>
          <w:p>
            <w:pPr>
              <w:jc w:val="right"/>
              <w:ind w:right="354"/>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shd w:val="clear" w:color="auto" w:fill="E5E5E5"/>
          </w:tcPr>
          <w:p>
            <w:pPr>
              <w:spacing w:after="0"/>
              <w:rPr>
                <w:sz w:val="18"/>
                <w:szCs w:val="18"/>
                <w:color w:val="auto"/>
              </w:rPr>
            </w:pPr>
          </w:p>
        </w:tc>
        <w:tc>
          <w:tcPr>
            <w:tcW w:w="1100" w:type="dxa"/>
            <w:vAlign w:val="bottom"/>
            <w:tcBorders>
              <w:bottom w:val="single" w:sz="8" w:color="auto"/>
            </w:tcBorders>
            <w:shd w:val="clear" w:color="auto" w:fill="E5E5E5"/>
          </w:tcPr>
          <w:p>
            <w:pPr>
              <w:jc w:val="right"/>
              <w:ind w:right="234"/>
              <w:spacing w:after="0"/>
              <w:rPr>
                <w:sz w:val="20"/>
                <w:szCs w:val="20"/>
                <w:color w:val="auto"/>
              </w:rPr>
            </w:pPr>
            <w:r>
              <w:rPr>
                <w:rFonts w:ascii="Arial" w:cs="Arial" w:eastAsia="Arial" w:hAnsi="Arial"/>
                <w:sz w:val="18"/>
                <w:szCs w:val="18"/>
                <w:color w:val="auto"/>
              </w:rPr>
              <w:t>1</w:t>
            </w:r>
          </w:p>
        </w:tc>
        <w:tc>
          <w:tcPr>
            <w:tcW w:w="4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Comcast Consolidated</w:t>
            </w:r>
          </w:p>
        </w:tc>
        <w:tc>
          <w:tcPr>
            <w:tcW w:w="1940" w:type="dxa"/>
            <w:vAlign w:val="bottom"/>
            <w:tcBorders>
              <w:bottom w:val="single" w:sz="8" w:color="auto"/>
            </w:tcBorders>
            <w:gridSpan w:val="2"/>
          </w:tcPr>
          <w:p>
            <w:pPr>
              <w:jc w:val="right"/>
              <w:ind w:right="232"/>
              <w:spacing w:after="0"/>
              <w:rPr>
                <w:sz w:val="20"/>
                <w:szCs w:val="20"/>
                <w:color w:val="auto"/>
              </w:rPr>
            </w:pPr>
            <w:r>
              <w:rPr>
                <w:rFonts w:ascii="Arial" w:cs="Arial" w:eastAsia="Arial" w:hAnsi="Arial"/>
                <w:sz w:val="18"/>
                <w:szCs w:val="18"/>
                <w:color w:val="auto"/>
              </w:rPr>
              <w:t>$ 12,128</w:t>
            </w:r>
          </w:p>
        </w:tc>
        <w:tc>
          <w:tcPr>
            <w:tcW w:w="46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tcPr>
          <w:p>
            <w:pPr>
              <w:jc w:val="right"/>
              <w:ind w:right="256"/>
              <w:spacing w:after="0"/>
              <w:rPr>
                <w:sz w:val="20"/>
                <w:szCs w:val="20"/>
                <w:color w:val="auto"/>
              </w:rPr>
            </w:pPr>
            <w:r>
              <w:rPr>
                <w:rFonts w:ascii="Arial" w:cs="Arial" w:eastAsia="Arial" w:hAnsi="Arial"/>
                <w:sz w:val="18"/>
                <w:szCs w:val="18"/>
                <w:color w:val="auto"/>
              </w:rPr>
              <w:t>4,066</w:t>
            </w:r>
          </w:p>
        </w:tc>
        <w:tc>
          <w:tcPr>
            <w:tcW w:w="36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ind w:right="414"/>
              <w:spacing w:after="0"/>
              <w:rPr>
                <w:sz w:val="20"/>
                <w:szCs w:val="20"/>
                <w:color w:val="auto"/>
              </w:rPr>
            </w:pPr>
            <w:r>
              <w:rPr>
                <w:rFonts w:ascii="Arial" w:cs="Arial" w:eastAsia="Arial" w:hAnsi="Arial"/>
                <w:sz w:val="18"/>
                <w:szCs w:val="18"/>
                <w:color w:val="auto"/>
              </w:rPr>
              <w:t>1,842</w:t>
            </w:r>
          </w:p>
        </w:tc>
        <w:tc>
          <w:tcPr>
            <w:tcW w:w="28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234"/>
              <w:spacing w:after="0"/>
              <w:rPr>
                <w:sz w:val="20"/>
                <w:szCs w:val="20"/>
                <w:color w:val="auto"/>
              </w:rPr>
            </w:pPr>
            <w:r>
              <w:rPr>
                <w:rFonts w:ascii="Arial" w:cs="Arial" w:eastAsia="Arial" w:hAnsi="Arial"/>
                <w:sz w:val="18"/>
                <w:szCs w:val="18"/>
                <w:color w:val="auto"/>
              </w:rPr>
              <w:t>2,224</w:t>
            </w:r>
          </w:p>
        </w:tc>
        <w:tc>
          <w:tcPr>
            <w:tcW w:w="40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9"/>
        </w:numPr>
        <w:rPr>
          <w:rFonts w:ascii="Arial" w:cs="Arial" w:eastAsia="Arial" w:hAnsi="Arial"/>
          <w:sz w:val="14"/>
          <w:szCs w:val="14"/>
          <w:color w:val="auto"/>
        </w:rPr>
      </w:pPr>
      <w:r>
        <w:rPr>
          <w:rFonts w:ascii="Arial" w:cs="Arial" w:eastAsia="Arial" w:hAnsi="Arial"/>
          <w:sz w:val="14"/>
          <w:szCs w:val="14"/>
          <w:color w:val="auto"/>
        </w:rPr>
        <w:t>For the three months ended March 31, 2012 and 2011, Cable Communications segment revenue was derived from the following sources:</w:t>
      </w:r>
    </w:p>
    <w:p>
      <w:pPr>
        <w:spacing w:after="0" w:line="55" w:lineRule="exact"/>
        <w:rPr>
          <w:sz w:val="20"/>
          <w:szCs w:val="20"/>
          <w:color w:val="auto"/>
        </w:rPr>
      </w:pPr>
    </w:p>
    <w:p>
      <w:pPr>
        <w:jc w:val="center"/>
        <w:ind w:left="9200"/>
        <w:spacing w:after="0"/>
        <w:rPr>
          <w:sz w:val="20"/>
          <w:szCs w:val="20"/>
          <w:color w:val="auto"/>
        </w:rPr>
      </w:pPr>
      <w:r>
        <w:rPr>
          <w:rFonts w:ascii="Arial" w:cs="Arial" w:eastAsia="Arial" w:hAnsi="Arial"/>
          <w:sz w:val="14"/>
          <w:szCs w:val="14"/>
          <w:color w:val="auto"/>
        </w:rPr>
        <w:t>Three Months Ended</w:t>
      </w:r>
    </w:p>
    <w:p>
      <w:pPr>
        <w:jc w:val="center"/>
        <w:ind w:left="9200"/>
        <w:spacing w:after="0"/>
        <w:rPr>
          <w:sz w:val="20"/>
          <w:szCs w:val="20"/>
          <w:color w:val="auto"/>
        </w:rPr>
      </w:pPr>
      <w:r>
        <w:rPr>
          <w:rFonts w:ascii="Arial" w:cs="Arial" w:eastAsia="Arial" w:hAnsi="Arial"/>
          <w:sz w:val="14"/>
          <w:szCs w:val="14"/>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5356225</wp:posOffset>
            </wp:positionH>
            <wp:positionV relativeFrom="paragraph">
              <wp:posOffset>-8255</wp:posOffset>
            </wp:positionV>
            <wp:extent cx="189547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4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5200" w:type="dxa"/>
            <w:vAlign w:val="bottom"/>
            <w:tcBorders>
              <w:bottom w:val="single" w:sz="8" w:color="auto"/>
            </w:tcBorders>
          </w:tcPr>
          <w:p>
            <w:pPr>
              <w:spacing w:after="0"/>
              <w:rPr>
                <w:sz w:val="14"/>
                <w:szCs w:val="14"/>
                <w:color w:val="auto"/>
              </w:rPr>
            </w:pPr>
          </w:p>
        </w:tc>
        <w:tc>
          <w:tcPr>
            <w:tcW w:w="4880" w:type="dxa"/>
            <w:vAlign w:val="bottom"/>
            <w:tcBorders>
              <w:bottom w:val="single" w:sz="8" w:color="auto"/>
            </w:tcBorders>
          </w:tcPr>
          <w:p>
            <w:pPr>
              <w:jc w:val="right"/>
              <w:ind w:right="632"/>
              <w:spacing w:after="0"/>
              <w:rPr>
                <w:sz w:val="20"/>
                <w:szCs w:val="20"/>
                <w:color w:val="auto"/>
              </w:rPr>
            </w:pPr>
            <w:r>
              <w:rPr>
                <w:rFonts w:ascii="Arial" w:cs="Arial" w:eastAsia="Arial" w:hAnsi="Arial"/>
                <w:sz w:val="14"/>
                <w:szCs w:val="14"/>
                <w:color w:val="auto"/>
              </w:rPr>
              <w:t>2012</w:t>
            </w:r>
          </w:p>
        </w:tc>
        <w:tc>
          <w:tcPr>
            <w:tcW w:w="98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color w:val="auto"/>
              </w:rPr>
              <w:t>2011</w:t>
            </w:r>
          </w:p>
        </w:tc>
      </w:tr>
      <w:tr>
        <w:trPr>
          <w:trHeight w:val="142"/>
        </w:trPr>
        <w:tc>
          <w:tcPr>
            <w:tcW w:w="5200" w:type="dxa"/>
            <w:vAlign w:val="bottom"/>
            <w:shd w:val="clear" w:color="auto" w:fill="E5E5E5"/>
          </w:tcPr>
          <w:p>
            <w:pPr>
              <w:spacing w:after="0" w:line="142" w:lineRule="exact"/>
              <w:rPr>
                <w:sz w:val="20"/>
                <w:szCs w:val="20"/>
                <w:color w:val="auto"/>
              </w:rPr>
            </w:pPr>
            <w:r>
              <w:rPr>
                <w:rFonts w:ascii="Arial" w:cs="Arial" w:eastAsia="Arial" w:hAnsi="Arial"/>
                <w:sz w:val="14"/>
                <w:szCs w:val="14"/>
                <w:color w:val="auto"/>
              </w:rPr>
              <w:t>Residential:</w:t>
            </w:r>
          </w:p>
        </w:tc>
        <w:tc>
          <w:tcPr>
            <w:tcW w:w="4880" w:type="dxa"/>
            <w:vAlign w:val="bottom"/>
            <w:shd w:val="clear" w:color="auto" w:fill="E5E5E5"/>
          </w:tcPr>
          <w:p>
            <w:pPr>
              <w:spacing w:after="0"/>
              <w:rPr>
                <w:sz w:val="12"/>
                <w:szCs w:val="12"/>
                <w:color w:val="auto"/>
              </w:rPr>
            </w:pPr>
          </w:p>
        </w:tc>
        <w:tc>
          <w:tcPr>
            <w:tcW w:w="980" w:type="dxa"/>
            <w:vAlign w:val="bottom"/>
            <w:shd w:val="clear" w:color="auto" w:fill="E5E5E5"/>
          </w:tcPr>
          <w:p>
            <w:pPr>
              <w:spacing w:after="0"/>
              <w:rPr>
                <w:sz w:val="12"/>
                <w:szCs w:val="12"/>
                <w:color w:val="auto"/>
              </w:rPr>
            </w:pPr>
          </w:p>
        </w:tc>
      </w:tr>
      <w:tr>
        <w:trPr>
          <w:trHeight w:val="149"/>
        </w:trPr>
        <w:tc>
          <w:tcPr>
            <w:tcW w:w="5200" w:type="dxa"/>
            <w:vAlign w:val="bottom"/>
          </w:tcPr>
          <w:p>
            <w:pPr>
              <w:ind w:left="220"/>
              <w:spacing w:after="0" w:line="149" w:lineRule="exact"/>
              <w:rPr>
                <w:sz w:val="20"/>
                <w:szCs w:val="20"/>
                <w:color w:val="auto"/>
              </w:rPr>
            </w:pPr>
            <w:r>
              <w:rPr>
                <w:rFonts w:ascii="Arial" w:cs="Arial" w:eastAsia="Arial" w:hAnsi="Arial"/>
                <w:sz w:val="14"/>
                <w:szCs w:val="14"/>
                <w:color w:val="auto"/>
              </w:rPr>
              <w:t>Video</w:t>
            </w:r>
          </w:p>
        </w:tc>
        <w:tc>
          <w:tcPr>
            <w:tcW w:w="4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51.8%</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53.8%</w:t>
            </w:r>
          </w:p>
        </w:tc>
      </w:tr>
      <w:tr>
        <w:trPr>
          <w:trHeight w:val="149"/>
        </w:trPr>
        <w:tc>
          <w:tcPr>
            <w:tcW w:w="5200" w:type="dxa"/>
            <w:vAlign w:val="bottom"/>
            <w:shd w:val="clear" w:color="auto" w:fill="E5E5E5"/>
          </w:tcPr>
          <w:p>
            <w:pPr>
              <w:ind w:left="220"/>
              <w:spacing w:after="0" w:line="149" w:lineRule="exact"/>
              <w:rPr>
                <w:sz w:val="20"/>
                <w:szCs w:val="20"/>
                <w:color w:val="auto"/>
              </w:rPr>
            </w:pPr>
            <w:r>
              <w:rPr>
                <w:rFonts w:ascii="Arial" w:cs="Arial" w:eastAsia="Arial" w:hAnsi="Arial"/>
                <w:sz w:val="14"/>
                <w:szCs w:val="14"/>
                <w:color w:val="auto"/>
              </w:rPr>
              <w:t>High-speed Internet</w:t>
            </w:r>
          </w:p>
        </w:tc>
        <w:tc>
          <w:tcPr>
            <w:tcW w:w="4880" w:type="dxa"/>
            <w:vAlign w:val="bottom"/>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24.2%</w:t>
            </w: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23.2%</w:t>
            </w:r>
          </w:p>
        </w:tc>
      </w:tr>
      <w:tr>
        <w:trPr>
          <w:trHeight w:val="149"/>
        </w:trPr>
        <w:tc>
          <w:tcPr>
            <w:tcW w:w="5200" w:type="dxa"/>
            <w:vAlign w:val="bottom"/>
          </w:tcPr>
          <w:p>
            <w:pPr>
              <w:ind w:left="220"/>
              <w:spacing w:after="0" w:line="149" w:lineRule="exact"/>
              <w:rPr>
                <w:sz w:val="20"/>
                <w:szCs w:val="20"/>
                <w:color w:val="auto"/>
              </w:rPr>
            </w:pPr>
            <w:r>
              <w:rPr>
                <w:rFonts w:ascii="Arial" w:cs="Arial" w:eastAsia="Arial" w:hAnsi="Arial"/>
                <w:sz w:val="14"/>
                <w:szCs w:val="14"/>
                <w:color w:val="auto"/>
              </w:rPr>
              <w:t>Voice</w:t>
            </w:r>
          </w:p>
        </w:tc>
        <w:tc>
          <w:tcPr>
            <w:tcW w:w="4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9.1%</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49"/>
        </w:trPr>
        <w:tc>
          <w:tcPr>
            <w:tcW w:w="520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Business services</w:t>
            </w:r>
          </w:p>
        </w:tc>
        <w:tc>
          <w:tcPr>
            <w:tcW w:w="4880" w:type="dxa"/>
            <w:vAlign w:val="bottom"/>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5.6%</w:t>
            </w:r>
          </w:p>
        </w:tc>
        <w:tc>
          <w:tcPr>
            <w:tcW w:w="98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4.3%</w:t>
            </w:r>
          </w:p>
        </w:tc>
      </w:tr>
      <w:tr>
        <w:trPr>
          <w:trHeight w:val="149"/>
        </w:trPr>
        <w:tc>
          <w:tcPr>
            <w:tcW w:w="5200" w:type="dxa"/>
            <w:vAlign w:val="bottom"/>
          </w:tcPr>
          <w:p>
            <w:pPr>
              <w:spacing w:after="0" w:line="149" w:lineRule="exact"/>
              <w:rPr>
                <w:sz w:val="20"/>
                <w:szCs w:val="20"/>
                <w:color w:val="auto"/>
              </w:rPr>
            </w:pPr>
            <w:r>
              <w:rPr>
                <w:rFonts w:ascii="Arial" w:cs="Arial" w:eastAsia="Arial" w:hAnsi="Arial"/>
                <w:sz w:val="14"/>
                <w:szCs w:val="14"/>
                <w:color w:val="auto"/>
              </w:rPr>
              <w:t>Advertising</w:t>
            </w:r>
          </w:p>
        </w:tc>
        <w:tc>
          <w:tcPr>
            <w:tcW w:w="4880" w:type="dxa"/>
            <w:vAlign w:val="bottom"/>
          </w:tcPr>
          <w:p>
            <w:pPr>
              <w:jc w:val="right"/>
              <w:ind w:right="372"/>
              <w:spacing w:after="0" w:line="149" w:lineRule="exact"/>
              <w:rPr>
                <w:sz w:val="20"/>
                <w:szCs w:val="20"/>
                <w:color w:val="auto"/>
              </w:rPr>
            </w:pPr>
            <w:r>
              <w:rPr>
                <w:rFonts w:ascii="Arial" w:cs="Arial" w:eastAsia="Arial" w:hAnsi="Arial"/>
                <w:sz w:val="14"/>
                <w:szCs w:val="14"/>
                <w:color w:val="auto"/>
              </w:rPr>
              <w:t>5.0%</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w:t>
            </w:r>
          </w:p>
        </w:tc>
      </w:tr>
      <w:tr>
        <w:trPr>
          <w:trHeight w:val="149"/>
        </w:trPr>
        <w:tc>
          <w:tcPr>
            <w:tcW w:w="5200" w:type="dxa"/>
            <w:vAlign w:val="bottom"/>
            <w:tcBorders>
              <w:bottom w:val="single" w:sz="8" w:color="auto"/>
            </w:tcBorders>
            <w:shd w:val="clear" w:color="auto" w:fill="E5E5E5"/>
          </w:tcPr>
          <w:p>
            <w:pPr>
              <w:spacing w:after="0" w:line="149" w:lineRule="exact"/>
              <w:rPr>
                <w:sz w:val="20"/>
                <w:szCs w:val="20"/>
                <w:color w:val="auto"/>
              </w:rPr>
            </w:pPr>
            <w:r>
              <w:rPr>
                <w:rFonts w:ascii="Arial" w:cs="Arial" w:eastAsia="Arial" w:hAnsi="Arial"/>
                <w:sz w:val="14"/>
                <w:szCs w:val="14"/>
                <w:color w:val="auto"/>
              </w:rPr>
              <w:t>Other</w:t>
            </w:r>
          </w:p>
        </w:tc>
        <w:tc>
          <w:tcPr>
            <w:tcW w:w="4880" w:type="dxa"/>
            <w:vAlign w:val="bottom"/>
            <w:tcBorders>
              <w:bottom w:val="single" w:sz="8" w:color="auto"/>
            </w:tcBorders>
            <w:shd w:val="clear" w:color="auto" w:fill="E5E5E5"/>
          </w:tcPr>
          <w:p>
            <w:pPr>
              <w:jc w:val="right"/>
              <w:ind w:right="372"/>
              <w:spacing w:after="0" w:line="149" w:lineRule="exact"/>
              <w:rPr>
                <w:sz w:val="20"/>
                <w:szCs w:val="20"/>
                <w:color w:val="auto"/>
              </w:rPr>
            </w:pPr>
            <w:r>
              <w:rPr>
                <w:rFonts w:ascii="Arial" w:cs="Arial" w:eastAsia="Arial" w:hAnsi="Arial"/>
                <w:sz w:val="14"/>
                <w:szCs w:val="14"/>
                <w:color w:val="auto"/>
              </w:rPr>
              <w:t>4.3%</w:t>
            </w:r>
          </w:p>
        </w:tc>
        <w:tc>
          <w:tcPr>
            <w:tcW w:w="980" w:type="dxa"/>
            <w:vAlign w:val="bottom"/>
            <w:tcBorders>
              <w:bottom w:val="single" w:sz="8" w:color="auto"/>
            </w:tcBorders>
            <w:shd w:val="clear" w:color="auto" w:fill="E5E5E5"/>
          </w:tcPr>
          <w:p>
            <w:pPr>
              <w:jc w:val="right"/>
              <w:spacing w:after="0" w:line="149" w:lineRule="exact"/>
              <w:rPr>
                <w:sz w:val="20"/>
                <w:szCs w:val="20"/>
                <w:color w:val="auto"/>
              </w:rPr>
            </w:pPr>
            <w:r>
              <w:rPr>
                <w:rFonts w:ascii="Arial" w:cs="Arial" w:eastAsia="Arial" w:hAnsi="Arial"/>
                <w:sz w:val="14"/>
                <w:szCs w:val="14"/>
                <w:color w:val="auto"/>
              </w:rPr>
              <w:t>4.2%</w:t>
            </w:r>
          </w:p>
        </w:tc>
      </w:tr>
      <w:tr>
        <w:trPr>
          <w:trHeight w:val="149"/>
        </w:trPr>
        <w:tc>
          <w:tcPr>
            <w:tcW w:w="52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color w:val="auto"/>
              </w:rPr>
              <w:t>Total</w:t>
            </w:r>
          </w:p>
        </w:tc>
        <w:tc>
          <w:tcPr>
            <w:tcW w:w="488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color w:val="auto"/>
              </w:rPr>
              <w:t>100%</w:t>
            </w: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w:t>
            </w:r>
          </w:p>
        </w:tc>
      </w:tr>
    </w:tbl>
    <w:p>
      <w:pPr>
        <w:spacing w:after="0" w:line="57" w:lineRule="exact"/>
        <w:rPr>
          <w:sz w:val="20"/>
          <w:szCs w:val="20"/>
          <w:color w:val="auto"/>
        </w:rPr>
      </w:pPr>
    </w:p>
    <w:p>
      <w:pPr>
        <w:ind w:left="360"/>
        <w:spacing w:after="0"/>
        <w:rPr>
          <w:sz w:val="20"/>
          <w:szCs w:val="20"/>
          <w:color w:val="auto"/>
        </w:rPr>
      </w:pPr>
      <w:r>
        <w:rPr>
          <w:rFonts w:ascii="Arial" w:cs="Arial" w:eastAsia="Arial" w:hAnsi="Arial"/>
          <w:sz w:val="12"/>
          <w:szCs w:val="12"/>
          <w:color w:val="auto"/>
        </w:rPr>
        <w:t>Subscription revenue received from customers who purchase bundled services at a discounted rate is allocated proportionally to each service based on the individual service’s price on a stand-alone basis.</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For both the three months ended March 31, 2012 and 2011, 2.8% of Cable Communications revenue was derived from franchise and other regulatory fees.</w:t>
      </w:r>
    </w:p>
    <w:p>
      <w:pPr>
        <w:spacing w:after="0" w:line="44" w:lineRule="exact"/>
        <w:rPr>
          <w:sz w:val="20"/>
          <w:szCs w:val="20"/>
          <w:color w:val="auto"/>
        </w:rPr>
      </w:pPr>
    </w:p>
    <w:p>
      <w:pPr>
        <w:ind w:left="340" w:right="20" w:hanging="332"/>
        <w:spacing w:after="0" w:line="239" w:lineRule="auto"/>
        <w:tabs>
          <w:tab w:leader="none" w:pos="340" w:val="left"/>
        </w:tabs>
        <w:numPr>
          <w:ilvl w:val="0"/>
          <w:numId w:val="10"/>
        </w:numPr>
        <w:rPr>
          <w:rFonts w:ascii="Arial" w:cs="Arial" w:eastAsia="Arial" w:hAnsi="Arial"/>
          <w:sz w:val="14"/>
          <w:szCs w:val="14"/>
          <w:color w:val="auto"/>
        </w:rPr>
      </w:pPr>
      <w:r>
        <w:rPr>
          <w:rFonts w:ascii="Arial" w:cs="Arial" w:eastAsia="Arial" w:hAnsi="Arial"/>
          <w:sz w:val="14"/>
          <w:szCs w:val="14"/>
          <w:color w:val="auto"/>
        </w:rPr>
        <w:t>For the three months ended March 31, 2011, our Cable Networks segment included the results of operations of the businesses we contributed to NBCUniversal, as well as the results of operations of the NBCUniversal contributed cable networks for the period January 29, 2011 through March 31, 2011.</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39" w:lineRule="auto"/>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For the three months ended March 31, 2011, our Theme Parks segment included the results of operations for Universal Orlando for the period January 29, 2011 through March 31, 2011 to reflect our measure of operating performance for our Theme Parks segment.</w:t>
      </w:r>
    </w:p>
    <w:p>
      <w:pPr>
        <w:spacing w:after="0" w:line="43"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NBCUniversal Headquarters and Other activities included costs and expenses associated with overhead, employee benefits and headquarter initiatives.</w:t>
      </w:r>
    </w:p>
    <w:p>
      <w:pPr>
        <w:spacing w:after="0" w:line="55" w:lineRule="exact"/>
        <w:rPr>
          <w:rFonts w:ascii="Arial" w:cs="Arial" w:eastAsia="Arial" w:hAnsi="Arial"/>
          <w:sz w:val="14"/>
          <w:szCs w:val="14"/>
          <w:color w:val="auto"/>
        </w:rPr>
      </w:pPr>
    </w:p>
    <w:p>
      <w:pPr>
        <w:ind w:left="340" w:hanging="332"/>
        <w:spacing w:after="0" w:line="344"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NBCUniversal eliminations for the three months ended March 31, 2011 included the elimination of the results of operations for Universal Orlando for the period January 29, 2011 through March 31, 2011. These results were not included in our consolidated results of operations for the period January 29, 2011 through March 31, 2011 because we recorded Universal Orlando as an equity method investment. Also included in Eliminations are transactions that our segments enter into with one another. The most common types of transactions are the following:</w:t>
      </w:r>
    </w:p>
    <w:p>
      <w:pPr>
        <w:ind w:left="1020" w:right="1260" w:hanging="215"/>
        <w:spacing w:after="0" w:line="239"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Networks and Broadcast Television segments generate revenue by selling programming to our Cable Communications segment, which represents a substantial majority of the revenue elimination amount</w:t>
      </w:r>
    </w:p>
    <w:p>
      <w:pPr>
        <w:spacing w:after="0" w:line="57" w:lineRule="exact"/>
        <w:rPr>
          <w:rFonts w:ascii="Arial" w:cs="Arial" w:eastAsia="Arial" w:hAnsi="Arial"/>
          <w:sz w:val="14"/>
          <w:szCs w:val="14"/>
          <w:color w:val="auto"/>
        </w:rPr>
      </w:pPr>
    </w:p>
    <w:p>
      <w:pPr>
        <w:ind w:left="1020" w:right="1240" w:hanging="215"/>
        <w:spacing w:after="0" w:line="239" w:lineRule="auto"/>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Communications segment receives incentives offered by our Cable Networks segment in connection with its distribution of the Cable Networks’ content, which are recorded as a reduction to programming expenses</w:t>
      </w:r>
    </w:p>
    <w:p>
      <w:pPr>
        <w:spacing w:after="0" w:line="57" w:lineRule="exact"/>
        <w:rPr>
          <w:rFonts w:ascii="Arial" w:cs="Arial" w:eastAsia="Arial" w:hAnsi="Arial"/>
          <w:sz w:val="14"/>
          <w:szCs w:val="14"/>
          <w:color w:val="auto"/>
        </w:rPr>
      </w:pPr>
    </w:p>
    <w:p>
      <w:pPr>
        <w:ind w:left="1020" w:hanging="215"/>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Cable Communications segment generates revenue by selling advertising and by selling the use of satellite feeds to our Cable Networks segment</w:t>
      </w:r>
    </w:p>
    <w:p>
      <w:pPr>
        <w:spacing w:after="0" w:line="68" w:lineRule="exact"/>
        <w:rPr>
          <w:rFonts w:ascii="Arial" w:cs="Arial" w:eastAsia="Arial" w:hAnsi="Arial"/>
          <w:sz w:val="14"/>
          <w:szCs w:val="14"/>
          <w:color w:val="auto"/>
        </w:rPr>
      </w:pPr>
    </w:p>
    <w:p>
      <w:pPr>
        <w:ind w:left="1020" w:hanging="215"/>
        <w:spacing w:after="0"/>
        <w:tabs>
          <w:tab w:leader="none" w:pos="1020" w:val="left"/>
        </w:tabs>
        <w:numPr>
          <w:ilvl w:val="1"/>
          <w:numId w:val="11"/>
        </w:numPr>
        <w:rPr>
          <w:rFonts w:ascii="Arial" w:cs="Arial" w:eastAsia="Arial" w:hAnsi="Arial"/>
          <w:sz w:val="14"/>
          <w:szCs w:val="14"/>
          <w:color w:val="auto"/>
        </w:rPr>
      </w:pPr>
      <w:r>
        <w:rPr>
          <w:rFonts w:ascii="Arial" w:cs="Arial" w:eastAsia="Arial" w:hAnsi="Arial"/>
          <w:sz w:val="14"/>
          <w:szCs w:val="14"/>
          <w:color w:val="auto"/>
        </w:rPr>
        <w:t>our Filmed Entertainment and Broadcast Television segments generate revenue by licensing content to our Cable Networks segment</w:t>
      </w:r>
    </w:p>
    <w:p>
      <w:pPr>
        <w:spacing w:after="0" w:line="55" w:lineRule="exact"/>
        <w:rPr>
          <w:rFonts w:ascii="Arial" w:cs="Arial" w:eastAsia="Arial" w:hAnsi="Arial"/>
          <w:sz w:val="14"/>
          <w:szCs w:val="14"/>
          <w:color w:val="auto"/>
        </w:rPr>
      </w:pPr>
    </w:p>
    <w:p>
      <w:pPr>
        <w:ind w:left="340" w:hanging="332"/>
        <w:spacing w:after="0"/>
        <w:tabs>
          <w:tab w:leader="none" w:pos="3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single customer accounted for a significant amount of our revenue in any period.</w:t>
      </w:r>
    </w:p>
    <w:p>
      <w:pPr>
        <w:spacing w:after="0" w:line="55" w:lineRule="exact"/>
        <w:rPr>
          <w:rFonts w:ascii="Arial" w:cs="Arial" w:eastAsia="Arial" w:hAnsi="Arial"/>
          <w:sz w:val="14"/>
          <w:szCs w:val="14"/>
          <w:color w:val="auto"/>
        </w:rPr>
      </w:pPr>
    </w:p>
    <w:p>
      <w:pPr>
        <w:jc w:val="both"/>
        <w:ind w:left="340" w:hanging="332"/>
        <w:spacing w:after="0" w:line="268" w:lineRule="auto"/>
        <w:tabs>
          <w:tab w:leader="none" w:pos="340" w:val="left"/>
        </w:tabs>
        <w:numPr>
          <w:ilvl w:val="0"/>
          <w:numId w:val="11"/>
        </w:numPr>
        <w:rPr>
          <w:rFonts w:ascii="Arial" w:cs="Arial" w:eastAsia="Arial" w:hAnsi="Arial"/>
          <w:sz w:val="12"/>
          <w:szCs w:val="12"/>
          <w:color w:val="auto"/>
        </w:rPr>
      </w:pPr>
      <w:r>
        <w:rPr>
          <w:rFonts w:ascii="Arial" w:cs="Arial" w:eastAsia="Arial" w:hAnsi="Arial"/>
          <w:sz w:val="12"/>
          <w:szCs w:val="12"/>
          <w:color w:val="auto"/>
        </w:rPr>
        <w:t>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Note 16: Condensed Consolidating Financial Information</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Comcast Corporation and four of our 100% owned cable holding company subsidiaries, Comcast Cable Communications, LLC (“CCCL Parent”), Comcast MO Group, Inc. (“Comcast MO Group”), Comcast Cable Holdings, LLC (“CCH”) and Comcast MO of Delaware, LLC (“Comcast MO of Delaware”), have fully and unconditionally guaranteed each other’s debt securities. Comcast MO Group, CCH and Comcast MO of Delaware are collectively referred to as the “Combined CCHMO Parents.”</w:t>
      </w:r>
    </w:p>
    <w:p>
      <w:pPr>
        <w:spacing w:after="0" w:line="49"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 xml:space="preserve">Comcast Corporation provides an unconditional subordinated guarantee of the $185 million principal amount currently outstanding of Comcast Holdings’ ZONES due October 2029 and the $202 million principal amount currently outstanding of Comcast Holdings’ 10 </w:t>
      </w:r>
      <w:r>
        <w:rPr>
          <w:rFonts w:ascii="Arial" w:cs="Arial" w:eastAsia="Arial" w:hAnsi="Arial"/>
          <w:sz w:val="10"/>
          <w:szCs w:val="10"/>
          <w:color w:val="auto"/>
        </w:rPr>
        <w:t>5</w:t>
      </w:r>
      <w:r>
        <w:rPr>
          <w:rFonts w:ascii="Arial" w:cs="Arial" w:eastAsia="Arial" w:hAnsi="Arial"/>
          <w:sz w:val="16"/>
          <w:szCs w:val="16"/>
          <w:color w:val="auto"/>
        </w:rPr>
        <w:t>/</w:t>
      </w:r>
      <w:r>
        <w:rPr>
          <w:rFonts w:ascii="Arial" w:cs="Arial" w:eastAsia="Arial" w:hAnsi="Arial"/>
          <w:sz w:val="20"/>
          <w:szCs w:val="20"/>
          <w:color w:val="auto"/>
          <w:vertAlign w:val="subscript"/>
        </w:rPr>
        <w:t>8</w:t>
      </w:r>
      <w:r>
        <w:rPr>
          <w:rFonts w:ascii="Arial" w:cs="Arial" w:eastAsia="Arial" w:hAnsi="Arial"/>
          <w:sz w:val="16"/>
          <w:szCs w:val="16"/>
          <w:color w:val="auto"/>
        </w:rPr>
        <w:t>% senior subordinated debentures due 2012. Comcast Corporation does not guarantee the $62 million principal amount currently outstanding of Comcast Holdings’ ZONES due November 2029.</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8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20" w:type="dxa"/>
            <w:vAlign w:val="bottom"/>
          </w:tcPr>
          <w:p>
            <w:pPr>
              <w:jc w:val="right"/>
              <w:ind w:right="253"/>
              <w:spacing w:after="0" w:line="149" w:lineRule="exact"/>
              <w:rPr>
                <w:sz w:val="20"/>
                <w:szCs w:val="20"/>
                <w:color w:val="auto"/>
              </w:rPr>
            </w:pPr>
            <w:r>
              <w:rPr>
                <w:rFonts w:ascii="Arial" w:cs="Arial" w:eastAsia="Arial" w:hAnsi="Arial"/>
                <w:sz w:val="14"/>
                <w:szCs w:val="14"/>
                <w:color w:val="auto"/>
              </w:rPr>
              <w:t>Non-</w:t>
            </w:r>
          </w:p>
        </w:tc>
        <w:tc>
          <w:tcPr>
            <w:tcW w:w="260" w:type="dxa"/>
            <w:vAlign w:val="bottom"/>
          </w:tcPr>
          <w:p>
            <w:pPr>
              <w:spacing w:after="0"/>
              <w:rPr>
                <w:sz w:val="12"/>
                <w:szCs w:val="12"/>
                <w:color w:val="auto"/>
              </w:rPr>
            </w:pPr>
          </w:p>
        </w:tc>
        <w:tc>
          <w:tcPr>
            <w:tcW w:w="840" w:type="dxa"/>
            <w:vAlign w:val="bottom"/>
          </w:tcPr>
          <w:p>
            <w:pPr>
              <w:jc w:val="center"/>
              <w:ind w:right="193"/>
              <w:spacing w:after="0" w:line="149" w:lineRule="exact"/>
              <w:rPr>
                <w:sz w:val="20"/>
                <w:szCs w:val="20"/>
                <w:color w:val="auto"/>
              </w:rPr>
            </w:pPr>
            <w:r>
              <w:rPr>
                <w:rFonts w:ascii="Arial" w:cs="Arial" w:eastAsia="Arial" w:hAnsi="Arial"/>
                <w:sz w:val="14"/>
                <w:szCs w:val="14"/>
                <w:color w:val="auto"/>
                <w:w w:val="85"/>
              </w:rPr>
              <w:t>and</w:t>
            </w:r>
          </w:p>
        </w:tc>
        <w:tc>
          <w:tcPr>
            <w:tcW w:w="940" w:type="dxa"/>
            <w:vAlign w:val="bottom"/>
            <w:gridSpan w:val="2"/>
          </w:tcPr>
          <w:p>
            <w:pPr>
              <w:ind w:left="140"/>
              <w:spacing w:after="0" w:line="149" w:lineRule="exact"/>
              <w:rPr>
                <w:sz w:val="20"/>
                <w:szCs w:val="20"/>
                <w:color w:val="auto"/>
              </w:rPr>
            </w:pPr>
            <w:r>
              <w:rPr>
                <w:rFonts w:ascii="Arial" w:cs="Arial" w:eastAsia="Arial" w:hAnsi="Arial"/>
                <w:sz w:val="14"/>
                <w:szCs w:val="14"/>
                <w:color w:val="auto"/>
                <w:w w:val="95"/>
              </w:rPr>
              <w:t>Consolidated</w:t>
            </w:r>
          </w:p>
        </w:tc>
      </w:tr>
      <w:tr>
        <w:trPr>
          <w:trHeight w:val="149"/>
        </w:trPr>
        <w:tc>
          <w:tcPr>
            <w:tcW w:w="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94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Comcast</w:t>
            </w:r>
          </w:p>
        </w:tc>
        <w:tc>
          <w:tcPr>
            <w:tcW w:w="1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88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6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98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0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3"/>
              </w:rPr>
              <w:t>Comcast</w:t>
            </w:r>
          </w:p>
        </w:tc>
      </w:tr>
      <w:tr>
        <w:trPr>
          <w:trHeight w:val="173"/>
        </w:trPr>
        <w:tc>
          <w:tcPr>
            <w:tcW w:w="494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220" w:type="dxa"/>
            <w:vAlign w:val="bottom"/>
          </w:tcPr>
          <w:p>
            <w:pPr>
              <w:spacing w:after="0"/>
              <w:rPr>
                <w:sz w:val="15"/>
                <w:szCs w:val="15"/>
                <w:color w:val="auto"/>
              </w:rPr>
            </w:pPr>
          </w:p>
        </w:tc>
        <w:tc>
          <w:tcPr>
            <w:tcW w:w="720" w:type="dxa"/>
            <w:vAlign w:val="bottom"/>
          </w:tcPr>
          <w:p>
            <w:pPr>
              <w:jc w:val="right"/>
              <w:ind w:right="253"/>
              <w:spacing w:after="0"/>
              <w:rPr>
                <w:sz w:val="20"/>
                <w:szCs w:val="20"/>
                <w:color w:val="auto"/>
              </w:rPr>
            </w:pPr>
            <w:r>
              <w:rPr>
                <w:rFonts w:ascii="Arial" w:cs="Arial" w:eastAsia="Arial" w:hAnsi="Arial"/>
                <w:sz w:val="14"/>
                <w:szCs w:val="14"/>
                <w:color w:val="auto"/>
                <w:w w:val="87"/>
              </w:rPr>
              <w:t>Parent</w:t>
            </w:r>
          </w:p>
        </w:tc>
        <w:tc>
          <w:tcPr>
            <w:tcW w:w="1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40" w:type="dxa"/>
            <w:vAlign w:val="bottom"/>
          </w:tcPr>
          <w:p>
            <w:pPr>
              <w:jc w:val="right"/>
              <w:ind w:right="153"/>
              <w:spacing w:after="0"/>
              <w:rPr>
                <w:sz w:val="20"/>
                <w:szCs w:val="20"/>
                <w:color w:val="auto"/>
              </w:rPr>
            </w:pPr>
            <w:r>
              <w:rPr>
                <w:rFonts w:ascii="Arial" w:cs="Arial" w:eastAsia="Arial" w:hAnsi="Arial"/>
                <w:sz w:val="14"/>
                <w:szCs w:val="14"/>
                <w:color w:val="auto"/>
                <w:w w:val="78"/>
              </w:rPr>
              <w:t>Parents</w:t>
            </w:r>
          </w:p>
        </w:tc>
        <w:tc>
          <w:tcPr>
            <w:tcW w:w="860" w:type="dxa"/>
            <w:vAlign w:val="bottom"/>
            <w:gridSpan w:val="2"/>
          </w:tcPr>
          <w:p>
            <w:pPr>
              <w:jc w:val="right"/>
              <w:ind w:right="92"/>
              <w:spacing w:after="0"/>
              <w:rPr>
                <w:sz w:val="20"/>
                <w:szCs w:val="20"/>
                <w:color w:val="auto"/>
              </w:rPr>
            </w:pPr>
            <w:r>
              <w:rPr>
                <w:rFonts w:ascii="Arial" w:cs="Arial" w:eastAsia="Arial" w:hAnsi="Arial"/>
                <w:sz w:val="14"/>
                <w:szCs w:val="14"/>
                <w:color w:val="auto"/>
              </w:rPr>
              <w:t>Holdings</w:t>
            </w:r>
          </w:p>
        </w:tc>
        <w:tc>
          <w:tcPr>
            <w:tcW w:w="980" w:type="dxa"/>
            <w:vAlign w:val="bottom"/>
            <w:gridSpan w:val="2"/>
          </w:tcPr>
          <w:p>
            <w:pPr>
              <w:ind w:left="160"/>
              <w:spacing w:after="0"/>
              <w:rPr>
                <w:sz w:val="20"/>
                <w:szCs w:val="20"/>
                <w:color w:val="auto"/>
              </w:rPr>
            </w:pPr>
            <w:r>
              <w:rPr>
                <w:rFonts w:ascii="Arial" w:cs="Arial" w:eastAsia="Arial" w:hAnsi="Arial"/>
                <w:sz w:val="14"/>
                <w:szCs w:val="14"/>
                <w:color w:val="auto"/>
              </w:rPr>
              <w:t>Subsidiaries</w:t>
            </w: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40" w:type="dxa"/>
            <w:vAlign w:val="bottom"/>
            <w:gridSpan w:val="2"/>
          </w:tcPr>
          <w:p>
            <w:pPr>
              <w:jc w:val="right"/>
              <w:ind w:right="3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8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0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2,207</w:t>
            </w:r>
          </w:p>
        </w:tc>
        <w:tc>
          <w:tcPr>
            <w:tcW w:w="260" w:type="dxa"/>
            <w:vAlign w:val="bottom"/>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2,207</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4,379</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4,379</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1,011</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169</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rPr>
              <w:t>20</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1,568</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1,758</w:t>
            </w: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9,165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9,355</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5,112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5,112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Investments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10,149</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10,149</w:t>
            </w:r>
          </w:p>
        </w:tc>
      </w:tr>
      <w:tr>
        <w:trPr>
          <w:trHeight w:val="208"/>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w w:val="91"/>
              </w:rPr>
              <w:t>Investments in and amounts due from subsidiaries eliminated upon</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consolidation</w:t>
            </w:r>
          </w:p>
        </w:tc>
        <w:tc>
          <w:tcPr>
            <w:tcW w:w="22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71,062</w:t>
            </w:r>
          </w:p>
        </w:tc>
        <w:tc>
          <w:tcPr>
            <w:tcW w:w="1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94,024</w:t>
            </w: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47,950</w:t>
            </w:r>
          </w:p>
        </w:tc>
        <w:tc>
          <w:tcPr>
            <w:tcW w:w="24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85,926</w:t>
            </w:r>
          </w:p>
        </w:tc>
        <w:tc>
          <w:tcPr>
            <w:tcW w:w="2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40,567</w:t>
            </w:r>
          </w:p>
        </w:tc>
        <w:tc>
          <w:tcPr>
            <w:tcW w:w="26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(339,529)</w:t>
            </w:r>
          </w:p>
        </w:tc>
        <w:tc>
          <w:tcPr>
            <w:tcW w:w="24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255</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26,707</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26,962</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59,364</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59,364</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26,803</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26,803</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9</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17,992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18,001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882</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1,818</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(660)</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2,203</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w w:val="87"/>
              </w:rPr>
              <w:t>72,377</w:t>
            </w:r>
          </w:p>
        </w:tc>
        <w:tc>
          <w:tcPr>
            <w:tcW w:w="1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b w:val="1"/>
                <w:bCs w:val="1"/>
                <w:color w:val="auto"/>
                <w:w w:val="87"/>
              </w:rPr>
              <w:t>94,054</w:t>
            </w:r>
          </w:p>
        </w:tc>
        <w:tc>
          <w:tcPr>
            <w:tcW w:w="24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3"/>
              </w:rPr>
              <w:t>47,956</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3"/>
              </w:rPr>
              <w:t>86,074</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6"/>
              </w:rPr>
              <w:t>197,677</w:t>
            </w:r>
          </w:p>
        </w:tc>
        <w:tc>
          <w:tcPr>
            <w:tcW w:w="260" w:type="dxa"/>
            <w:vAlign w:val="bottom"/>
            <w:tcBorders>
              <w:bottom w:val="single" w:sz="8" w:color="auto"/>
            </w:tcBorders>
            <w:shd w:val="clear" w:color="auto" w:fill="E5E5E5"/>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b w:val="1"/>
                <w:bCs w:val="1"/>
                <w:color w:val="auto"/>
                <w:w w:val="90"/>
              </w:rPr>
              <w:t>(340,189)</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89"/>
              </w:rPr>
              <w:t>157,949</w:t>
            </w:r>
          </w:p>
        </w:tc>
      </w:tr>
      <w:tr>
        <w:trPr>
          <w:trHeight w:val="310"/>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17"/>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w w:val="88"/>
              </w:rPr>
              <w:t>Accounts payable and accrued expenses related to trade creditors</w:t>
            </w:r>
          </w:p>
        </w:tc>
        <w:tc>
          <w:tcPr>
            <w:tcW w:w="2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w:t>
            </w:r>
          </w:p>
        </w:tc>
        <w:tc>
          <w:tcPr>
            <w:tcW w:w="1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4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5,752</w:t>
            </w:r>
          </w:p>
        </w:tc>
        <w:tc>
          <w:tcPr>
            <w:tcW w:w="260" w:type="dxa"/>
            <w:vAlign w:val="bottom"/>
            <w:shd w:val="clear" w:color="auto" w:fill="E5E5E5"/>
          </w:tcPr>
          <w:p>
            <w:pPr>
              <w:ind w:left="14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5,763</w:t>
            </w:r>
          </w:p>
        </w:tc>
      </w:tr>
      <w:tr>
        <w:trPr>
          <w:trHeight w:val="216"/>
        </w:trPr>
        <w:tc>
          <w:tcPr>
            <w:tcW w:w="20" w:type="dxa"/>
            <w:vAlign w:val="bottom"/>
          </w:tcPr>
          <w:p>
            <w:pPr>
              <w:spacing w:after="0"/>
              <w:rPr>
                <w:sz w:val="18"/>
                <w:szCs w:val="18"/>
                <w:color w:val="auto"/>
              </w:rPr>
            </w:pPr>
          </w:p>
        </w:tc>
        <w:tc>
          <w:tcPr>
            <w:tcW w:w="492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1,394</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1,394</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1,132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287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267</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4,060</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5,770</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589</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1,733</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181</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2,705</w:t>
            </w: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1,732</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24</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469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11,387</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15,632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w w:val="87"/>
              </w:rPr>
              <w:t>21,345</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2,216</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1,762</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112</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9,645</w:t>
            </w:r>
          </w:p>
        </w:tc>
        <w:tc>
          <w:tcPr>
            <w:tcW w:w="260" w:type="dxa"/>
            <w:vAlign w:val="bottom"/>
          </w:tcPr>
          <w:p>
            <w:pPr>
              <w:spacing w:after="0"/>
              <w:rPr>
                <w:sz w:val="18"/>
                <w:szCs w:val="18"/>
                <w:color w:val="auto"/>
              </w:rPr>
            </w:pPr>
          </w:p>
        </w:tc>
        <w:tc>
          <w:tcPr>
            <w:tcW w:w="84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35,080</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734</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29,595</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rPr>
              <w:t>(517)</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29,812</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720" w:type="dxa"/>
            <w:vAlign w:val="bottom"/>
          </w:tcPr>
          <w:p>
            <w:pPr>
              <w:jc w:val="right"/>
              <w:ind w:right="133"/>
              <w:spacing w:after="0"/>
              <w:rPr>
                <w:sz w:val="20"/>
                <w:szCs w:val="20"/>
                <w:color w:val="auto"/>
              </w:rPr>
            </w:pPr>
            <w:r>
              <w:rPr>
                <w:rFonts w:ascii="Arial" w:cs="Arial" w:eastAsia="Arial" w:hAnsi="Arial"/>
                <w:sz w:val="18"/>
                <w:szCs w:val="18"/>
                <w:color w:val="auto"/>
              </w:rPr>
              <w:t>1,824</w:t>
            </w:r>
          </w:p>
        </w:tc>
        <w:tc>
          <w:tcPr>
            <w:tcW w:w="140" w:type="dxa"/>
            <w:vAlign w:val="bottom"/>
          </w:tcPr>
          <w:p>
            <w:pPr>
              <w:spacing w:after="0"/>
              <w:rPr>
                <w:sz w:val="18"/>
                <w:szCs w:val="18"/>
                <w:color w:val="auto"/>
              </w:rPr>
            </w:pPr>
          </w:p>
        </w:tc>
        <w:tc>
          <w:tcPr>
            <w:tcW w:w="6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20" w:type="dxa"/>
            <w:vAlign w:val="bottom"/>
          </w:tcPr>
          <w:p>
            <w:pPr>
              <w:jc w:val="right"/>
              <w:ind w:right="53"/>
              <w:spacing w:after="0"/>
              <w:rPr>
                <w:sz w:val="20"/>
                <w:szCs w:val="20"/>
                <w:color w:val="auto"/>
              </w:rPr>
            </w:pPr>
            <w:r>
              <w:rPr>
                <w:rFonts w:ascii="Arial" w:cs="Arial" w:eastAsia="Arial" w:hAnsi="Arial"/>
                <w:sz w:val="18"/>
                <w:szCs w:val="18"/>
                <w:color w:val="auto"/>
              </w:rPr>
              <w:t>11,765</w:t>
            </w:r>
          </w:p>
        </w:tc>
        <w:tc>
          <w:tcPr>
            <w:tcW w:w="260" w:type="dxa"/>
            <w:vAlign w:val="bottom"/>
          </w:tcPr>
          <w:p>
            <w:pPr>
              <w:spacing w:after="0"/>
              <w:rPr>
                <w:sz w:val="18"/>
                <w:szCs w:val="18"/>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13,446</w:t>
            </w: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16,158</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16,158</w:t>
            </w: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31</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31</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47,445</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w w:val="87"/>
              </w:rPr>
              <w:t>89,818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3"/>
              </w:rPr>
              <w:t>46,170</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3"/>
              </w:rPr>
              <w:t>84,759</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6"/>
              </w:rPr>
              <w:t>118,782</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w w:val="90"/>
              </w:rPr>
              <w:t>(339,529)</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47,445</w:t>
            </w:r>
          </w:p>
        </w:tc>
      </w:tr>
      <w:tr>
        <w:trPr>
          <w:trHeight w:val="210"/>
        </w:trPr>
        <w:tc>
          <w:tcPr>
            <w:tcW w:w="20" w:type="dxa"/>
            <w:vAlign w:val="bottom"/>
          </w:tcPr>
          <w:p>
            <w:pPr>
              <w:spacing w:after="0"/>
              <w:rPr>
                <w:sz w:val="18"/>
                <w:szCs w:val="18"/>
                <w:color w:val="auto"/>
              </w:rPr>
            </w:pPr>
          </w:p>
        </w:tc>
        <w:tc>
          <w:tcPr>
            <w:tcW w:w="492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2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87"/>
              </w:rPr>
              <w:t>47,476</w:t>
            </w:r>
          </w:p>
        </w:tc>
        <w:tc>
          <w:tcPr>
            <w:tcW w:w="1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4"/>
              <w:spacing w:after="0"/>
              <w:rPr>
                <w:sz w:val="20"/>
                <w:szCs w:val="20"/>
                <w:color w:val="auto"/>
              </w:rPr>
            </w:pPr>
            <w:r>
              <w:rPr>
                <w:rFonts w:ascii="Arial" w:cs="Arial" w:eastAsia="Arial" w:hAnsi="Arial"/>
                <w:sz w:val="18"/>
                <w:szCs w:val="18"/>
                <w:color w:val="auto"/>
                <w:w w:val="87"/>
              </w:rPr>
              <w:t>89,818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3"/>
              </w:rPr>
              <w:t>46,170</w:t>
            </w:r>
          </w:p>
        </w:tc>
        <w:tc>
          <w:tcPr>
            <w:tcW w:w="24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3"/>
              </w:rPr>
              <w:t>84,759</w:t>
            </w:r>
          </w:p>
        </w:tc>
        <w:tc>
          <w:tcPr>
            <w:tcW w:w="2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6"/>
              </w:rPr>
              <w:t>118,782</w:t>
            </w:r>
          </w:p>
        </w:tc>
        <w:tc>
          <w:tcPr>
            <w:tcW w:w="26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33"/>
              <w:spacing w:after="0"/>
              <w:rPr>
                <w:sz w:val="20"/>
                <w:szCs w:val="20"/>
                <w:color w:val="auto"/>
              </w:rPr>
            </w:pPr>
            <w:r>
              <w:rPr>
                <w:rFonts w:ascii="Arial" w:cs="Arial" w:eastAsia="Arial" w:hAnsi="Arial"/>
                <w:sz w:val="18"/>
                <w:szCs w:val="18"/>
                <w:color w:val="auto"/>
                <w:w w:val="90"/>
              </w:rPr>
              <w:t>(339,529)</w:t>
            </w:r>
          </w:p>
        </w:tc>
        <w:tc>
          <w:tcPr>
            <w:tcW w:w="24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47,476</w:t>
            </w:r>
          </w:p>
        </w:tc>
      </w:tr>
      <w:tr>
        <w:trPr>
          <w:trHeight w:val="216"/>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345</w:t>
            </w: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345</w:t>
            </w:r>
          </w:p>
        </w:tc>
      </w:tr>
      <w:tr>
        <w:trPr>
          <w:trHeight w:val="210"/>
        </w:trPr>
        <w:tc>
          <w:tcPr>
            <w:tcW w:w="20" w:type="dxa"/>
            <w:vAlign w:val="bottom"/>
          </w:tcPr>
          <w:p>
            <w:pPr>
              <w:spacing w:after="0"/>
              <w:rPr>
                <w:sz w:val="18"/>
                <w:szCs w:val="18"/>
                <w:color w:val="auto"/>
              </w:rPr>
            </w:pPr>
          </w:p>
        </w:tc>
        <w:tc>
          <w:tcPr>
            <w:tcW w:w="4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87"/>
              </w:rPr>
              <w:t>47,476</w:t>
            </w:r>
          </w:p>
        </w:tc>
        <w:tc>
          <w:tcPr>
            <w:tcW w:w="1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4"/>
              <w:spacing w:after="0"/>
              <w:rPr>
                <w:sz w:val="20"/>
                <w:szCs w:val="20"/>
                <w:color w:val="auto"/>
              </w:rPr>
            </w:pPr>
            <w:r>
              <w:rPr>
                <w:rFonts w:ascii="Arial" w:cs="Arial" w:eastAsia="Arial" w:hAnsi="Arial"/>
                <w:sz w:val="18"/>
                <w:szCs w:val="18"/>
                <w:color w:val="auto"/>
                <w:w w:val="87"/>
              </w:rPr>
              <w:t>89,818</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3"/>
              </w:rPr>
              <w:t>46,170</w:t>
            </w:r>
          </w:p>
        </w:tc>
        <w:tc>
          <w:tcPr>
            <w:tcW w:w="24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3"/>
              </w:rPr>
              <w:t>84,759</w:t>
            </w:r>
          </w:p>
        </w:tc>
        <w:tc>
          <w:tcPr>
            <w:tcW w:w="2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6"/>
              </w:rPr>
              <w:t>119,127</w:t>
            </w:r>
          </w:p>
        </w:tc>
        <w:tc>
          <w:tcPr>
            <w:tcW w:w="26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33"/>
              <w:spacing w:after="0"/>
              <w:rPr>
                <w:sz w:val="20"/>
                <w:szCs w:val="20"/>
                <w:color w:val="auto"/>
              </w:rPr>
            </w:pPr>
            <w:r>
              <w:rPr>
                <w:rFonts w:ascii="Arial" w:cs="Arial" w:eastAsia="Arial" w:hAnsi="Arial"/>
                <w:sz w:val="18"/>
                <w:szCs w:val="18"/>
                <w:color w:val="auto"/>
                <w:w w:val="90"/>
              </w:rPr>
              <w:t>(339,529)</w:t>
            </w:r>
          </w:p>
        </w:tc>
        <w:tc>
          <w:tcPr>
            <w:tcW w:w="24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47,821</w:t>
            </w:r>
          </w:p>
        </w:tc>
      </w:tr>
      <w:tr>
        <w:trPr>
          <w:trHeight w:val="217"/>
        </w:trPr>
        <w:tc>
          <w:tcPr>
            <w:tcW w:w="20" w:type="dxa"/>
            <w:vAlign w:val="bottom"/>
          </w:tcPr>
          <w:p>
            <w:pPr>
              <w:spacing w:after="0"/>
              <w:rPr>
                <w:sz w:val="18"/>
                <w:szCs w:val="18"/>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87"/>
              </w:rPr>
              <w:t>72,377</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w w:val="87"/>
              </w:rPr>
              <w:t>94,054</w:t>
            </w:r>
          </w:p>
        </w:tc>
        <w:tc>
          <w:tcPr>
            <w:tcW w:w="24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3"/>
              </w:rPr>
              <w:t>47,956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3"/>
              </w:rPr>
              <w:t>86,074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6"/>
              </w:rPr>
              <w:t>197,677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w w:val="90"/>
              </w:rPr>
              <w:t>(340,189)</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89"/>
              </w:rPr>
              <w:t>157,949</w:t>
            </w:r>
          </w:p>
        </w:tc>
      </w:tr>
      <w:tr>
        <w:trPr>
          <w:trHeight w:val="363"/>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Combined</w:t>
            </w: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jc w:val="right"/>
              <w:ind w:right="273"/>
              <w:spacing w:after="0" w:line="149" w:lineRule="exact"/>
              <w:rPr>
                <w:sz w:val="20"/>
                <w:szCs w:val="20"/>
                <w:color w:val="auto"/>
              </w:rPr>
            </w:pPr>
            <w:r>
              <w:rPr>
                <w:rFonts w:ascii="Arial" w:cs="Arial" w:eastAsia="Arial" w:hAnsi="Arial"/>
                <w:sz w:val="14"/>
                <w:szCs w:val="14"/>
                <w:color w:val="auto"/>
              </w:rPr>
              <w:t>Non-</w:t>
            </w:r>
          </w:p>
        </w:tc>
        <w:tc>
          <w:tcPr>
            <w:tcW w:w="280" w:type="dxa"/>
            <w:vAlign w:val="bottom"/>
          </w:tcPr>
          <w:p>
            <w:pPr>
              <w:spacing w:after="0"/>
              <w:rPr>
                <w:sz w:val="12"/>
                <w:szCs w:val="12"/>
                <w:color w:val="auto"/>
              </w:rPr>
            </w:pPr>
          </w:p>
        </w:tc>
        <w:tc>
          <w:tcPr>
            <w:tcW w:w="860" w:type="dxa"/>
            <w:vAlign w:val="bottom"/>
          </w:tcPr>
          <w:p>
            <w:pPr>
              <w:jc w:val="center"/>
              <w:ind w:right="213"/>
              <w:spacing w:after="0" w:line="149" w:lineRule="exact"/>
              <w:rPr>
                <w:sz w:val="20"/>
                <w:szCs w:val="20"/>
                <w:color w:val="auto"/>
              </w:rPr>
            </w:pPr>
            <w:r>
              <w:rPr>
                <w:rFonts w:ascii="Arial" w:cs="Arial" w:eastAsia="Arial" w:hAnsi="Arial"/>
                <w:sz w:val="14"/>
                <w:szCs w:val="14"/>
                <w:color w:val="auto"/>
                <w:w w:val="85"/>
              </w:rPr>
              <w:t>and</w:t>
            </w:r>
          </w:p>
        </w:tc>
        <w:tc>
          <w:tcPr>
            <w:tcW w:w="98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Consolidated</w:t>
            </w:r>
          </w:p>
        </w:tc>
      </w:tr>
      <w:tr>
        <w:trPr>
          <w:trHeight w:val="149"/>
        </w:trPr>
        <w:tc>
          <w:tcPr>
            <w:tcW w:w="20" w:type="dxa"/>
            <w:vAlign w:val="bottom"/>
          </w:tcPr>
          <w:p>
            <w:pPr>
              <w:spacing w:after="0"/>
              <w:rPr>
                <w:sz w:val="12"/>
                <w:szCs w:val="12"/>
                <w:color w:val="auto"/>
              </w:rPr>
            </w:pPr>
          </w:p>
        </w:tc>
        <w:tc>
          <w:tcPr>
            <w:tcW w:w="4580" w:type="dxa"/>
            <w:vAlign w:val="bottom"/>
          </w:tcPr>
          <w:p>
            <w:pPr>
              <w:spacing w:after="0"/>
              <w:rPr>
                <w:sz w:val="12"/>
                <w:szCs w:val="12"/>
                <w:color w:val="auto"/>
              </w:rPr>
            </w:pPr>
          </w:p>
        </w:tc>
        <w:tc>
          <w:tcPr>
            <w:tcW w:w="940" w:type="dxa"/>
            <w:vAlign w:val="bottom"/>
            <w:gridSpan w:val="2"/>
          </w:tcPr>
          <w:p>
            <w:pPr>
              <w:jc w:val="right"/>
              <w:ind w:right="33"/>
              <w:spacing w:after="0" w:line="149" w:lineRule="exact"/>
              <w:rPr>
                <w:sz w:val="20"/>
                <w:szCs w:val="20"/>
                <w:color w:val="auto"/>
              </w:rPr>
            </w:pPr>
            <w:r>
              <w:rPr>
                <w:rFonts w:ascii="Arial" w:cs="Arial" w:eastAsia="Arial" w:hAnsi="Arial"/>
                <w:sz w:val="14"/>
                <w:szCs w:val="14"/>
                <w:color w:val="auto"/>
              </w:rPr>
              <w:t>Comcast</w:t>
            </w:r>
          </w:p>
        </w:tc>
        <w:tc>
          <w:tcPr>
            <w:tcW w:w="340" w:type="dxa"/>
            <w:vAlign w:val="bottom"/>
          </w:tcPr>
          <w:p>
            <w:pPr>
              <w:spacing w:after="0"/>
              <w:rPr>
                <w:sz w:val="12"/>
                <w:szCs w:val="12"/>
                <w:color w:val="auto"/>
              </w:rPr>
            </w:pPr>
          </w:p>
        </w:tc>
        <w:tc>
          <w:tcPr>
            <w:tcW w:w="640" w:type="dxa"/>
            <w:vAlign w:val="bottom"/>
          </w:tcPr>
          <w:p>
            <w:pPr>
              <w:jc w:val="right"/>
              <w:ind w:right="174"/>
              <w:spacing w:after="0" w:line="149" w:lineRule="exact"/>
              <w:rPr>
                <w:sz w:val="20"/>
                <w:szCs w:val="20"/>
                <w:color w:val="auto"/>
              </w:rPr>
            </w:pPr>
            <w:r>
              <w:rPr>
                <w:rFonts w:ascii="Arial" w:cs="Arial" w:eastAsia="Arial" w:hAnsi="Arial"/>
                <w:sz w:val="14"/>
                <w:szCs w:val="14"/>
                <w:color w:val="auto"/>
                <w:w w:val="94"/>
              </w:rPr>
              <w:t>CCCL</w:t>
            </w:r>
          </w:p>
        </w:tc>
        <w:tc>
          <w:tcPr>
            <w:tcW w:w="900" w:type="dxa"/>
            <w:vAlign w:val="bottom"/>
            <w:gridSpan w:val="2"/>
          </w:tcPr>
          <w:p>
            <w:pPr>
              <w:jc w:val="right"/>
              <w:ind w:right="113"/>
              <w:spacing w:after="0" w:line="149" w:lineRule="exact"/>
              <w:rPr>
                <w:sz w:val="20"/>
                <w:szCs w:val="20"/>
                <w:color w:val="auto"/>
              </w:rPr>
            </w:pPr>
            <w:r>
              <w:rPr>
                <w:rFonts w:ascii="Arial" w:cs="Arial" w:eastAsia="Arial" w:hAnsi="Arial"/>
                <w:sz w:val="14"/>
                <w:szCs w:val="14"/>
                <w:color w:val="auto"/>
              </w:rPr>
              <w:t>CCHMO</w:t>
            </w:r>
          </w:p>
        </w:tc>
        <w:tc>
          <w:tcPr>
            <w:tcW w:w="880" w:type="dxa"/>
            <w:vAlign w:val="bottom"/>
            <w:gridSpan w:val="2"/>
          </w:tcPr>
          <w:p>
            <w:pPr>
              <w:jc w:val="right"/>
              <w:ind w:right="112"/>
              <w:spacing w:after="0" w:line="149" w:lineRule="exact"/>
              <w:rPr>
                <w:sz w:val="20"/>
                <w:szCs w:val="20"/>
                <w:color w:val="auto"/>
              </w:rPr>
            </w:pPr>
            <w:r>
              <w:rPr>
                <w:rFonts w:ascii="Arial" w:cs="Arial" w:eastAsia="Arial" w:hAnsi="Arial"/>
                <w:sz w:val="14"/>
                <w:szCs w:val="14"/>
                <w:color w:val="auto"/>
              </w:rPr>
              <w:t>Comcast</w:t>
            </w:r>
          </w:p>
        </w:tc>
        <w:tc>
          <w:tcPr>
            <w:tcW w:w="1000" w:type="dxa"/>
            <w:vAlign w:val="bottom"/>
            <w:gridSpan w:val="2"/>
          </w:tcPr>
          <w:p>
            <w:pPr>
              <w:jc w:val="right"/>
              <w:ind w:right="133"/>
              <w:spacing w:after="0" w:line="149" w:lineRule="exact"/>
              <w:rPr>
                <w:sz w:val="20"/>
                <w:szCs w:val="20"/>
                <w:color w:val="auto"/>
              </w:rPr>
            </w:pPr>
            <w:r>
              <w:rPr>
                <w:rFonts w:ascii="Arial" w:cs="Arial" w:eastAsia="Arial" w:hAnsi="Arial"/>
                <w:sz w:val="14"/>
                <w:szCs w:val="14"/>
                <w:color w:val="auto"/>
              </w:rPr>
              <w:t>Guarantor</w:t>
            </w:r>
          </w:p>
        </w:tc>
        <w:tc>
          <w:tcPr>
            <w:tcW w:w="114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Consolidation</w:t>
            </w:r>
          </w:p>
        </w:tc>
        <w:tc>
          <w:tcPr>
            <w:tcW w:w="240" w:type="dxa"/>
            <w:vAlign w:val="bottom"/>
          </w:tcPr>
          <w:p>
            <w:pPr>
              <w:spacing w:after="0"/>
              <w:rPr>
                <w:sz w:val="12"/>
                <w:szCs w:val="12"/>
                <w:color w:val="auto"/>
              </w:rPr>
            </w:pPr>
          </w:p>
        </w:tc>
        <w:tc>
          <w:tcPr>
            <w:tcW w:w="740" w:type="dxa"/>
            <w:vAlign w:val="bottom"/>
          </w:tcPr>
          <w:p>
            <w:pPr>
              <w:jc w:val="right"/>
              <w:ind w:right="15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60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color w:val="auto"/>
                <w:w w:val="87"/>
              </w:rPr>
              <w:t>Parent</w:t>
            </w:r>
          </w:p>
        </w:tc>
        <w:tc>
          <w:tcPr>
            <w:tcW w:w="340" w:type="dxa"/>
            <w:vAlign w:val="bottom"/>
          </w:tcPr>
          <w:p>
            <w:pPr>
              <w:spacing w:after="0"/>
              <w:rPr>
                <w:sz w:val="15"/>
                <w:szCs w:val="15"/>
                <w:color w:val="auto"/>
              </w:rPr>
            </w:pPr>
          </w:p>
        </w:tc>
        <w:tc>
          <w:tcPr>
            <w:tcW w:w="640" w:type="dxa"/>
            <w:vAlign w:val="bottom"/>
          </w:tcPr>
          <w:p>
            <w:pPr>
              <w:jc w:val="right"/>
              <w:ind w:right="174"/>
              <w:spacing w:after="0"/>
              <w:rPr>
                <w:sz w:val="20"/>
                <w:szCs w:val="20"/>
                <w:color w:val="auto"/>
              </w:rPr>
            </w:pPr>
            <w:r>
              <w:rPr>
                <w:rFonts w:ascii="Arial" w:cs="Arial" w:eastAsia="Arial" w:hAnsi="Arial"/>
                <w:sz w:val="14"/>
                <w:szCs w:val="14"/>
                <w:color w:val="auto"/>
                <w:w w:val="87"/>
              </w:rPr>
              <w:t>Parent</w:t>
            </w:r>
          </w:p>
        </w:tc>
        <w:tc>
          <w:tcPr>
            <w:tcW w:w="240" w:type="dxa"/>
            <w:vAlign w:val="bottom"/>
          </w:tcPr>
          <w:p>
            <w:pPr>
              <w:spacing w:after="0"/>
              <w:rPr>
                <w:sz w:val="15"/>
                <w:szCs w:val="15"/>
                <w:color w:val="auto"/>
              </w:rPr>
            </w:pPr>
          </w:p>
        </w:tc>
        <w:tc>
          <w:tcPr>
            <w:tcW w:w="660" w:type="dxa"/>
            <w:vAlign w:val="bottom"/>
          </w:tcPr>
          <w:p>
            <w:pPr>
              <w:jc w:val="right"/>
              <w:ind w:right="173"/>
              <w:spacing w:after="0"/>
              <w:rPr>
                <w:sz w:val="20"/>
                <w:szCs w:val="20"/>
                <w:color w:val="auto"/>
              </w:rPr>
            </w:pPr>
            <w:r>
              <w:rPr>
                <w:rFonts w:ascii="Arial" w:cs="Arial" w:eastAsia="Arial" w:hAnsi="Arial"/>
                <w:sz w:val="14"/>
                <w:szCs w:val="14"/>
                <w:color w:val="auto"/>
                <w:w w:val="78"/>
              </w:rPr>
              <w:t>Parents</w:t>
            </w:r>
          </w:p>
        </w:tc>
        <w:tc>
          <w:tcPr>
            <w:tcW w:w="880" w:type="dxa"/>
            <w:vAlign w:val="bottom"/>
            <w:gridSpan w:val="2"/>
          </w:tcPr>
          <w:p>
            <w:pPr>
              <w:jc w:val="right"/>
              <w:ind w:right="112"/>
              <w:spacing w:after="0"/>
              <w:rPr>
                <w:sz w:val="20"/>
                <w:szCs w:val="20"/>
                <w:color w:val="auto"/>
              </w:rPr>
            </w:pPr>
            <w:r>
              <w:rPr>
                <w:rFonts w:ascii="Arial" w:cs="Arial" w:eastAsia="Arial" w:hAnsi="Arial"/>
                <w:sz w:val="14"/>
                <w:szCs w:val="14"/>
                <w:color w:val="auto"/>
              </w:rPr>
              <w:t>Holdings</w:t>
            </w:r>
          </w:p>
        </w:tc>
        <w:tc>
          <w:tcPr>
            <w:tcW w:w="100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14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980" w:type="dxa"/>
            <w:vAlign w:val="bottom"/>
            <w:gridSpan w:val="2"/>
          </w:tcPr>
          <w:p>
            <w:pPr>
              <w:jc w:val="right"/>
              <w:ind w:right="7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5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Assets</w:t>
            </w:r>
          </w:p>
        </w:tc>
        <w:tc>
          <w:tcPr>
            <w:tcW w:w="3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4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Cash and cash equivalents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1,620</w:t>
            </w:r>
          </w:p>
        </w:tc>
        <w:tc>
          <w:tcPr>
            <w:tcW w:w="280" w:type="dxa"/>
            <w:vAlign w:val="bottom"/>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1,620</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Receivables, net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4,351</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4,351</w:t>
            </w: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Programming rights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987</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987</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current assets</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rPr>
              <w:t>1,369</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1,615</w:t>
            </w:r>
          </w:p>
        </w:tc>
      </w:tr>
      <w:tr>
        <w:trPr>
          <w:trHeight w:val="210"/>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Total current assets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235</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8,327</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8,573</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Film and television costs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5,227</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5,227</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Investments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9,854</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9,854</w:t>
            </w:r>
          </w:p>
        </w:tc>
      </w:tr>
      <w:tr>
        <w:trPr>
          <w:trHeight w:val="208"/>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w w:val="93"/>
              </w:rPr>
              <w:t>Investments in and amounts due from subsidiaries eliminated</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upon consolidation</w:t>
            </w:r>
          </w:p>
        </w:tc>
        <w:tc>
          <w:tcPr>
            <w:tcW w:w="380" w:type="dxa"/>
            <w:vAlign w:val="bottom"/>
            <w:shd w:val="clear" w:color="auto" w:fill="E5E5E5"/>
          </w:tcPr>
          <w:p>
            <w:pPr>
              <w:spacing w:after="0"/>
              <w:rPr>
                <w:sz w:val="19"/>
                <w:szCs w:val="19"/>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71,222</w:t>
            </w:r>
          </w:p>
        </w:tc>
        <w:tc>
          <w:tcPr>
            <w:tcW w:w="3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3"/>
              </w:rPr>
              <w:t>89,568</w:t>
            </w:r>
          </w:p>
        </w:tc>
        <w:tc>
          <w:tcPr>
            <w:tcW w:w="2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45,725</w:t>
            </w:r>
          </w:p>
        </w:tc>
        <w:tc>
          <w:tcPr>
            <w:tcW w:w="240" w:type="dxa"/>
            <w:vAlign w:val="bottom"/>
            <w:shd w:val="clear" w:color="auto" w:fill="E5E5E5"/>
          </w:tcPr>
          <w:p>
            <w:pPr>
              <w:spacing w:after="0"/>
              <w:rPr>
                <w:sz w:val="19"/>
                <w:szCs w:val="19"/>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88,336</w:t>
            </w:r>
          </w:p>
        </w:tc>
        <w:tc>
          <w:tcPr>
            <w:tcW w:w="2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36,949</w:t>
            </w:r>
          </w:p>
        </w:tc>
        <w:tc>
          <w:tcPr>
            <w:tcW w:w="28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(331,800)</w:t>
            </w:r>
          </w:p>
        </w:tc>
        <w:tc>
          <w:tcPr>
            <w:tcW w:w="24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262</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27,297</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27,559</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Franchise rights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59,376</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59,376</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Goodwill</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26,874</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26,874</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Other intangible assets, net</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18,156</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18,165</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noncurrent assets, net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148</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1,761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(666)</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2,190</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assets</w:t>
            </w:r>
          </w:p>
        </w:tc>
        <w:tc>
          <w:tcPr>
            <w:tcW w:w="3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87"/>
              </w:rPr>
              <w:t>72,640</w:t>
            </w:r>
          </w:p>
        </w:tc>
        <w:tc>
          <w:tcPr>
            <w:tcW w:w="3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b w:val="1"/>
                <w:bCs w:val="1"/>
                <w:color w:val="auto"/>
                <w:w w:val="83"/>
              </w:rPr>
              <w:t>89,606</w:t>
            </w:r>
          </w:p>
        </w:tc>
        <w:tc>
          <w:tcPr>
            <w:tcW w:w="2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b w:val="1"/>
                <w:bCs w:val="1"/>
                <w:color w:val="auto"/>
                <w:w w:val="87"/>
              </w:rPr>
              <w:t>45,733</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b w:val="1"/>
                <w:bCs w:val="1"/>
                <w:color w:val="auto"/>
                <w:w w:val="87"/>
              </w:rPr>
              <w:t>88,484</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89"/>
              </w:rPr>
              <w:t>193,821</w:t>
            </w:r>
          </w:p>
        </w:tc>
        <w:tc>
          <w:tcPr>
            <w:tcW w:w="28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b w:val="1"/>
                <w:bCs w:val="1"/>
                <w:color w:val="auto"/>
                <w:w w:val="90"/>
              </w:rPr>
              <w:t>(332,466)</w:t>
            </w:r>
          </w:p>
        </w:tc>
        <w:tc>
          <w:tcPr>
            <w:tcW w:w="240" w:type="dxa"/>
            <w:vAlign w:val="bottom"/>
            <w:tcBorders>
              <w:bottom w:val="single" w:sz="8" w:color="auto"/>
            </w:tcBorders>
            <w:shd w:val="clear" w:color="auto" w:fill="E5E5E5"/>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w w:val="95"/>
              </w:rPr>
              <w:t>157,818</w:t>
            </w:r>
          </w:p>
        </w:tc>
      </w:tr>
      <w:tr>
        <w:trPr>
          <w:trHeight w:val="310"/>
        </w:trPr>
        <w:tc>
          <w:tcPr>
            <w:tcW w:w="4600" w:type="dxa"/>
            <w:vAlign w:val="bottom"/>
            <w:gridSpan w:val="2"/>
          </w:tcPr>
          <w:p>
            <w:pPr>
              <w:spacing w:after="0"/>
              <w:rPr>
                <w:sz w:val="20"/>
                <w:szCs w:val="20"/>
                <w:color w:val="auto"/>
              </w:rPr>
            </w:pPr>
            <w:r>
              <w:rPr>
                <w:rFonts w:ascii="Arial" w:cs="Arial" w:eastAsia="Arial" w:hAnsi="Arial"/>
                <w:sz w:val="18"/>
                <w:szCs w:val="18"/>
                <w:b w:val="1"/>
                <w:bCs w:val="1"/>
                <w:color w:val="auto"/>
              </w:rPr>
              <w:t>Liabilities and Equity</w:t>
            </w: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Accounts payable and accrued expenses related</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5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to trade creditors</w:t>
            </w:r>
          </w:p>
        </w:tc>
        <w:tc>
          <w:tcPr>
            <w:tcW w:w="3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w:t>
            </w:r>
          </w:p>
        </w:tc>
        <w:tc>
          <w:tcPr>
            <w:tcW w:w="3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6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5,695</w:t>
            </w:r>
          </w:p>
        </w:tc>
        <w:tc>
          <w:tcPr>
            <w:tcW w:w="280" w:type="dxa"/>
            <w:vAlign w:val="bottom"/>
            <w:shd w:val="clear" w:color="auto" w:fill="E5E5E5"/>
          </w:tcPr>
          <w:p>
            <w:pPr>
              <w:ind w:left="16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ind w:left="12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5,705</w:t>
            </w:r>
          </w:p>
        </w:tc>
      </w:tr>
      <w:tr>
        <w:trPr>
          <w:trHeight w:val="216"/>
        </w:trPr>
        <w:tc>
          <w:tcPr>
            <w:tcW w:w="20" w:type="dxa"/>
            <w:vAlign w:val="bottom"/>
          </w:tcPr>
          <w:p>
            <w:pPr>
              <w:spacing w:after="0"/>
              <w:rPr>
                <w:sz w:val="18"/>
                <w:szCs w:val="18"/>
                <w:color w:val="auto"/>
              </w:rPr>
            </w:pPr>
          </w:p>
        </w:tc>
        <w:tc>
          <w:tcPr>
            <w:tcW w:w="4580" w:type="dxa"/>
            <w:vAlign w:val="bottom"/>
          </w:tcPr>
          <w:p>
            <w:pPr>
              <w:ind w:left="200"/>
              <w:spacing w:after="0"/>
              <w:rPr>
                <w:sz w:val="20"/>
                <w:szCs w:val="20"/>
                <w:color w:val="auto"/>
              </w:rPr>
            </w:pPr>
            <w:r>
              <w:rPr>
                <w:rFonts w:ascii="Arial" w:cs="Arial" w:eastAsia="Arial" w:hAnsi="Arial"/>
                <w:sz w:val="18"/>
                <w:szCs w:val="18"/>
                <w:color w:val="auto"/>
              </w:rPr>
              <w:t>Accrued participations and residuals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1,255</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1,255</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1,030</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77</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272</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3,346</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4,914</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Current portion of long-term debt</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554</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585</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1,367</w:t>
            </w: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current liabilities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1,066</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189</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631</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474</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10,881</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13,241</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87"/>
              </w:rPr>
              <w:t>22,451</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3,953</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1,764</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111</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9,663</w:t>
            </w:r>
          </w:p>
        </w:tc>
        <w:tc>
          <w:tcPr>
            <w:tcW w:w="280" w:type="dxa"/>
            <w:vAlign w:val="bottom"/>
          </w:tcPr>
          <w:p>
            <w:pPr>
              <w:spacing w:after="0"/>
              <w:rPr>
                <w:sz w:val="18"/>
                <w:szCs w:val="18"/>
                <w:color w:val="auto"/>
              </w:rPr>
            </w:pPr>
          </w:p>
        </w:tc>
        <w:tc>
          <w:tcPr>
            <w:tcW w:w="860" w:type="dxa"/>
            <w:vAlign w:val="bottom"/>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37,942</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Deferred income taxes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727</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29,728</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(523)</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29,932</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3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1,849</w:t>
            </w:r>
          </w:p>
        </w:tc>
        <w:tc>
          <w:tcPr>
            <w:tcW w:w="340" w:type="dxa"/>
            <w:vAlign w:val="bottom"/>
          </w:tcPr>
          <w:p>
            <w:pPr>
              <w:spacing w:after="0"/>
              <w:rPr>
                <w:sz w:val="18"/>
                <w:szCs w:val="18"/>
                <w:color w:val="auto"/>
              </w:rPr>
            </w:pPr>
          </w:p>
        </w:tc>
        <w:tc>
          <w:tcPr>
            <w:tcW w:w="640" w:type="dxa"/>
            <w:vAlign w:val="bottom"/>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60" w:type="dxa"/>
            <w:vAlign w:val="bottom"/>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40" w:type="dxa"/>
            <w:vAlign w:val="bottom"/>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ind w:right="53"/>
              <w:spacing w:after="0"/>
              <w:rPr>
                <w:sz w:val="20"/>
                <w:szCs w:val="20"/>
                <w:color w:val="auto"/>
              </w:rPr>
            </w:pPr>
            <w:r>
              <w:rPr>
                <w:rFonts w:ascii="Arial" w:cs="Arial" w:eastAsia="Arial" w:hAnsi="Arial"/>
                <w:sz w:val="18"/>
                <w:szCs w:val="18"/>
                <w:color w:val="auto"/>
              </w:rPr>
              <w:t>11,328</w:t>
            </w:r>
          </w:p>
        </w:tc>
        <w:tc>
          <w:tcPr>
            <w:tcW w:w="280" w:type="dxa"/>
            <w:vAlign w:val="bottom"/>
          </w:tcPr>
          <w:p>
            <w:pPr>
              <w:spacing w:after="0"/>
              <w:rPr>
                <w:sz w:val="18"/>
                <w:szCs w:val="18"/>
                <w:color w:val="auto"/>
              </w:rPr>
            </w:pPr>
          </w:p>
        </w:tc>
        <w:tc>
          <w:tcPr>
            <w:tcW w:w="860" w:type="dxa"/>
            <w:vAlign w:val="bottom"/>
          </w:tcPr>
          <w:p>
            <w:pPr>
              <w:jc w:val="right"/>
              <w:ind w:right="53"/>
              <w:spacing w:after="0"/>
              <w:rPr>
                <w:sz w:val="20"/>
                <w:szCs w:val="20"/>
                <w:color w:val="auto"/>
              </w:rPr>
            </w:pPr>
            <w:r>
              <w:rPr>
                <w:rFonts w:ascii="Arial" w:cs="Arial" w:eastAsia="Arial" w:hAnsi="Arial"/>
                <w:sz w:val="18"/>
                <w:szCs w:val="18"/>
                <w:color w:val="auto"/>
              </w:rPr>
              <w:t>(143)</w:t>
            </w:r>
          </w:p>
        </w:tc>
        <w:tc>
          <w:tcPr>
            <w:tcW w:w="240" w:type="dxa"/>
            <w:vAlign w:val="bottom"/>
          </w:tcPr>
          <w:p>
            <w:pPr>
              <w:spacing w:after="0"/>
              <w:rPr>
                <w:sz w:val="18"/>
                <w:szCs w:val="18"/>
                <w:color w:val="auto"/>
              </w:rPr>
            </w:pPr>
          </w:p>
        </w:tc>
        <w:tc>
          <w:tcPr>
            <w:tcW w:w="740" w:type="dxa"/>
            <w:vAlign w:val="bottom"/>
          </w:tcPr>
          <w:p>
            <w:pPr>
              <w:jc w:val="right"/>
              <w:ind w:right="13"/>
              <w:spacing w:after="0"/>
              <w:rPr>
                <w:sz w:val="20"/>
                <w:szCs w:val="20"/>
                <w:color w:val="auto"/>
              </w:rPr>
            </w:pPr>
            <w:r>
              <w:rPr>
                <w:rFonts w:ascii="Arial" w:cs="Arial" w:eastAsia="Arial" w:hAnsi="Arial"/>
                <w:sz w:val="18"/>
                <w:szCs w:val="18"/>
                <w:color w:val="auto"/>
              </w:rPr>
              <w:t>13,034</w:t>
            </w: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Redeemable noncontrolling interests</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16,014</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16,014</w:t>
            </w: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3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32</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 shareholders’ equity</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47,242</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w w:val="83"/>
              </w:rPr>
              <w:t>85,464</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87"/>
              </w:rPr>
              <w:t>43,338</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87"/>
              </w:rPr>
              <w:t>87,172</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89"/>
              </w:rPr>
              <w:t>115,826</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0"/>
              </w:rPr>
              <w:t>(331,800)</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47,242</w:t>
            </w:r>
          </w:p>
        </w:tc>
      </w:tr>
      <w:tr>
        <w:trPr>
          <w:trHeight w:val="210"/>
        </w:trPr>
        <w:tc>
          <w:tcPr>
            <w:tcW w:w="20" w:type="dxa"/>
            <w:vAlign w:val="bottom"/>
          </w:tcPr>
          <w:p>
            <w:pPr>
              <w:spacing w:after="0"/>
              <w:rPr>
                <w:sz w:val="18"/>
                <w:szCs w:val="18"/>
                <w:color w:val="auto"/>
              </w:rPr>
            </w:pPr>
          </w:p>
        </w:tc>
        <w:tc>
          <w:tcPr>
            <w:tcW w:w="4580" w:type="dxa"/>
            <w:vAlign w:val="bottom"/>
            <w:shd w:val="clear" w:color="auto" w:fill="E5E5E5"/>
          </w:tcPr>
          <w:p>
            <w:pPr>
              <w:spacing w:after="0"/>
              <w:rPr>
                <w:sz w:val="20"/>
                <w:szCs w:val="20"/>
                <w:color w:val="auto"/>
              </w:rPr>
            </w:pPr>
            <w:r>
              <w:rPr>
                <w:rFonts w:ascii="Arial" w:cs="Arial" w:eastAsia="Arial" w:hAnsi="Arial"/>
                <w:sz w:val="18"/>
                <w:szCs w:val="18"/>
                <w:color w:val="auto"/>
              </w:rPr>
              <w:t>Total Comcast Corporation shareholders’ equity</w:t>
            </w:r>
          </w:p>
        </w:tc>
        <w:tc>
          <w:tcPr>
            <w:tcW w:w="380" w:type="dxa"/>
            <w:vAlign w:val="bottom"/>
            <w:shd w:val="clear" w:color="auto" w:fill="E5E5E5"/>
          </w:tcPr>
          <w:p>
            <w:pPr>
              <w:spacing w:after="0"/>
              <w:rPr>
                <w:sz w:val="18"/>
                <w:szCs w:val="18"/>
                <w:color w:val="auto"/>
              </w:rPr>
            </w:pP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47,274</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74"/>
              <w:spacing w:after="0"/>
              <w:rPr>
                <w:sz w:val="20"/>
                <w:szCs w:val="20"/>
                <w:color w:val="auto"/>
              </w:rPr>
            </w:pPr>
            <w:r>
              <w:rPr>
                <w:rFonts w:ascii="Arial" w:cs="Arial" w:eastAsia="Arial" w:hAnsi="Arial"/>
                <w:sz w:val="18"/>
                <w:szCs w:val="18"/>
                <w:color w:val="auto"/>
                <w:w w:val="83"/>
              </w:rPr>
              <w:t>85,464</w:t>
            </w:r>
          </w:p>
        </w:tc>
        <w:tc>
          <w:tcPr>
            <w:tcW w:w="2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73"/>
              <w:spacing w:after="0"/>
              <w:rPr>
                <w:sz w:val="20"/>
                <w:szCs w:val="20"/>
                <w:color w:val="auto"/>
              </w:rPr>
            </w:pPr>
            <w:r>
              <w:rPr>
                <w:rFonts w:ascii="Arial" w:cs="Arial" w:eastAsia="Arial" w:hAnsi="Arial"/>
                <w:sz w:val="18"/>
                <w:szCs w:val="18"/>
                <w:color w:val="auto"/>
                <w:w w:val="87"/>
              </w:rPr>
              <w:t>43,338</w:t>
            </w:r>
          </w:p>
        </w:tc>
        <w:tc>
          <w:tcPr>
            <w:tcW w:w="2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52"/>
              <w:spacing w:after="0"/>
              <w:rPr>
                <w:sz w:val="20"/>
                <w:szCs w:val="20"/>
                <w:color w:val="auto"/>
              </w:rPr>
            </w:pPr>
            <w:r>
              <w:rPr>
                <w:rFonts w:ascii="Arial" w:cs="Arial" w:eastAsia="Arial" w:hAnsi="Arial"/>
                <w:sz w:val="18"/>
                <w:szCs w:val="18"/>
                <w:color w:val="auto"/>
                <w:w w:val="87"/>
              </w:rPr>
              <w:t>87,172</w:t>
            </w:r>
          </w:p>
        </w:tc>
        <w:tc>
          <w:tcPr>
            <w:tcW w:w="2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89"/>
              </w:rPr>
              <w:t>115,826</w:t>
            </w:r>
          </w:p>
        </w:tc>
        <w:tc>
          <w:tcPr>
            <w:tcW w:w="28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53"/>
              <w:spacing w:after="0"/>
              <w:rPr>
                <w:sz w:val="20"/>
                <w:szCs w:val="20"/>
                <w:color w:val="auto"/>
              </w:rPr>
            </w:pPr>
            <w:r>
              <w:rPr>
                <w:rFonts w:ascii="Arial" w:cs="Arial" w:eastAsia="Arial" w:hAnsi="Arial"/>
                <w:sz w:val="18"/>
                <w:szCs w:val="18"/>
                <w:color w:val="auto"/>
                <w:w w:val="90"/>
              </w:rPr>
              <w:t>(331,800)</w:t>
            </w:r>
          </w:p>
        </w:tc>
        <w:tc>
          <w:tcPr>
            <w:tcW w:w="24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47,274</w:t>
            </w:r>
          </w:p>
        </w:tc>
      </w:tr>
      <w:tr>
        <w:trPr>
          <w:trHeight w:val="216"/>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Noncontrolling interests</w:t>
            </w:r>
          </w:p>
        </w:tc>
        <w:tc>
          <w:tcPr>
            <w:tcW w:w="3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381</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381</w:t>
            </w:r>
          </w:p>
        </w:tc>
      </w:tr>
      <w:tr>
        <w:trPr>
          <w:trHeight w:val="210"/>
        </w:trPr>
        <w:tc>
          <w:tcPr>
            <w:tcW w:w="20" w:type="dxa"/>
            <w:vAlign w:val="bottom"/>
          </w:tcPr>
          <w:p>
            <w:pPr>
              <w:spacing w:after="0"/>
              <w:rPr>
                <w:sz w:val="18"/>
                <w:szCs w:val="18"/>
                <w:color w:val="auto"/>
              </w:rPr>
            </w:pPr>
          </w:p>
        </w:tc>
        <w:tc>
          <w:tcPr>
            <w:tcW w:w="45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Total equity</w:t>
            </w:r>
          </w:p>
        </w:tc>
        <w:tc>
          <w:tcPr>
            <w:tcW w:w="380" w:type="dxa"/>
            <w:vAlign w:val="bottom"/>
            <w:tcBorders>
              <w:bottom w:val="single" w:sz="8" w:color="auto"/>
            </w:tcBorders>
            <w:shd w:val="clear" w:color="auto" w:fill="E5E5E5"/>
          </w:tcPr>
          <w:p>
            <w:pPr>
              <w:spacing w:after="0"/>
              <w:rPr>
                <w:sz w:val="18"/>
                <w:szCs w:val="18"/>
                <w:color w:val="auto"/>
              </w:rPr>
            </w:pP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47,274</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74"/>
              <w:spacing w:after="0"/>
              <w:rPr>
                <w:sz w:val="20"/>
                <w:szCs w:val="20"/>
                <w:color w:val="auto"/>
              </w:rPr>
            </w:pPr>
            <w:r>
              <w:rPr>
                <w:rFonts w:ascii="Arial" w:cs="Arial" w:eastAsia="Arial" w:hAnsi="Arial"/>
                <w:sz w:val="18"/>
                <w:szCs w:val="18"/>
                <w:color w:val="auto"/>
                <w:w w:val="83"/>
              </w:rPr>
              <w:t>85,464</w:t>
            </w:r>
          </w:p>
        </w:tc>
        <w:tc>
          <w:tcPr>
            <w:tcW w:w="2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73"/>
              <w:spacing w:after="0"/>
              <w:rPr>
                <w:sz w:val="20"/>
                <w:szCs w:val="20"/>
                <w:color w:val="auto"/>
              </w:rPr>
            </w:pPr>
            <w:r>
              <w:rPr>
                <w:rFonts w:ascii="Arial" w:cs="Arial" w:eastAsia="Arial" w:hAnsi="Arial"/>
                <w:sz w:val="18"/>
                <w:szCs w:val="18"/>
                <w:color w:val="auto"/>
                <w:w w:val="87"/>
              </w:rPr>
              <w:t>43,338</w:t>
            </w:r>
          </w:p>
        </w:tc>
        <w:tc>
          <w:tcPr>
            <w:tcW w:w="2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52"/>
              <w:spacing w:after="0"/>
              <w:rPr>
                <w:sz w:val="20"/>
                <w:szCs w:val="20"/>
                <w:color w:val="auto"/>
              </w:rPr>
            </w:pPr>
            <w:r>
              <w:rPr>
                <w:rFonts w:ascii="Arial" w:cs="Arial" w:eastAsia="Arial" w:hAnsi="Arial"/>
                <w:sz w:val="18"/>
                <w:szCs w:val="18"/>
                <w:color w:val="auto"/>
                <w:w w:val="87"/>
              </w:rPr>
              <w:t>87,172</w:t>
            </w:r>
          </w:p>
        </w:tc>
        <w:tc>
          <w:tcPr>
            <w:tcW w:w="2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89"/>
              </w:rPr>
              <w:t>116,207</w:t>
            </w:r>
          </w:p>
        </w:tc>
        <w:tc>
          <w:tcPr>
            <w:tcW w:w="28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53"/>
              <w:spacing w:after="0"/>
              <w:rPr>
                <w:sz w:val="20"/>
                <w:szCs w:val="20"/>
                <w:color w:val="auto"/>
              </w:rPr>
            </w:pPr>
            <w:r>
              <w:rPr>
                <w:rFonts w:ascii="Arial" w:cs="Arial" w:eastAsia="Arial" w:hAnsi="Arial"/>
                <w:sz w:val="18"/>
                <w:szCs w:val="18"/>
                <w:color w:val="auto"/>
                <w:w w:val="90"/>
              </w:rPr>
              <w:t>(331,800)</w:t>
            </w:r>
          </w:p>
        </w:tc>
        <w:tc>
          <w:tcPr>
            <w:tcW w:w="24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47,655</w:t>
            </w:r>
          </w:p>
        </w:tc>
      </w:tr>
      <w:tr>
        <w:trPr>
          <w:trHeight w:val="217"/>
        </w:trPr>
        <w:tc>
          <w:tcPr>
            <w:tcW w:w="20" w:type="dxa"/>
            <w:vAlign w:val="bottom"/>
          </w:tcPr>
          <w:p>
            <w:pPr>
              <w:spacing w:after="0"/>
              <w:rPr>
                <w:sz w:val="18"/>
                <w:szCs w:val="18"/>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 liabilities and equity</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7"/>
              </w:rPr>
              <w:t>72,640</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74"/>
              <w:spacing w:after="0"/>
              <w:rPr>
                <w:sz w:val="20"/>
                <w:szCs w:val="20"/>
                <w:color w:val="auto"/>
              </w:rPr>
            </w:pPr>
            <w:r>
              <w:rPr>
                <w:rFonts w:ascii="Arial" w:cs="Arial" w:eastAsia="Arial" w:hAnsi="Arial"/>
                <w:sz w:val="18"/>
                <w:szCs w:val="18"/>
                <w:b w:val="1"/>
                <w:bCs w:val="1"/>
                <w:color w:val="auto"/>
                <w:w w:val="83"/>
              </w:rPr>
              <w:t>89,606</w:t>
            </w:r>
          </w:p>
        </w:tc>
        <w:tc>
          <w:tcPr>
            <w:tcW w:w="240" w:type="dxa"/>
            <w:vAlign w:val="bottom"/>
            <w:tcBorders>
              <w:bottom w:val="single" w:sz="8" w:color="auto"/>
            </w:tcBorders>
          </w:tcPr>
          <w:p>
            <w:pPr>
              <w:ind w:left="160"/>
              <w:spacing w:after="0"/>
              <w:rPr>
                <w:sz w:val="20"/>
                <w:szCs w:val="20"/>
                <w:color w:val="auto"/>
              </w:rPr>
            </w:pPr>
            <w:r>
              <w:rPr>
                <w:rFonts w:ascii="Arial" w:cs="Arial" w:eastAsia="Arial" w:hAnsi="Arial"/>
                <w:sz w:val="15"/>
                <w:szCs w:val="15"/>
                <w:b w:val="1"/>
                <w:bCs w:val="1"/>
                <w:color w:val="auto"/>
                <w:w w:val="71"/>
              </w:rPr>
              <w:t>$</w:t>
            </w:r>
          </w:p>
        </w:tc>
        <w:tc>
          <w:tcPr>
            <w:tcW w:w="6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b w:val="1"/>
                <w:bCs w:val="1"/>
                <w:color w:val="auto"/>
                <w:w w:val="87"/>
              </w:rPr>
              <w:t>45,733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w w:val="87"/>
              </w:rPr>
              <w:t>88,484</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89"/>
              </w:rPr>
              <w:t>193,821</w:t>
            </w:r>
          </w:p>
        </w:tc>
        <w:tc>
          <w:tcPr>
            <w:tcW w:w="28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w w:val="90"/>
              </w:rPr>
              <w:t>(332,466)</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b w:val="1"/>
                <w:bCs w:val="1"/>
                <w:color w:val="auto"/>
                <w:w w:val="99"/>
              </w:rPr>
              <w:t>$</w:t>
            </w:r>
          </w:p>
        </w:tc>
        <w:tc>
          <w:tcPr>
            <w:tcW w:w="7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w w:val="95"/>
              </w:rPr>
              <w:t>157,818</w:t>
            </w:r>
          </w:p>
        </w:tc>
      </w:tr>
      <w:tr>
        <w:trPr>
          <w:trHeight w:val="363"/>
        </w:trPr>
        <w:tc>
          <w:tcPr>
            <w:tcW w:w="2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21</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60" w:type="dxa"/>
            <w:vAlign w:val="bottom"/>
          </w:tcPr>
          <w:p>
            <w:pPr>
              <w:jc w:val="right"/>
              <w:ind w:right="333"/>
              <w:spacing w:after="0" w:line="149" w:lineRule="exact"/>
              <w:rPr>
                <w:sz w:val="20"/>
                <w:szCs w:val="20"/>
                <w:color w:val="auto"/>
              </w:rPr>
            </w:pPr>
            <w:r>
              <w:rPr>
                <w:rFonts w:ascii="Arial" w:cs="Arial" w:eastAsia="Arial" w:hAnsi="Arial"/>
                <w:sz w:val="14"/>
                <w:szCs w:val="14"/>
                <w:color w:val="auto"/>
              </w:rPr>
              <w:t>Non-</w:t>
            </w:r>
          </w:p>
        </w:tc>
        <w:tc>
          <w:tcPr>
            <w:tcW w:w="380" w:type="dxa"/>
            <w:vAlign w:val="bottom"/>
          </w:tcPr>
          <w:p>
            <w:pPr>
              <w:spacing w:after="0"/>
              <w:rPr>
                <w:sz w:val="12"/>
                <w:szCs w:val="12"/>
                <w:color w:val="auto"/>
              </w:rPr>
            </w:pPr>
          </w:p>
        </w:tc>
        <w:tc>
          <w:tcPr>
            <w:tcW w:w="820" w:type="dxa"/>
            <w:vAlign w:val="bottom"/>
          </w:tcPr>
          <w:p>
            <w:pPr>
              <w:jc w:val="center"/>
              <w:ind w:right="333"/>
              <w:spacing w:after="0" w:line="149" w:lineRule="exact"/>
              <w:rPr>
                <w:sz w:val="20"/>
                <w:szCs w:val="20"/>
                <w:color w:val="auto"/>
              </w:rPr>
            </w:pPr>
            <w:r>
              <w:rPr>
                <w:rFonts w:ascii="Arial" w:cs="Arial" w:eastAsia="Arial" w:hAnsi="Arial"/>
                <w:sz w:val="14"/>
                <w:szCs w:val="14"/>
                <w:color w:val="auto"/>
                <w:w w:val="85"/>
              </w:rPr>
              <w:t>and</w:t>
            </w:r>
          </w:p>
        </w:tc>
        <w:tc>
          <w:tcPr>
            <w:tcW w:w="1000" w:type="dxa"/>
            <w:vAlign w:val="bottom"/>
            <w:gridSpan w:val="2"/>
          </w:tcPr>
          <w:p>
            <w:pPr>
              <w:ind w:left="18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980" w:type="dxa"/>
            <w:vAlign w:val="bottom"/>
            <w:gridSpan w:val="2"/>
          </w:tcPr>
          <w:p>
            <w:pPr>
              <w:ind w:left="260"/>
              <w:spacing w:after="0" w:line="149" w:lineRule="exact"/>
              <w:rPr>
                <w:sz w:val="20"/>
                <w:szCs w:val="20"/>
                <w:color w:val="auto"/>
              </w:rPr>
            </w:pPr>
            <w:r>
              <w:rPr>
                <w:rFonts w:ascii="Arial" w:cs="Arial" w:eastAsia="Arial" w:hAnsi="Arial"/>
                <w:sz w:val="14"/>
                <w:szCs w:val="14"/>
                <w:color w:val="auto"/>
              </w:rPr>
              <w:t>Comcast</w:t>
            </w:r>
          </w:p>
        </w:tc>
        <w:tc>
          <w:tcPr>
            <w:tcW w:w="900" w:type="dxa"/>
            <w:vAlign w:val="bottom"/>
            <w:gridSpan w:val="2"/>
          </w:tcPr>
          <w:p>
            <w:pPr>
              <w:jc w:val="right"/>
              <w:ind w:right="212"/>
              <w:spacing w:after="0" w:line="149" w:lineRule="exact"/>
              <w:rPr>
                <w:sz w:val="20"/>
                <w:szCs w:val="20"/>
                <w:color w:val="auto"/>
              </w:rPr>
            </w:pPr>
            <w:r>
              <w:rPr>
                <w:rFonts w:ascii="Arial" w:cs="Arial" w:eastAsia="Arial" w:hAnsi="Arial"/>
                <w:sz w:val="14"/>
                <w:szCs w:val="14"/>
                <w:color w:val="auto"/>
              </w:rPr>
              <w:t>CCCL</w:t>
            </w:r>
          </w:p>
        </w:tc>
        <w:tc>
          <w:tcPr>
            <w:tcW w:w="980" w:type="dxa"/>
            <w:vAlign w:val="bottom"/>
            <w:gridSpan w:val="2"/>
          </w:tcPr>
          <w:p>
            <w:pPr>
              <w:jc w:val="right"/>
              <w:ind w:right="172"/>
              <w:spacing w:after="0" w:line="149" w:lineRule="exact"/>
              <w:rPr>
                <w:sz w:val="20"/>
                <w:szCs w:val="20"/>
                <w:color w:val="auto"/>
              </w:rPr>
            </w:pPr>
            <w:r>
              <w:rPr>
                <w:rFonts w:ascii="Arial" w:cs="Arial" w:eastAsia="Arial" w:hAnsi="Arial"/>
                <w:sz w:val="14"/>
                <w:szCs w:val="14"/>
                <w:color w:val="auto"/>
              </w:rPr>
              <w:t>CCHMO</w:t>
            </w:r>
          </w:p>
        </w:tc>
        <w:tc>
          <w:tcPr>
            <w:tcW w:w="92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Comcast</w:t>
            </w:r>
          </w:p>
        </w:tc>
        <w:tc>
          <w:tcPr>
            <w:tcW w:w="10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Guarantor</w:t>
            </w:r>
          </w:p>
        </w:tc>
        <w:tc>
          <w:tcPr>
            <w:tcW w:w="120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Consolidation</w:t>
            </w:r>
          </w:p>
        </w:tc>
        <w:tc>
          <w:tcPr>
            <w:tcW w:w="28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43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98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00" w:type="dxa"/>
            <w:vAlign w:val="bottom"/>
            <w:gridSpan w:val="2"/>
          </w:tcPr>
          <w:p>
            <w:pPr>
              <w:jc w:val="right"/>
              <w:ind w:right="212"/>
              <w:spacing w:after="0"/>
              <w:rPr>
                <w:sz w:val="20"/>
                <w:szCs w:val="20"/>
                <w:color w:val="auto"/>
              </w:rPr>
            </w:pPr>
            <w:r>
              <w:rPr>
                <w:rFonts w:ascii="Arial" w:cs="Arial" w:eastAsia="Arial" w:hAnsi="Arial"/>
                <w:sz w:val="14"/>
                <w:szCs w:val="14"/>
                <w:color w:val="auto"/>
              </w:rPr>
              <w:t>Parent</w:t>
            </w:r>
          </w:p>
        </w:tc>
        <w:tc>
          <w:tcPr>
            <w:tcW w:w="980" w:type="dxa"/>
            <w:vAlign w:val="bottom"/>
            <w:gridSpan w:val="2"/>
          </w:tcPr>
          <w:p>
            <w:pPr>
              <w:jc w:val="right"/>
              <w:ind w:right="232"/>
              <w:spacing w:after="0"/>
              <w:rPr>
                <w:sz w:val="20"/>
                <w:szCs w:val="20"/>
                <w:color w:val="auto"/>
              </w:rPr>
            </w:pPr>
            <w:r>
              <w:rPr>
                <w:rFonts w:ascii="Arial" w:cs="Arial" w:eastAsia="Arial" w:hAnsi="Arial"/>
                <w:sz w:val="14"/>
                <w:szCs w:val="14"/>
                <w:color w:val="auto"/>
              </w:rPr>
              <w:t>Parents</w:t>
            </w:r>
          </w:p>
        </w:tc>
        <w:tc>
          <w:tcPr>
            <w:tcW w:w="92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080" w:type="dxa"/>
            <w:vAlign w:val="bottom"/>
            <w:gridSpan w:val="2"/>
          </w:tcPr>
          <w:p>
            <w:pPr>
              <w:ind w:left="180"/>
              <w:spacing w:after="0"/>
              <w:rPr>
                <w:sz w:val="20"/>
                <w:szCs w:val="20"/>
                <w:color w:val="auto"/>
              </w:rPr>
            </w:pPr>
            <w:r>
              <w:rPr>
                <w:rFonts w:ascii="Arial" w:cs="Arial" w:eastAsia="Arial" w:hAnsi="Arial"/>
                <w:sz w:val="14"/>
                <w:szCs w:val="14"/>
                <w:color w:val="auto"/>
              </w:rPr>
              <w:t>Subsidiaries</w:t>
            </w:r>
          </w:p>
        </w:tc>
        <w:tc>
          <w:tcPr>
            <w:tcW w:w="120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0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4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2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6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82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340" w:type="dxa"/>
            <w:vAlign w:val="bottom"/>
          </w:tcPr>
          <w:p>
            <w:pPr>
              <w:ind w:left="260"/>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ind w:left="18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53"/>
              <w:spacing w:after="0"/>
              <w:rPr>
                <w:sz w:val="20"/>
                <w:szCs w:val="20"/>
                <w:color w:val="auto"/>
              </w:rPr>
            </w:pPr>
            <w:r>
              <w:rPr>
                <w:rFonts w:ascii="Arial" w:cs="Arial" w:eastAsia="Arial" w:hAnsi="Arial"/>
                <w:sz w:val="18"/>
                <w:szCs w:val="18"/>
                <w:color w:val="auto"/>
                <w:w w:val="90"/>
              </w:rPr>
              <w:t>14,878</w:t>
            </w:r>
          </w:p>
        </w:tc>
        <w:tc>
          <w:tcPr>
            <w:tcW w:w="380" w:type="dxa"/>
            <w:vAlign w:val="bottom"/>
          </w:tcPr>
          <w:p>
            <w:pPr>
              <w:ind w:left="18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ind w:left="18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14,878</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204</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0"/>
              </w:rPr>
              <w:t>14,878</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14,878</w:t>
            </w:r>
          </w:p>
        </w:tc>
      </w:tr>
      <w:tr>
        <w:trPr>
          <w:trHeight w:val="210"/>
        </w:trPr>
        <w:tc>
          <w:tcPr>
            <w:tcW w:w="20" w:type="dxa"/>
            <w:vAlign w:val="bottom"/>
          </w:tcPr>
          <w:p>
            <w:pPr>
              <w:spacing w:after="0"/>
              <w:rPr>
                <w:sz w:val="18"/>
                <w:szCs w:val="18"/>
                <w:color w:val="auto"/>
              </w:rPr>
            </w:pPr>
          </w:p>
        </w:tc>
        <w:tc>
          <w:tcPr>
            <w:tcW w:w="4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Operating costs and expenses</w:t>
            </w:r>
          </w:p>
        </w:tc>
        <w:tc>
          <w:tcPr>
            <w:tcW w:w="3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92</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200</w:t>
            </w:r>
          </w:p>
        </w:tc>
        <w:tc>
          <w:tcPr>
            <w:tcW w:w="32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w w:val="90"/>
              </w:rPr>
              <w:t>10,302</w:t>
            </w:r>
          </w:p>
        </w:tc>
        <w:tc>
          <w:tcPr>
            <w:tcW w:w="38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(529)</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10,190</w:t>
            </w:r>
          </w:p>
        </w:tc>
      </w:tr>
      <w:tr>
        <w:trPr>
          <w:trHeight w:val="216"/>
        </w:trPr>
        <w:tc>
          <w:tcPr>
            <w:tcW w:w="20" w:type="dxa"/>
            <w:vAlign w:val="bottom"/>
          </w:tcPr>
          <w:p>
            <w:pPr>
              <w:spacing w:after="0"/>
              <w:rPr>
                <w:sz w:val="18"/>
                <w:szCs w:val="18"/>
                <w:color w:val="auto"/>
              </w:rPr>
            </w:pPr>
          </w:p>
        </w:tc>
        <w:tc>
          <w:tcPr>
            <w:tcW w:w="4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1,522</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1,529</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400</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401</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shd w:val="clear" w:color="auto" w:fill="E5E5E5"/>
          </w:tcPr>
          <w:p>
            <w:pPr>
              <w:spacing w:after="0"/>
              <w:rPr>
                <w:sz w:val="18"/>
                <w:szCs w:val="18"/>
                <w:color w:val="auto"/>
              </w:rPr>
            </w:pP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100</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200</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125</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w w:val="90"/>
              </w:rPr>
              <w:t>12,224</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(529)</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12,120</w:t>
            </w:r>
          </w:p>
        </w:tc>
      </w:tr>
      <w:tr>
        <w:trPr>
          <w:trHeight w:val="210"/>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Operating income (loss)</w:t>
            </w:r>
          </w:p>
        </w:tc>
        <w:tc>
          <w:tcPr>
            <w:tcW w:w="3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rPr>
              <w:t>104</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2,654</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2,758</w:t>
            </w:r>
          </w:p>
        </w:tc>
      </w:tr>
      <w:tr>
        <w:trPr>
          <w:trHeight w:val="216"/>
        </w:trPr>
        <w:tc>
          <w:tcPr>
            <w:tcW w:w="20" w:type="dxa"/>
            <w:vAlign w:val="bottom"/>
          </w:tcPr>
          <w:p>
            <w:pPr>
              <w:spacing w:after="0"/>
              <w:rPr>
                <w:sz w:val="18"/>
                <w:szCs w:val="18"/>
                <w:color w:val="auto"/>
              </w:rPr>
            </w:pPr>
          </w:p>
        </w:tc>
        <w:tc>
          <w:tcPr>
            <w:tcW w:w="434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18"/>
                <w:szCs w:val="18"/>
                <w:color w:val="auto"/>
              </w:rPr>
            </w:pPr>
          </w:p>
        </w:tc>
        <w:tc>
          <w:tcPr>
            <w:tcW w:w="640" w:type="dxa"/>
            <w:vAlign w:val="bottom"/>
          </w:tcPr>
          <w:p>
            <w:pPr>
              <w:jc w:val="right"/>
              <w:ind w:right="72"/>
              <w:spacing w:after="0"/>
              <w:rPr>
                <w:sz w:val="20"/>
                <w:szCs w:val="20"/>
                <w:color w:val="auto"/>
              </w:rPr>
            </w:pPr>
            <w:r>
              <w:rPr>
                <w:rFonts w:ascii="Arial" w:cs="Arial" w:eastAsia="Arial" w:hAnsi="Arial"/>
                <w:sz w:val="18"/>
                <w:szCs w:val="18"/>
                <w:color w:val="auto"/>
              </w:rPr>
              <w:t>(367)</w:t>
            </w:r>
          </w:p>
        </w:tc>
        <w:tc>
          <w:tcPr>
            <w:tcW w:w="280" w:type="dxa"/>
            <w:vAlign w:val="bottom"/>
          </w:tcPr>
          <w:p>
            <w:pPr>
              <w:spacing w:after="0"/>
              <w:rPr>
                <w:sz w:val="18"/>
                <w:szCs w:val="18"/>
                <w:color w:val="auto"/>
              </w:rPr>
            </w:pPr>
          </w:p>
        </w:tc>
        <w:tc>
          <w:tcPr>
            <w:tcW w:w="620" w:type="dxa"/>
            <w:vAlign w:val="bottom"/>
          </w:tcPr>
          <w:p>
            <w:pPr>
              <w:jc w:val="right"/>
              <w:ind w:right="72"/>
              <w:spacing w:after="0"/>
              <w:rPr>
                <w:sz w:val="20"/>
                <w:szCs w:val="20"/>
                <w:color w:val="auto"/>
              </w:rPr>
            </w:pPr>
            <w:r>
              <w:rPr>
                <w:rFonts w:ascii="Arial" w:cs="Arial" w:eastAsia="Arial" w:hAnsi="Arial"/>
                <w:sz w:val="18"/>
                <w:szCs w:val="18"/>
                <w:color w:val="auto"/>
              </w:rPr>
              <w:t>(82)</w:t>
            </w:r>
          </w:p>
        </w:tc>
        <w:tc>
          <w:tcPr>
            <w:tcW w:w="320" w:type="dxa"/>
            <w:vAlign w:val="bottom"/>
          </w:tcPr>
          <w:p>
            <w:pPr>
              <w:spacing w:after="0"/>
              <w:rPr>
                <w:sz w:val="18"/>
                <w:szCs w:val="18"/>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(36)</w:t>
            </w:r>
          </w:p>
        </w:tc>
        <w:tc>
          <w:tcPr>
            <w:tcW w:w="280" w:type="dxa"/>
            <w:vAlign w:val="bottom"/>
          </w:tcPr>
          <w:p>
            <w:pPr>
              <w:spacing w:after="0"/>
              <w:rPr>
                <w:sz w:val="18"/>
                <w:szCs w:val="18"/>
                <w:color w:val="auto"/>
              </w:rPr>
            </w:pPr>
          </w:p>
        </w:tc>
        <w:tc>
          <w:tcPr>
            <w:tcW w:w="640" w:type="dxa"/>
            <w:vAlign w:val="bottom"/>
          </w:tcPr>
          <w:p>
            <w:pPr>
              <w:jc w:val="right"/>
              <w:ind w:right="92"/>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18"/>
                <w:szCs w:val="18"/>
                <w:color w:val="auto"/>
              </w:rPr>
            </w:pPr>
          </w:p>
        </w:tc>
        <w:tc>
          <w:tcPr>
            <w:tcW w:w="760" w:type="dxa"/>
            <w:vAlign w:val="bottom"/>
          </w:tcPr>
          <w:p>
            <w:pPr>
              <w:jc w:val="right"/>
              <w:ind w:right="93"/>
              <w:spacing w:after="0"/>
              <w:rPr>
                <w:sz w:val="20"/>
                <w:szCs w:val="20"/>
                <w:color w:val="auto"/>
              </w:rPr>
            </w:pPr>
            <w:r>
              <w:rPr>
                <w:rFonts w:ascii="Arial" w:cs="Arial" w:eastAsia="Arial" w:hAnsi="Arial"/>
                <w:sz w:val="18"/>
                <w:szCs w:val="18"/>
                <w:color w:val="auto"/>
              </w:rPr>
              <w:t>(147)</w:t>
            </w:r>
          </w:p>
        </w:tc>
        <w:tc>
          <w:tcPr>
            <w:tcW w:w="38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(640)</w:t>
            </w:r>
          </w:p>
        </w:tc>
      </w:tr>
      <w:tr>
        <w:trPr>
          <w:trHeight w:val="216"/>
        </w:trPr>
        <w:tc>
          <w:tcPr>
            <w:tcW w:w="20" w:type="dxa"/>
            <w:vAlign w:val="bottom"/>
          </w:tcPr>
          <w:p>
            <w:pPr>
              <w:spacing w:after="0"/>
              <w:rPr>
                <w:sz w:val="18"/>
                <w:szCs w:val="18"/>
                <w:color w:val="auto"/>
              </w:rPr>
            </w:pPr>
          </w:p>
        </w:tc>
        <w:tc>
          <w:tcPr>
            <w:tcW w:w="434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91</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92</w:t>
            </w:r>
          </w:p>
        </w:tc>
      </w:tr>
      <w:tr>
        <w:trPr>
          <w:trHeight w:val="216"/>
        </w:trPr>
        <w:tc>
          <w:tcPr>
            <w:tcW w:w="20" w:type="dxa"/>
            <w:vAlign w:val="bottom"/>
          </w:tcPr>
          <w:p>
            <w:pPr>
              <w:spacing w:after="0"/>
              <w:rPr>
                <w:sz w:val="18"/>
                <w:szCs w:val="18"/>
                <w:color w:val="auto"/>
              </w:rPr>
            </w:pPr>
          </w:p>
        </w:tc>
        <w:tc>
          <w:tcPr>
            <w:tcW w:w="4340" w:type="dxa"/>
            <w:vAlign w:val="bottom"/>
          </w:tcPr>
          <w:p>
            <w:pPr>
              <w:ind w:left="200"/>
              <w:spacing w:after="0"/>
              <w:rPr>
                <w:sz w:val="20"/>
                <w:szCs w:val="20"/>
                <w:color w:val="auto"/>
              </w:rPr>
            </w:pPr>
            <w:r>
              <w:rPr>
                <w:rFonts w:ascii="Arial" w:cs="Arial" w:eastAsia="Arial" w:hAnsi="Arial"/>
                <w:sz w:val="18"/>
                <w:szCs w:val="18"/>
                <w:color w:val="auto"/>
              </w:rPr>
              <w:t>Equity in net income (losses) of investees, net</w:t>
            </w:r>
          </w:p>
        </w:tc>
        <w:tc>
          <w:tcPr>
            <w:tcW w:w="340" w:type="dxa"/>
            <w:vAlign w:val="bottom"/>
          </w:tcPr>
          <w:p>
            <w:pPr>
              <w:spacing w:after="0"/>
              <w:rPr>
                <w:sz w:val="18"/>
                <w:szCs w:val="18"/>
                <w:color w:val="auto"/>
              </w:rPr>
            </w:pPr>
          </w:p>
        </w:tc>
        <w:tc>
          <w:tcPr>
            <w:tcW w:w="640" w:type="dxa"/>
            <w:vAlign w:val="bottom"/>
          </w:tcPr>
          <w:p>
            <w:pPr>
              <w:jc w:val="right"/>
              <w:ind w:right="132"/>
              <w:spacing w:after="0"/>
              <w:rPr>
                <w:sz w:val="20"/>
                <w:szCs w:val="20"/>
                <w:color w:val="auto"/>
              </w:rPr>
            </w:pPr>
            <w:r>
              <w:rPr>
                <w:rFonts w:ascii="Arial" w:cs="Arial" w:eastAsia="Arial" w:hAnsi="Arial"/>
                <w:sz w:val="18"/>
                <w:szCs w:val="18"/>
                <w:color w:val="auto"/>
                <w:w w:val="88"/>
              </w:rPr>
              <w:t>1,394</w:t>
            </w:r>
          </w:p>
        </w:tc>
        <w:tc>
          <w:tcPr>
            <w:tcW w:w="280" w:type="dxa"/>
            <w:vAlign w:val="bottom"/>
          </w:tcPr>
          <w:p>
            <w:pPr>
              <w:spacing w:after="0"/>
              <w:rPr>
                <w:sz w:val="18"/>
                <w:szCs w:val="18"/>
                <w:color w:val="auto"/>
              </w:rPr>
            </w:pPr>
          </w:p>
        </w:tc>
        <w:tc>
          <w:tcPr>
            <w:tcW w:w="620" w:type="dxa"/>
            <w:vAlign w:val="bottom"/>
          </w:tcPr>
          <w:p>
            <w:pPr>
              <w:jc w:val="right"/>
              <w:ind w:right="132"/>
              <w:spacing w:after="0"/>
              <w:rPr>
                <w:sz w:val="20"/>
                <w:szCs w:val="20"/>
                <w:color w:val="auto"/>
              </w:rPr>
            </w:pPr>
            <w:r>
              <w:rPr>
                <w:rFonts w:ascii="Arial" w:cs="Arial" w:eastAsia="Arial" w:hAnsi="Arial"/>
                <w:sz w:val="18"/>
                <w:szCs w:val="18"/>
                <w:color w:val="auto"/>
                <w:w w:val="84"/>
              </w:rPr>
              <w:t>1,543</w:t>
            </w:r>
          </w:p>
        </w:tc>
        <w:tc>
          <w:tcPr>
            <w:tcW w:w="32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w w:val="93"/>
              </w:rPr>
              <w:t>1,049</w:t>
            </w:r>
          </w:p>
        </w:tc>
        <w:tc>
          <w:tcPr>
            <w:tcW w:w="280" w:type="dxa"/>
            <w:vAlign w:val="bottom"/>
          </w:tcPr>
          <w:p>
            <w:pPr>
              <w:spacing w:after="0"/>
              <w:rPr>
                <w:sz w:val="18"/>
                <w:szCs w:val="18"/>
                <w:color w:val="auto"/>
              </w:rPr>
            </w:pPr>
          </w:p>
        </w:tc>
        <w:tc>
          <w:tcPr>
            <w:tcW w:w="640" w:type="dxa"/>
            <w:vAlign w:val="bottom"/>
          </w:tcPr>
          <w:p>
            <w:pPr>
              <w:jc w:val="right"/>
              <w:ind w:right="152"/>
              <w:spacing w:after="0"/>
              <w:rPr>
                <w:sz w:val="20"/>
                <w:szCs w:val="20"/>
                <w:color w:val="auto"/>
              </w:rPr>
            </w:pPr>
            <w:r>
              <w:rPr>
                <w:rFonts w:ascii="Arial" w:cs="Arial" w:eastAsia="Arial" w:hAnsi="Arial"/>
                <w:sz w:val="18"/>
                <w:szCs w:val="18"/>
                <w:color w:val="auto"/>
                <w:w w:val="84"/>
              </w:rPr>
              <w:t>1,504</w:t>
            </w:r>
          </w:p>
        </w:tc>
        <w:tc>
          <w:tcPr>
            <w:tcW w:w="320" w:type="dxa"/>
            <w:vAlign w:val="bottom"/>
          </w:tcPr>
          <w:p>
            <w:pPr>
              <w:spacing w:after="0"/>
              <w:rPr>
                <w:sz w:val="18"/>
                <w:szCs w:val="18"/>
                <w:color w:val="auto"/>
              </w:rPr>
            </w:pPr>
          </w:p>
        </w:tc>
        <w:tc>
          <w:tcPr>
            <w:tcW w:w="760" w:type="dxa"/>
            <w:vAlign w:val="bottom"/>
          </w:tcPr>
          <w:p>
            <w:pPr>
              <w:jc w:val="right"/>
              <w:ind w:right="153"/>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8"/>
                <w:szCs w:val="18"/>
                <w:color w:val="auto"/>
              </w:rPr>
            </w:pPr>
          </w:p>
        </w:tc>
        <w:tc>
          <w:tcPr>
            <w:tcW w:w="820" w:type="dxa"/>
            <w:vAlign w:val="bottom"/>
          </w:tcPr>
          <w:p>
            <w:pPr>
              <w:jc w:val="right"/>
              <w:ind w:right="93"/>
              <w:spacing w:after="0"/>
              <w:rPr>
                <w:sz w:val="20"/>
                <w:szCs w:val="20"/>
                <w:color w:val="auto"/>
              </w:rPr>
            </w:pPr>
            <w:r>
              <w:rPr>
                <w:rFonts w:ascii="Arial" w:cs="Arial" w:eastAsia="Arial" w:hAnsi="Arial"/>
                <w:sz w:val="18"/>
                <w:szCs w:val="18"/>
                <w:color w:val="auto"/>
              </w:rPr>
              <w:t>(5,490)</w:t>
            </w:r>
          </w:p>
        </w:tc>
        <w:tc>
          <w:tcPr>
            <w:tcW w:w="28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(16)</w:t>
            </w:r>
          </w:p>
        </w:tc>
      </w:tr>
      <w:tr>
        <w:trPr>
          <w:trHeight w:val="210"/>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8"/>
              </w:rPr>
              <w:t>1,028</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84"/>
              </w:rPr>
              <w:t>1,461</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3"/>
              </w:rPr>
              <w:t>1,013</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84"/>
              </w:rPr>
              <w:t>1,496</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(69)</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(5,490)</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r>
      <w:tr>
        <w:trPr>
          <w:trHeight w:val="210"/>
        </w:trPr>
        <w:tc>
          <w:tcPr>
            <w:tcW w:w="20" w:type="dxa"/>
            <w:vAlign w:val="bottom"/>
          </w:tcPr>
          <w:p>
            <w:pPr>
              <w:spacing w:after="0"/>
              <w:rPr>
                <w:sz w:val="18"/>
                <w:szCs w:val="18"/>
                <w:color w:val="auto"/>
              </w:rPr>
            </w:pPr>
          </w:p>
        </w:tc>
        <w:tc>
          <w:tcPr>
            <w:tcW w:w="434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8"/>
              </w:rPr>
              <w:t>1,132</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1,461</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1,013</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1,496</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2,585</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(5,490)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2,197</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92</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(887)</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w:t>
            </w:r>
          </w:p>
        </w:tc>
      </w:tr>
      <w:tr>
        <w:trPr>
          <w:trHeight w:val="210"/>
        </w:trPr>
        <w:tc>
          <w:tcPr>
            <w:tcW w:w="20" w:type="dxa"/>
            <w:vAlign w:val="bottom"/>
          </w:tcPr>
          <w:p>
            <w:pPr>
              <w:spacing w:after="0"/>
              <w:rPr>
                <w:sz w:val="18"/>
                <w:szCs w:val="18"/>
                <w:color w:val="auto"/>
              </w:rPr>
            </w:pPr>
          </w:p>
        </w:tc>
        <w:tc>
          <w:tcPr>
            <w:tcW w:w="434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8"/>
              </w:rPr>
              <w:t>1,224</w:t>
            </w:r>
          </w:p>
        </w:tc>
        <w:tc>
          <w:tcPr>
            <w:tcW w:w="28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84"/>
              </w:rPr>
              <w:t>1,490</w:t>
            </w:r>
          </w:p>
        </w:tc>
        <w:tc>
          <w:tcPr>
            <w:tcW w:w="3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w w:val="93"/>
              </w:rPr>
              <w:t>1,026</w:t>
            </w:r>
          </w:p>
        </w:tc>
        <w:tc>
          <w:tcPr>
            <w:tcW w:w="280" w:type="dxa"/>
            <w:vAlign w:val="bottom"/>
            <w:shd w:val="clear" w:color="auto" w:fill="E5E5E5"/>
          </w:tcPr>
          <w:p>
            <w:pPr>
              <w:spacing w:after="0"/>
              <w:rPr>
                <w:sz w:val="18"/>
                <w:szCs w:val="18"/>
                <w:color w:val="auto"/>
              </w:rPr>
            </w:pPr>
          </w:p>
        </w:tc>
        <w:tc>
          <w:tcPr>
            <w:tcW w:w="640" w:type="dxa"/>
            <w:vAlign w:val="bottom"/>
            <w:shd w:val="clear" w:color="auto" w:fill="E5E5E5"/>
          </w:tcPr>
          <w:p>
            <w:pPr>
              <w:jc w:val="right"/>
              <w:ind w:right="152"/>
              <w:spacing w:after="0"/>
              <w:rPr>
                <w:sz w:val="20"/>
                <w:szCs w:val="20"/>
                <w:color w:val="auto"/>
              </w:rPr>
            </w:pPr>
            <w:r>
              <w:rPr>
                <w:rFonts w:ascii="Arial" w:cs="Arial" w:eastAsia="Arial" w:hAnsi="Arial"/>
                <w:sz w:val="18"/>
                <w:szCs w:val="18"/>
                <w:color w:val="auto"/>
                <w:w w:val="84"/>
              </w:rPr>
              <w:t>1,499</w:t>
            </w:r>
          </w:p>
        </w:tc>
        <w:tc>
          <w:tcPr>
            <w:tcW w:w="32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1,698</w:t>
            </w:r>
          </w:p>
        </w:tc>
        <w:tc>
          <w:tcPr>
            <w:tcW w:w="38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93"/>
              <w:spacing w:after="0"/>
              <w:rPr>
                <w:sz w:val="20"/>
                <w:szCs w:val="20"/>
                <w:color w:val="auto"/>
              </w:rPr>
            </w:pPr>
            <w:r>
              <w:rPr>
                <w:rFonts w:ascii="Arial" w:cs="Arial" w:eastAsia="Arial" w:hAnsi="Arial"/>
                <w:sz w:val="18"/>
                <w:szCs w:val="18"/>
                <w:color w:val="auto"/>
              </w:rPr>
              <w:t>(5,490)</w:t>
            </w:r>
          </w:p>
        </w:tc>
        <w:tc>
          <w:tcPr>
            <w:tcW w:w="28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1,447</w:t>
            </w:r>
          </w:p>
        </w:tc>
      </w:tr>
      <w:tr>
        <w:trPr>
          <w:trHeight w:val="216"/>
        </w:trPr>
        <w:tc>
          <w:tcPr>
            <w:tcW w:w="20" w:type="dxa"/>
            <w:vAlign w:val="bottom"/>
          </w:tcPr>
          <w:p>
            <w:pPr>
              <w:spacing w:after="0"/>
              <w:rPr>
                <w:sz w:val="18"/>
                <w:szCs w:val="18"/>
                <w:color w:val="auto"/>
              </w:rPr>
            </w:pPr>
          </w:p>
        </w:tc>
        <w:tc>
          <w:tcPr>
            <w:tcW w:w="43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7"/>
              </w:rPr>
              <w:t>Net (income) loss attributable to noncontrolling interests</w:t>
            </w:r>
          </w:p>
        </w:tc>
        <w:tc>
          <w:tcPr>
            <w:tcW w:w="3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(223)</w:t>
            </w:r>
          </w:p>
        </w:tc>
        <w:tc>
          <w:tcPr>
            <w:tcW w:w="3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r>
      <w:tr>
        <w:trPr>
          <w:trHeight w:val="217"/>
        </w:trPr>
        <w:tc>
          <w:tcPr>
            <w:tcW w:w="20" w:type="dxa"/>
            <w:vAlign w:val="bottom"/>
          </w:tcPr>
          <w:p>
            <w:pPr>
              <w:spacing w:after="0"/>
              <w:rPr>
                <w:sz w:val="18"/>
                <w:szCs w:val="18"/>
                <w:color w:val="auto"/>
              </w:rPr>
            </w:pPr>
          </w:p>
        </w:tc>
        <w:tc>
          <w:tcPr>
            <w:tcW w:w="43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w w:val="93"/>
              </w:rPr>
              <w:t>Net income (loss) attributable to Comcast Corporation</w:t>
            </w:r>
          </w:p>
        </w:tc>
        <w:tc>
          <w:tcPr>
            <w:tcW w:w="34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8"/>
              </w:rPr>
              <w:t>1,224</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84"/>
              </w:rPr>
              <w:t>1,490</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b w:val="1"/>
                <w:bCs w:val="1"/>
                <w:color w:val="auto"/>
                <w:w w:val="93"/>
              </w:rPr>
              <w:t>1,026</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b w:val="1"/>
                <w:bCs w:val="1"/>
                <w:color w:val="auto"/>
                <w:w w:val="84"/>
              </w:rPr>
              <w:t>1,499</w:t>
            </w:r>
          </w:p>
        </w:tc>
        <w:tc>
          <w:tcPr>
            <w:tcW w:w="32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b w:val="1"/>
                <w:bCs w:val="1"/>
                <w:color w:val="auto"/>
              </w:rPr>
              <w:t>1,475</w:t>
            </w:r>
          </w:p>
        </w:tc>
        <w:tc>
          <w:tcPr>
            <w:tcW w:w="3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shd w:val="clear" w:color="auto" w:fill="E5E5E5"/>
          </w:tcPr>
          <w:p>
            <w:pPr>
              <w:jc w:val="right"/>
              <w:ind w:right="93"/>
              <w:spacing w:after="0"/>
              <w:rPr>
                <w:sz w:val="20"/>
                <w:szCs w:val="20"/>
                <w:color w:val="auto"/>
              </w:rPr>
            </w:pPr>
            <w:r>
              <w:rPr>
                <w:rFonts w:ascii="Arial" w:cs="Arial" w:eastAsia="Arial" w:hAnsi="Arial"/>
                <w:sz w:val="18"/>
                <w:szCs w:val="18"/>
                <w:b w:val="1"/>
                <w:bCs w:val="1"/>
                <w:color w:val="auto"/>
              </w:rPr>
              <w:t>(5,490)</w:t>
            </w:r>
          </w:p>
        </w:tc>
        <w:tc>
          <w:tcPr>
            <w:tcW w:w="28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1,224</w:t>
            </w: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b w:val="1"/>
                <w:bCs w:val="1"/>
                <w:color w:val="auto"/>
              </w:rPr>
              <w:t>Comprehensive income attributable to Comcast</w:t>
            </w: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434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3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8"/>
              </w:rPr>
              <w:t>1,227</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84"/>
              </w:rPr>
              <w:t>1,492</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w w:val="93"/>
              </w:rPr>
              <w:t>1,026</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w w:val="84"/>
              </w:rPr>
              <w:t>1,499</w:t>
            </w:r>
          </w:p>
        </w:tc>
        <w:tc>
          <w:tcPr>
            <w:tcW w:w="32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b w:val="1"/>
                <w:bCs w:val="1"/>
                <w:color w:val="auto"/>
              </w:rPr>
              <w:t>1,474</w:t>
            </w:r>
          </w:p>
        </w:tc>
        <w:tc>
          <w:tcPr>
            <w:tcW w:w="3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b w:val="1"/>
                <w:bCs w:val="1"/>
                <w:color w:val="auto"/>
              </w:rPr>
              <w:t>(5,490)</w:t>
            </w:r>
          </w:p>
        </w:tc>
        <w:tc>
          <w:tcPr>
            <w:tcW w:w="2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1,228</w:t>
            </w:r>
          </w:p>
        </w:tc>
      </w:tr>
      <w:tr>
        <w:trPr>
          <w:trHeight w:val="363"/>
        </w:trPr>
        <w:tc>
          <w:tcPr>
            <w:tcW w:w="2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jc w:val="right"/>
              <w:ind w:right="332"/>
              <w:spacing w:after="0"/>
              <w:rPr>
                <w:sz w:val="20"/>
                <w:szCs w:val="20"/>
                <w:color w:val="auto"/>
              </w:rPr>
            </w:pPr>
            <w:r>
              <w:rPr>
                <w:rFonts w:ascii="Arial" w:cs="Arial" w:eastAsia="Arial" w:hAnsi="Arial"/>
                <w:sz w:val="18"/>
                <w:szCs w:val="18"/>
                <w:color w:val="auto"/>
                <w:w w:val="89"/>
              </w:rPr>
              <w:t>22</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Income</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20" w:type="dxa"/>
            <w:vAlign w:val="bottom"/>
            <w:gridSpan w:val="2"/>
          </w:tcPr>
          <w:p>
            <w:pPr>
              <w:ind w:left="180"/>
              <w:spacing w:after="0" w:line="149" w:lineRule="exact"/>
              <w:rPr>
                <w:sz w:val="20"/>
                <w:szCs w:val="20"/>
                <w:color w:val="auto"/>
              </w:rPr>
            </w:pPr>
            <w:r>
              <w:rPr>
                <w:rFonts w:ascii="Arial" w:cs="Arial" w:eastAsia="Arial" w:hAnsi="Arial"/>
                <w:sz w:val="14"/>
                <w:szCs w:val="14"/>
                <w:color w:val="auto"/>
              </w:rPr>
              <w:t>Combined</w:t>
            </w: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tcPr>
          <w:p>
            <w:pPr>
              <w:jc w:val="right"/>
              <w:ind w:right="373"/>
              <w:spacing w:after="0" w:line="149" w:lineRule="exact"/>
              <w:rPr>
                <w:sz w:val="20"/>
                <w:szCs w:val="20"/>
                <w:color w:val="auto"/>
              </w:rPr>
            </w:pPr>
            <w:r>
              <w:rPr>
                <w:rFonts w:ascii="Arial" w:cs="Arial" w:eastAsia="Arial" w:hAnsi="Arial"/>
                <w:sz w:val="14"/>
                <w:szCs w:val="14"/>
                <w:color w:val="auto"/>
              </w:rPr>
              <w:t>Non-</w:t>
            </w:r>
          </w:p>
        </w:tc>
        <w:tc>
          <w:tcPr>
            <w:tcW w:w="40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104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color w:val="auto"/>
              </w:rPr>
              <w:t>Comcast</w:t>
            </w:r>
          </w:p>
        </w:tc>
        <w:tc>
          <w:tcPr>
            <w:tcW w:w="1020" w:type="dxa"/>
            <w:vAlign w:val="bottom"/>
            <w:gridSpan w:val="2"/>
          </w:tcPr>
          <w:p>
            <w:pPr>
              <w:jc w:val="right"/>
              <w:ind w:right="292"/>
              <w:spacing w:after="0" w:line="149" w:lineRule="exact"/>
              <w:rPr>
                <w:sz w:val="20"/>
                <w:szCs w:val="20"/>
                <w:color w:val="auto"/>
              </w:rPr>
            </w:pPr>
            <w:r>
              <w:rPr>
                <w:rFonts w:ascii="Arial" w:cs="Arial" w:eastAsia="Arial" w:hAnsi="Arial"/>
                <w:sz w:val="14"/>
                <w:szCs w:val="14"/>
                <w:color w:val="auto"/>
              </w:rPr>
              <w:t>CCCL</w:t>
            </w:r>
          </w:p>
        </w:tc>
        <w:tc>
          <w:tcPr>
            <w:tcW w:w="1020" w:type="dxa"/>
            <w:vAlign w:val="bottom"/>
            <w:gridSpan w:val="2"/>
          </w:tcPr>
          <w:p>
            <w:pPr>
              <w:jc w:val="right"/>
              <w:ind w:right="232"/>
              <w:spacing w:after="0" w:line="149" w:lineRule="exact"/>
              <w:rPr>
                <w:sz w:val="20"/>
                <w:szCs w:val="20"/>
                <w:color w:val="auto"/>
              </w:rPr>
            </w:pPr>
            <w:r>
              <w:rPr>
                <w:rFonts w:ascii="Arial" w:cs="Arial" w:eastAsia="Arial" w:hAnsi="Arial"/>
                <w:sz w:val="14"/>
                <w:szCs w:val="14"/>
                <w:color w:val="auto"/>
              </w:rPr>
              <w:t>CCHMO</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Comcast</w:t>
            </w:r>
          </w:p>
        </w:tc>
        <w:tc>
          <w:tcPr>
            <w:tcW w:w="114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Consolidation</w:t>
            </w:r>
          </w:p>
        </w:tc>
        <w:tc>
          <w:tcPr>
            <w:tcW w:w="32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88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80" w:type="dxa"/>
            <w:vAlign w:val="bottom"/>
            <w:gridSpan w:val="2"/>
          </w:tcPr>
          <w:p>
            <w:pPr>
              <w:jc w:val="right"/>
              <w:ind w:right="25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312"/>
              <w:spacing w:after="0"/>
              <w:rPr>
                <w:sz w:val="20"/>
                <w:szCs w:val="20"/>
                <w:color w:val="auto"/>
              </w:rPr>
            </w:pPr>
            <w:r>
              <w:rPr>
                <w:rFonts w:ascii="Arial" w:cs="Arial" w:eastAsia="Arial" w:hAnsi="Arial"/>
                <w:sz w:val="14"/>
                <w:szCs w:val="14"/>
                <w:color w:val="auto"/>
              </w:rPr>
              <w:t>Parent</w:t>
            </w:r>
          </w:p>
        </w:tc>
        <w:tc>
          <w:tcPr>
            <w:tcW w:w="1020" w:type="dxa"/>
            <w:vAlign w:val="bottom"/>
            <w:gridSpan w:val="2"/>
          </w:tcPr>
          <w:p>
            <w:pPr>
              <w:jc w:val="right"/>
              <w:ind w:right="272"/>
              <w:spacing w:after="0"/>
              <w:rPr>
                <w:sz w:val="20"/>
                <w:szCs w:val="20"/>
                <w:color w:val="auto"/>
              </w:rPr>
            </w:pPr>
            <w:r>
              <w:rPr>
                <w:rFonts w:ascii="Arial" w:cs="Arial" w:eastAsia="Arial" w:hAnsi="Arial"/>
                <w:sz w:val="14"/>
                <w:szCs w:val="14"/>
                <w:color w:val="auto"/>
              </w:rPr>
              <w:t>Parents</w:t>
            </w:r>
          </w:p>
        </w:tc>
        <w:tc>
          <w:tcPr>
            <w:tcW w:w="980" w:type="dxa"/>
            <w:vAlign w:val="bottom"/>
            <w:gridSpan w:val="2"/>
          </w:tcPr>
          <w:p>
            <w:pPr>
              <w:ind w:left="200"/>
              <w:spacing w:after="0"/>
              <w:rPr>
                <w:sz w:val="20"/>
                <w:szCs w:val="20"/>
                <w:color w:val="auto"/>
              </w:rPr>
            </w:pPr>
            <w:r>
              <w:rPr>
                <w:rFonts w:ascii="Arial" w:cs="Arial" w:eastAsia="Arial" w:hAnsi="Arial"/>
                <w:sz w:val="14"/>
                <w:szCs w:val="14"/>
                <w:color w:val="auto"/>
              </w:rPr>
              <w:t>Holdings</w:t>
            </w:r>
          </w:p>
        </w:tc>
        <w:tc>
          <w:tcPr>
            <w:tcW w:w="114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4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10"/>
        </w:trPr>
        <w:tc>
          <w:tcPr>
            <w:tcW w:w="20" w:type="dxa"/>
            <w:vAlign w:val="bottom"/>
          </w:tcPr>
          <w:p>
            <w:pPr>
              <w:spacing w:after="0"/>
              <w:rPr>
                <w:sz w:val="18"/>
                <w:szCs w:val="18"/>
                <w:color w:val="auto"/>
              </w:rPr>
            </w:pPr>
          </w:p>
        </w:tc>
        <w:tc>
          <w:tcPr>
            <w:tcW w:w="386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2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6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auto"/>
            </w:tcBorders>
            <w:shd w:val="clear" w:color="auto" w:fill="E5E5E5"/>
          </w:tcPr>
          <w:p>
            <w:pPr>
              <w:spacing w:after="0"/>
              <w:rPr>
                <w:sz w:val="18"/>
                <w:szCs w:val="18"/>
                <w:color w:val="auto"/>
              </w:rPr>
            </w:pPr>
          </w:p>
        </w:tc>
        <w:tc>
          <w:tcPr>
            <w:tcW w:w="68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800" w:type="dxa"/>
            <w:vAlign w:val="bottom"/>
            <w:tcBorders>
              <w:top w:val="single" w:sz="8" w:color="auto"/>
            </w:tcBorders>
            <w:shd w:val="clear" w:color="auto" w:fill="E5E5E5"/>
          </w:tcPr>
          <w:p>
            <w:pPr>
              <w:spacing w:after="0"/>
              <w:rPr>
                <w:sz w:val="18"/>
                <w:szCs w:val="18"/>
                <w:color w:val="auto"/>
              </w:rPr>
            </w:pPr>
          </w:p>
        </w:tc>
        <w:tc>
          <w:tcPr>
            <w:tcW w:w="400" w:type="dxa"/>
            <w:vAlign w:val="bottom"/>
            <w:tcBorders>
              <w:top w:val="single" w:sz="8" w:color="auto"/>
            </w:tcBorders>
            <w:shd w:val="clear" w:color="auto" w:fill="E5E5E5"/>
          </w:tcPr>
          <w:p>
            <w:pPr>
              <w:spacing w:after="0"/>
              <w:rPr>
                <w:sz w:val="18"/>
                <w:szCs w:val="18"/>
                <w:color w:val="auto"/>
              </w:rPr>
            </w:pPr>
          </w:p>
        </w:tc>
        <w:tc>
          <w:tcPr>
            <w:tcW w:w="8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auto"/>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Service revenue</w:t>
            </w:r>
          </w:p>
        </w:tc>
        <w:tc>
          <w:tcPr>
            <w:tcW w:w="420" w:type="dxa"/>
            <w:vAlign w:val="bottom"/>
          </w:tcPr>
          <w:p>
            <w:pPr>
              <w:ind w:left="32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Pr>
          <w:p>
            <w:pPr>
              <w:ind w:left="18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ind w:left="20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Pr>
          <w:p>
            <w:pPr>
              <w:ind w:left="22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73"/>
              <w:spacing w:after="0"/>
              <w:rPr>
                <w:sz w:val="20"/>
                <w:szCs w:val="20"/>
                <w:color w:val="auto"/>
              </w:rPr>
            </w:pPr>
            <w:r>
              <w:rPr>
                <w:rFonts w:ascii="Arial" w:cs="Arial" w:eastAsia="Arial" w:hAnsi="Arial"/>
                <w:sz w:val="18"/>
                <w:szCs w:val="18"/>
                <w:color w:val="auto"/>
                <w:w w:val="94"/>
              </w:rPr>
              <w:t>12,128</w:t>
            </w:r>
          </w:p>
        </w:tc>
        <w:tc>
          <w:tcPr>
            <w:tcW w:w="400" w:type="dxa"/>
            <w:vAlign w:val="bottom"/>
          </w:tcPr>
          <w:p>
            <w:pPr>
              <w:ind w:left="2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ind w:left="22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12,128</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Management fee revenue</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198</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w w:val="94"/>
              </w:rPr>
              <w:t>12,128</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12,128</w:t>
            </w: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Costs and Expenses: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Operating costs and expenses</w:t>
            </w:r>
          </w:p>
        </w:tc>
        <w:tc>
          <w:tcPr>
            <w:tcW w:w="4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148</w:t>
            </w: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185</w:t>
            </w:r>
          </w:p>
        </w:tc>
        <w:tc>
          <w:tcPr>
            <w:tcW w:w="36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8,107</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(498)</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8,062</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Depreciation</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7</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1,479</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1,486</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Amortization</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355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356</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spacing w:after="0"/>
              <w:rPr>
                <w:sz w:val="18"/>
                <w:szCs w:val="18"/>
                <w:color w:val="auto"/>
              </w:rPr>
            </w:pP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color w:val="auto"/>
              </w:rPr>
              <w:t>156</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185</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115</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5</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9,941</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(498)</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9,904</w:t>
            </w:r>
          </w:p>
        </w:tc>
      </w:tr>
      <w:tr>
        <w:trPr>
          <w:trHeight w:val="210"/>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Operating income (loss)</w:t>
            </w:r>
          </w:p>
        </w:tc>
        <w:tc>
          <w:tcPr>
            <w:tcW w:w="4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rPr>
              <w:t>42</w:t>
            </w: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800" w:type="dxa"/>
            <w:vAlign w:val="bottom"/>
          </w:tcPr>
          <w:p>
            <w:pPr>
              <w:jc w:val="right"/>
              <w:ind w:right="173"/>
              <w:spacing w:after="0"/>
              <w:rPr>
                <w:sz w:val="20"/>
                <w:szCs w:val="20"/>
                <w:color w:val="auto"/>
              </w:rPr>
            </w:pPr>
            <w:r>
              <w:rPr>
                <w:rFonts w:ascii="Arial" w:cs="Arial" w:eastAsia="Arial" w:hAnsi="Arial"/>
                <w:sz w:val="18"/>
                <w:szCs w:val="18"/>
                <w:color w:val="auto"/>
              </w:rPr>
              <w:t>2,187</w:t>
            </w:r>
          </w:p>
        </w:tc>
        <w:tc>
          <w:tcPr>
            <w:tcW w:w="40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2,224</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Other Income (Expense):</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tcPr>
          <w:p>
            <w:pPr>
              <w:spacing w:after="0"/>
              <w:rPr>
                <w:sz w:val="18"/>
                <w:szCs w:val="18"/>
                <w:color w:val="auto"/>
              </w:rPr>
            </w:pPr>
          </w:p>
        </w:tc>
        <w:tc>
          <w:tcPr>
            <w:tcW w:w="660" w:type="dxa"/>
            <w:vAlign w:val="bottom"/>
          </w:tcPr>
          <w:p>
            <w:pPr>
              <w:jc w:val="right"/>
              <w:ind w:right="112"/>
              <w:spacing w:after="0"/>
              <w:rPr>
                <w:sz w:val="20"/>
                <w:szCs w:val="20"/>
                <w:color w:val="auto"/>
              </w:rPr>
            </w:pPr>
            <w:r>
              <w:rPr>
                <w:rFonts w:ascii="Arial" w:cs="Arial" w:eastAsia="Arial" w:hAnsi="Arial"/>
                <w:sz w:val="18"/>
                <w:szCs w:val="18"/>
                <w:color w:val="auto"/>
              </w:rPr>
              <w:t>(361)</w:t>
            </w:r>
          </w:p>
        </w:tc>
        <w:tc>
          <w:tcPr>
            <w:tcW w:w="300" w:type="dxa"/>
            <w:vAlign w:val="bottom"/>
          </w:tcPr>
          <w:p>
            <w:pPr>
              <w:spacing w:after="0"/>
              <w:rPr>
                <w:sz w:val="18"/>
                <w:szCs w:val="18"/>
                <w:color w:val="auto"/>
              </w:rPr>
            </w:pPr>
          </w:p>
        </w:tc>
        <w:tc>
          <w:tcPr>
            <w:tcW w:w="720" w:type="dxa"/>
            <w:vAlign w:val="bottom"/>
          </w:tcPr>
          <w:p>
            <w:pPr>
              <w:jc w:val="right"/>
              <w:ind w:right="172"/>
              <w:spacing w:after="0"/>
              <w:rPr>
                <w:sz w:val="20"/>
                <w:szCs w:val="20"/>
                <w:color w:val="auto"/>
              </w:rPr>
            </w:pPr>
            <w:r>
              <w:rPr>
                <w:rFonts w:ascii="Arial" w:cs="Arial" w:eastAsia="Arial" w:hAnsi="Arial"/>
                <w:sz w:val="18"/>
                <w:szCs w:val="18"/>
                <w:color w:val="auto"/>
              </w:rPr>
              <w:t>(91)</w:t>
            </w:r>
          </w:p>
        </w:tc>
        <w:tc>
          <w:tcPr>
            <w:tcW w:w="360" w:type="dxa"/>
            <w:vAlign w:val="bottom"/>
          </w:tcPr>
          <w:p>
            <w:pPr>
              <w:spacing w:after="0"/>
              <w:rPr>
                <w:sz w:val="18"/>
                <w:szCs w:val="18"/>
                <w:color w:val="auto"/>
              </w:rPr>
            </w:pPr>
          </w:p>
        </w:tc>
        <w:tc>
          <w:tcPr>
            <w:tcW w:w="66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(102)</w:t>
            </w:r>
          </w:p>
        </w:tc>
        <w:tc>
          <w:tcPr>
            <w:tcW w:w="400" w:type="dxa"/>
            <w:vAlign w:val="bottom"/>
          </w:tcPr>
          <w:p>
            <w:pPr>
              <w:spacing w:after="0"/>
              <w:rPr>
                <w:sz w:val="18"/>
                <w:szCs w:val="18"/>
                <w:color w:val="auto"/>
              </w:rPr>
            </w:pPr>
          </w:p>
        </w:tc>
        <w:tc>
          <w:tcPr>
            <w:tcW w:w="86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(605)</w:t>
            </w:r>
          </w:p>
        </w:tc>
      </w:tr>
      <w:tr>
        <w:trPr>
          <w:trHeight w:val="216"/>
        </w:trPr>
        <w:tc>
          <w:tcPr>
            <w:tcW w:w="20" w:type="dxa"/>
            <w:vAlign w:val="bottom"/>
          </w:tcPr>
          <w:p>
            <w:pPr>
              <w:spacing w:after="0"/>
              <w:rPr>
                <w:sz w:val="18"/>
                <w:szCs w:val="18"/>
                <w:color w:val="auto"/>
              </w:rPr>
            </w:pPr>
          </w:p>
        </w:tc>
        <w:tc>
          <w:tcPr>
            <w:tcW w:w="3860" w:type="dxa"/>
            <w:vAlign w:val="bottom"/>
            <w:shd w:val="clear" w:color="auto" w:fill="E5E5E5"/>
          </w:tcPr>
          <w:p>
            <w:pPr>
              <w:ind w:left="200"/>
              <w:spacing w:after="0"/>
              <w:rPr>
                <w:sz w:val="20"/>
                <w:szCs w:val="20"/>
                <w:color w:val="auto"/>
              </w:rPr>
            </w:pPr>
            <w:r>
              <w:rPr>
                <w:rFonts w:ascii="Arial" w:cs="Arial" w:eastAsia="Arial" w:hAnsi="Arial"/>
                <w:sz w:val="18"/>
                <w:szCs w:val="18"/>
                <w:color w:val="auto"/>
              </w:rPr>
              <w:t>Investment income (loss), net</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1</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4</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84</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89</w:t>
            </w:r>
          </w:p>
        </w:tc>
      </w:tr>
      <w:tr>
        <w:trPr>
          <w:trHeight w:val="216"/>
        </w:trPr>
        <w:tc>
          <w:tcPr>
            <w:tcW w:w="20" w:type="dxa"/>
            <w:vAlign w:val="bottom"/>
          </w:tcPr>
          <w:p>
            <w:pPr>
              <w:spacing w:after="0"/>
              <w:rPr>
                <w:sz w:val="18"/>
                <w:szCs w:val="18"/>
                <w:color w:val="auto"/>
              </w:rPr>
            </w:pPr>
          </w:p>
        </w:tc>
        <w:tc>
          <w:tcPr>
            <w:tcW w:w="3860" w:type="dxa"/>
            <w:vAlign w:val="bottom"/>
          </w:tcPr>
          <w:p>
            <w:pPr>
              <w:ind w:left="200"/>
              <w:spacing w:after="0"/>
              <w:rPr>
                <w:sz w:val="20"/>
                <w:szCs w:val="20"/>
                <w:color w:val="auto"/>
              </w:rPr>
            </w:pPr>
            <w:r>
              <w:rPr>
                <w:rFonts w:ascii="Arial" w:cs="Arial" w:eastAsia="Arial" w:hAnsi="Arial"/>
                <w:sz w:val="18"/>
                <w:szCs w:val="18"/>
                <w:color w:val="auto"/>
                <w:w w:val="99"/>
              </w:rPr>
              <w:t>Equity in net income (losses) of investees, net</w:t>
            </w:r>
          </w:p>
        </w:tc>
        <w:tc>
          <w:tcPr>
            <w:tcW w:w="420" w:type="dxa"/>
            <w:vAlign w:val="bottom"/>
          </w:tcPr>
          <w:p>
            <w:pPr>
              <w:spacing w:after="0"/>
              <w:rPr>
                <w:sz w:val="18"/>
                <w:szCs w:val="18"/>
                <w:color w:val="auto"/>
              </w:rPr>
            </w:pPr>
          </w:p>
        </w:tc>
        <w:tc>
          <w:tcPr>
            <w:tcW w:w="660" w:type="dxa"/>
            <w:vAlign w:val="bottom"/>
          </w:tcPr>
          <w:p>
            <w:pPr>
              <w:jc w:val="right"/>
              <w:ind w:right="172"/>
              <w:spacing w:after="0"/>
              <w:rPr>
                <w:sz w:val="20"/>
                <w:szCs w:val="20"/>
                <w:color w:val="auto"/>
              </w:rPr>
            </w:pPr>
            <w:r>
              <w:rPr>
                <w:rFonts w:ascii="Arial" w:cs="Arial" w:eastAsia="Arial" w:hAnsi="Arial"/>
                <w:sz w:val="18"/>
                <w:szCs w:val="18"/>
                <w:color w:val="auto"/>
                <w:w w:val="84"/>
              </w:rPr>
              <w:t>1,161</w:t>
            </w:r>
          </w:p>
        </w:tc>
        <w:tc>
          <w:tcPr>
            <w:tcW w:w="300" w:type="dxa"/>
            <w:vAlign w:val="bottom"/>
          </w:tcPr>
          <w:p>
            <w:pPr>
              <w:spacing w:after="0"/>
              <w:rPr>
                <w:sz w:val="18"/>
                <w:szCs w:val="18"/>
                <w:color w:val="auto"/>
              </w:rPr>
            </w:pPr>
          </w:p>
        </w:tc>
        <w:tc>
          <w:tcPr>
            <w:tcW w:w="720" w:type="dxa"/>
            <w:vAlign w:val="bottom"/>
          </w:tcPr>
          <w:p>
            <w:pPr>
              <w:jc w:val="right"/>
              <w:ind w:right="232"/>
              <w:spacing w:after="0"/>
              <w:rPr>
                <w:sz w:val="20"/>
                <w:szCs w:val="20"/>
                <w:color w:val="auto"/>
              </w:rPr>
            </w:pPr>
            <w:r>
              <w:rPr>
                <w:rFonts w:ascii="Arial" w:cs="Arial" w:eastAsia="Arial" w:hAnsi="Arial"/>
                <w:sz w:val="18"/>
                <w:szCs w:val="18"/>
                <w:color w:val="auto"/>
                <w:w w:val="84"/>
              </w:rPr>
              <w:t>1,323</w:t>
            </w:r>
          </w:p>
        </w:tc>
        <w:tc>
          <w:tcPr>
            <w:tcW w:w="360" w:type="dxa"/>
            <w:vAlign w:val="bottom"/>
          </w:tcPr>
          <w:p>
            <w:pPr>
              <w:spacing w:after="0"/>
              <w:rPr>
                <w:sz w:val="18"/>
                <w:szCs w:val="18"/>
                <w:color w:val="auto"/>
              </w:rPr>
            </w:pPr>
          </w:p>
        </w:tc>
        <w:tc>
          <w:tcPr>
            <w:tcW w:w="660" w:type="dxa"/>
            <w:vAlign w:val="bottom"/>
          </w:tcPr>
          <w:p>
            <w:pPr>
              <w:jc w:val="right"/>
              <w:ind w:right="192"/>
              <w:spacing w:after="0"/>
              <w:rPr>
                <w:sz w:val="20"/>
                <w:szCs w:val="20"/>
                <w:color w:val="auto"/>
              </w:rPr>
            </w:pPr>
            <w:r>
              <w:rPr>
                <w:rFonts w:ascii="Arial" w:cs="Arial" w:eastAsia="Arial" w:hAnsi="Arial"/>
                <w:sz w:val="18"/>
                <w:szCs w:val="18"/>
                <w:color w:val="auto"/>
              </w:rPr>
              <w:t>794</w:t>
            </w:r>
          </w:p>
        </w:tc>
        <w:tc>
          <w:tcPr>
            <w:tcW w:w="30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1,292</w:t>
            </w:r>
          </w:p>
        </w:tc>
        <w:tc>
          <w:tcPr>
            <w:tcW w:w="340" w:type="dxa"/>
            <w:vAlign w:val="bottom"/>
          </w:tcPr>
          <w:p>
            <w:pPr>
              <w:spacing w:after="0"/>
              <w:rPr>
                <w:sz w:val="18"/>
                <w:szCs w:val="18"/>
                <w:color w:val="auto"/>
              </w:rPr>
            </w:pPr>
          </w:p>
        </w:tc>
        <w:tc>
          <w:tcPr>
            <w:tcW w:w="800" w:type="dxa"/>
            <w:vAlign w:val="bottom"/>
          </w:tcPr>
          <w:p>
            <w:pPr>
              <w:jc w:val="right"/>
              <w:ind w:right="113"/>
              <w:spacing w:after="0"/>
              <w:rPr>
                <w:sz w:val="20"/>
                <w:szCs w:val="20"/>
                <w:color w:val="auto"/>
              </w:rPr>
            </w:pPr>
            <w:r>
              <w:rPr>
                <w:rFonts w:ascii="Arial" w:cs="Arial" w:eastAsia="Arial" w:hAnsi="Arial"/>
                <w:sz w:val="18"/>
                <w:szCs w:val="18"/>
                <w:color w:val="auto"/>
              </w:rPr>
              <w:t>(37)</w:t>
            </w:r>
          </w:p>
        </w:tc>
        <w:tc>
          <w:tcPr>
            <w:tcW w:w="400" w:type="dxa"/>
            <w:vAlign w:val="bottom"/>
          </w:tcPr>
          <w:p>
            <w:pPr>
              <w:spacing w:after="0"/>
              <w:rPr>
                <w:sz w:val="18"/>
                <w:szCs w:val="18"/>
                <w:color w:val="auto"/>
              </w:rPr>
            </w:pPr>
          </w:p>
        </w:tc>
        <w:tc>
          <w:tcPr>
            <w:tcW w:w="860" w:type="dxa"/>
            <w:vAlign w:val="bottom"/>
          </w:tcPr>
          <w:p>
            <w:pPr>
              <w:jc w:val="right"/>
              <w:ind w:right="133"/>
              <w:spacing w:after="0"/>
              <w:rPr>
                <w:sz w:val="20"/>
                <w:szCs w:val="20"/>
                <w:color w:val="auto"/>
              </w:rPr>
            </w:pPr>
            <w:r>
              <w:rPr>
                <w:rFonts w:ascii="Arial" w:cs="Arial" w:eastAsia="Arial" w:hAnsi="Arial"/>
                <w:sz w:val="18"/>
                <w:szCs w:val="18"/>
                <w:color w:val="auto"/>
              </w:rPr>
              <w:t>(4,570)</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 income (expense), net</w:t>
            </w:r>
          </w:p>
        </w:tc>
        <w:tc>
          <w:tcPr>
            <w:tcW w:w="42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12"/>
              <w:spacing w:after="0"/>
              <w:rPr>
                <w:sz w:val="20"/>
                <w:szCs w:val="20"/>
                <w:color w:val="auto"/>
              </w:rPr>
            </w:pPr>
            <w:r>
              <w:rPr>
                <w:rFonts w:ascii="Arial" w:cs="Arial" w:eastAsia="Arial" w:hAnsi="Arial"/>
                <w:sz w:val="18"/>
                <w:szCs w:val="18"/>
                <w:color w:val="auto"/>
              </w:rPr>
              <w:t>(17)</w:t>
            </w:r>
          </w:p>
        </w:tc>
        <w:tc>
          <w:tcPr>
            <w:tcW w:w="30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1</w:t>
            </w:r>
          </w:p>
        </w:tc>
        <w:tc>
          <w:tcPr>
            <w:tcW w:w="34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13"/>
              <w:spacing w:after="0"/>
              <w:rPr>
                <w:sz w:val="20"/>
                <w:szCs w:val="20"/>
                <w:color w:val="auto"/>
              </w:rPr>
            </w:pPr>
            <w:r>
              <w:rPr>
                <w:rFonts w:ascii="Arial" w:cs="Arial" w:eastAsia="Arial" w:hAnsi="Arial"/>
                <w:sz w:val="18"/>
                <w:szCs w:val="18"/>
                <w:color w:val="auto"/>
              </w:rPr>
              <w:t>(20)</w:t>
            </w:r>
          </w:p>
        </w:tc>
        <w:tc>
          <w:tcPr>
            <w:tcW w:w="40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(36)</w:t>
            </w:r>
          </w:p>
        </w:tc>
      </w:tr>
      <w:tr>
        <w:trPr>
          <w:trHeight w:val="210"/>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784</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w w:val="84"/>
              </w:rPr>
              <w:t>1,232</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751</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84"/>
              </w:rPr>
              <w:t>1,289</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(4,570)</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w:t>
            </w: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Income (loss) before income taxes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826</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84"/>
              </w:rPr>
              <w:t>1,232</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751</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1,284</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2,112</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(4,570)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1,635</w:t>
            </w:r>
          </w:p>
        </w:tc>
      </w:tr>
      <w:tr>
        <w:trPr>
          <w:trHeight w:val="216"/>
        </w:trPr>
        <w:tc>
          <w:tcPr>
            <w:tcW w:w="20" w:type="dxa"/>
            <w:vAlign w:val="bottom"/>
          </w:tcPr>
          <w:p>
            <w:pPr>
              <w:spacing w:after="0"/>
              <w:rPr>
                <w:sz w:val="18"/>
                <w:szCs w:val="18"/>
                <w:color w:val="auto"/>
              </w:rPr>
            </w:pPr>
          </w:p>
        </w:tc>
        <w:tc>
          <w:tcPr>
            <w:tcW w:w="3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Income tax (expense) benefit</w:t>
            </w:r>
          </w:p>
        </w:tc>
        <w:tc>
          <w:tcPr>
            <w:tcW w:w="4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117</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32</w:t>
            </w: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15</w:t>
            </w:r>
          </w:p>
        </w:tc>
        <w:tc>
          <w:tcPr>
            <w:tcW w:w="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w:t>
            </w: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(763)</w:t>
            </w:r>
          </w:p>
        </w:tc>
        <w:tc>
          <w:tcPr>
            <w:tcW w:w="4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r>
      <w:tr>
        <w:trPr>
          <w:trHeight w:val="210"/>
        </w:trPr>
        <w:tc>
          <w:tcPr>
            <w:tcW w:w="20" w:type="dxa"/>
            <w:vAlign w:val="bottom"/>
          </w:tcPr>
          <w:p>
            <w:pPr>
              <w:spacing w:after="0"/>
              <w:rPr>
                <w:sz w:val="18"/>
                <w:szCs w:val="18"/>
                <w:color w:val="auto"/>
              </w:rPr>
            </w:pPr>
          </w:p>
        </w:tc>
        <w:tc>
          <w:tcPr>
            <w:tcW w:w="3860" w:type="dxa"/>
            <w:vAlign w:val="bottom"/>
            <w:shd w:val="clear" w:color="auto" w:fill="E5E5E5"/>
          </w:tcPr>
          <w:p>
            <w:pPr>
              <w:spacing w:after="0"/>
              <w:rPr>
                <w:sz w:val="20"/>
                <w:szCs w:val="20"/>
                <w:color w:val="auto"/>
              </w:rPr>
            </w:pPr>
            <w:r>
              <w:rPr>
                <w:rFonts w:ascii="Arial" w:cs="Arial" w:eastAsia="Arial" w:hAnsi="Arial"/>
                <w:sz w:val="18"/>
                <w:szCs w:val="18"/>
                <w:color w:val="auto"/>
              </w:rPr>
              <w:t>Net income (loss)</w:t>
            </w:r>
          </w:p>
        </w:tc>
        <w:tc>
          <w:tcPr>
            <w:tcW w:w="42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72"/>
              <w:spacing w:after="0"/>
              <w:rPr>
                <w:sz w:val="20"/>
                <w:szCs w:val="20"/>
                <w:color w:val="auto"/>
              </w:rPr>
            </w:pPr>
            <w:r>
              <w:rPr>
                <w:rFonts w:ascii="Arial" w:cs="Arial" w:eastAsia="Arial" w:hAnsi="Arial"/>
                <w:sz w:val="18"/>
                <w:szCs w:val="18"/>
                <w:color w:val="auto"/>
              </w:rPr>
              <w:t>943</w:t>
            </w:r>
          </w:p>
        </w:tc>
        <w:tc>
          <w:tcPr>
            <w:tcW w:w="30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232"/>
              <w:spacing w:after="0"/>
              <w:rPr>
                <w:sz w:val="20"/>
                <w:szCs w:val="20"/>
                <w:color w:val="auto"/>
              </w:rPr>
            </w:pPr>
            <w:r>
              <w:rPr>
                <w:rFonts w:ascii="Arial" w:cs="Arial" w:eastAsia="Arial" w:hAnsi="Arial"/>
                <w:sz w:val="18"/>
                <w:szCs w:val="18"/>
                <w:color w:val="auto"/>
                <w:w w:val="84"/>
              </w:rPr>
              <w:t>1,264</w:t>
            </w:r>
          </w:p>
        </w:tc>
        <w:tc>
          <w:tcPr>
            <w:tcW w:w="36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766</w:t>
            </w:r>
          </w:p>
        </w:tc>
        <w:tc>
          <w:tcPr>
            <w:tcW w:w="30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w w:val="84"/>
              </w:rPr>
              <w:t>1,287</w:t>
            </w:r>
          </w:p>
        </w:tc>
        <w:tc>
          <w:tcPr>
            <w:tcW w:w="34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1,349</w:t>
            </w:r>
          </w:p>
        </w:tc>
        <w:tc>
          <w:tcPr>
            <w:tcW w:w="40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(4,570)</w:t>
            </w:r>
          </w:p>
        </w:tc>
        <w:tc>
          <w:tcPr>
            <w:tcW w:w="32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1,039</w:t>
            </w:r>
          </w:p>
        </w:tc>
      </w:tr>
      <w:tr>
        <w:trPr>
          <w:trHeight w:val="208"/>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Net (income) loss attributable to noncontrolling</w:t>
            </w:r>
          </w:p>
        </w:tc>
        <w:tc>
          <w:tcPr>
            <w:tcW w:w="4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interests</w:t>
            </w:r>
          </w:p>
        </w:tc>
        <w:tc>
          <w:tcPr>
            <w:tcW w:w="4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color w:val="auto"/>
              </w:rPr>
              <w:t>(96)</w:t>
            </w: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197"/>
        </w:trPr>
        <w:tc>
          <w:tcPr>
            <w:tcW w:w="20" w:type="dxa"/>
            <w:vAlign w:val="bottom"/>
          </w:tcPr>
          <w:p>
            <w:pPr>
              <w:spacing w:after="0"/>
              <w:rPr>
                <w:sz w:val="17"/>
                <w:szCs w:val="17"/>
                <w:color w:val="auto"/>
              </w:rPr>
            </w:pPr>
          </w:p>
        </w:tc>
        <w:tc>
          <w:tcPr>
            <w:tcW w:w="3860" w:type="dxa"/>
            <w:vAlign w:val="bottom"/>
            <w:shd w:val="clear" w:color="auto" w:fill="E5E5E5"/>
          </w:tcPr>
          <w:p>
            <w:pPr>
              <w:spacing w:after="0" w:line="197" w:lineRule="exact"/>
              <w:rPr>
                <w:sz w:val="20"/>
                <w:szCs w:val="20"/>
                <w:color w:val="auto"/>
              </w:rPr>
            </w:pPr>
            <w:r>
              <w:rPr>
                <w:rFonts w:ascii="Arial" w:cs="Arial" w:eastAsia="Arial" w:hAnsi="Arial"/>
                <w:sz w:val="18"/>
                <w:szCs w:val="18"/>
                <w:b w:val="1"/>
                <w:bCs w:val="1"/>
                <w:color w:val="auto"/>
              </w:rPr>
              <w:t>Net income (loss) attributable to Comcast</w:t>
            </w:r>
          </w:p>
        </w:tc>
        <w:tc>
          <w:tcPr>
            <w:tcW w:w="42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30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Borders>
              <w:bottom w:val="single" w:sz="8" w:color="auto"/>
            </w:tcBorders>
            <w:shd w:val="clear" w:color="auto" w:fill="E5E5E5"/>
          </w:tcPr>
          <w:p>
            <w:pPr>
              <w:ind w:left="3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shd w:val="clear" w:color="auto" w:fill="E5E5E5"/>
          </w:tcPr>
          <w:p>
            <w:pPr>
              <w:jc w:val="right"/>
              <w:ind w:right="172"/>
              <w:spacing w:after="0"/>
              <w:rPr>
                <w:sz w:val="20"/>
                <w:szCs w:val="20"/>
                <w:color w:val="auto"/>
              </w:rPr>
            </w:pPr>
            <w:r>
              <w:rPr>
                <w:rFonts w:ascii="Arial" w:cs="Arial" w:eastAsia="Arial" w:hAnsi="Arial"/>
                <w:sz w:val="18"/>
                <w:szCs w:val="18"/>
                <w:b w:val="1"/>
                <w:bCs w:val="1"/>
                <w:color w:val="auto"/>
              </w:rPr>
              <w:t>943</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shd w:val="clear" w:color="auto" w:fill="E5E5E5"/>
          </w:tcPr>
          <w:p>
            <w:pPr>
              <w:jc w:val="right"/>
              <w:ind w:right="232"/>
              <w:spacing w:after="0"/>
              <w:rPr>
                <w:sz w:val="20"/>
                <w:szCs w:val="20"/>
                <w:color w:val="auto"/>
              </w:rPr>
            </w:pPr>
            <w:r>
              <w:rPr>
                <w:rFonts w:ascii="Arial" w:cs="Arial" w:eastAsia="Arial" w:hAnsi="Arial"/>
                <w:sz w:val="18"/>
                <w:szCs w:val="18"/>
                <w:b w:val="1"/>
                <w:bCs w:val="1"/>
                <w:color w:val="auto"/>
                <w:w w:val="84"/>
              </w:rPr>
              <w:t>1,264</w:t>
            </w:r>
          </w:p>
        </w:tc>
        <w:tc>
          <w:tcPr>
            <w:tcW w:w="360" w:type="dxa"/>
            <w:vAlign w:val="bottom"/>
            <w:tcBorders>
              <w:bottom w:val="single" w:sz="8" w:color="auto"/>
            </w:tcBorders>
            <w:shd w:val="clear" w:color="auto" w:fill="E5E5E5"/>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766</w:t>
            </w:r>
          </w:p>
        </w:tc>
        <w:tc>
          <w:tcPr>
            <w:tcW w:w="3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b w:val="1"/>
                <w:bCs w:val="1"/>
                <w:color w:val="auto"/>
                <w:w w:val="84"/>
              </w:rPr>
              <w:t>1,287</w:t>
            </w:r>
          </w:p>
        </w:tc>
        <w:tc>
          <w:tcPr>
            <w:tcW w:w="3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b w:val="1"/>
                <w:bCs w:val="1"/>
                <w:color w:val="auto"/>
              </w:rPr>
              <w:t>1,253</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b w:val="1"/>
                <w:bCs w:val="1"/>
                <w:color w:val="auto"/>
              </w:rPr>
              <w:t>(4,570)</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943</w:t>
            </w:r>
          </w:p>
        </w:tc>
      </w:tr>
      <w:tr>
        <w:trPr>
          <w:trHeight w:val="202"/>
        </w:trPr>
        <w:tc>
          <w:tcPr>
            <w:tcW w:w="20" w:type="dxa"/>
            <w:vAlign w:val="bottom"/>
          </w:tcPr>
          <w:p>
            <w:pPr>
              <w:spacing w:after="0"/>
              <w:rPr>
                <w:sz w:val="17"/>
                <w:szCs w:val="17"/>
                <w:color w:val="auto"/>
              </w:rPr>
            </w:pPr>
          </w:p>
        </w:tc>
        <w:tc>
          <w:tcPr>
            <w:tcW w:w="3860" w:type="dxa"/>
            <w:vAlign w:val="bottom"/>
          </w:tcPr>
          <w:p>
            <w:pPr>
              <w:spacing w:after="0" w:line="201" w:lineRule="exact"/>
              <w:rPr>
                <w:sz w:val="20"/>
                <w:szCs w:val="20"/>
                <w:color w:val="auto"/>
              </w:rPr>
            </w:pPr>
            <w:r>
              <w:rPr>
                <w:rFonts w:ascii="Arial" w:cs="Arial" w:eastAsia="Arial" w:hAnsi="Arial"/>
                <w:sz w:val="18"/>
                <w:szCs w:val="18"/>
                <w:b w:val="1"/>
                <w:bCs w:val="1"/>
                <w:color w:val="auto"/>
                <w:w w:val="93"/>
              </w:rPr>
              <w:t>Comprehensive income attributable to Comcast</w:t>
            </w:r>
          </w:p>
        </w:tc>
        <w:tc>
          <w:tcPr>
            <w:tcW w:w="4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8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Corporation</w:t>
            </w:r>
          </w:p>
        </w:tc>
        <w:tc>
          <w:tcPr>
            <w:tcW w:w="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w w:val="79"/>
              </w:rPr>
              <w:t>$</w:t>
            </w:r>
          </w:p>
        </w:tc>
        <w:tc>
          <w:tcPr>
            <w:tcW w:w="6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b w:val="1"/>
                <w:bCs w:val="1"/>
                <w:color w:val="auto"/>
              </w:rPr>
              <w:t>941</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8"/>
                <w:szCs w:val="18"/>
                <w:b w:val="1"/>
                <w:bCs w:val="1"/>
                <w:color w:val="auto"/>
                <w:w w:val="84"/>
              </w:rPr>
              <w:t>1,266</w:t>
            </w:r>
          </w:p>
        </w:tc>
        <w:tc>
          <w:tcPr>
            <w:tcW w:w="3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766</w:t>
            </w:r>
          </w:p>
        </w:tc>
        <w:tc>
          <w:tcPr>
            <w:tcW w:w="3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w w:val="84"/>
              </w:rPr>
              <w:t>1,287</w:t>
            </w:r>
          </w:p>
        </w:tc>
        <w:tc>
          <w:tcPr>
            <w:tcW w:w="3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1,255</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rPr>
              <w:t>(4,570)</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945</w:t>
            </w:r>
          </w:p>
        </w:tc>
      </w:tr>
      <w:tr>
        <w:trPr>
          <w:trHeight w:val="363"/>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jc w:val="right"/>
              <w:ind w:right="72"/>
              <w:spacing w:after="0"/>
              <w:rPr>
                <w:sz w:val="20"/>
                <w:szCs w:val="20"/>
                <w:color w:val="auto"/>
              </w:rPr>
            </w:pPr>
            <w:r>
              <w:rPr>
                <w:rFonts w:ascii="Arial" w:cs="Arial" w:eastAsia="Arial" w:hAnsi="Arial"/>
                <w:sz w:val="18"/>
                <w:szCs w:val="18"/>
                <w:color w:val="auto"/>
              </w:rPr>
              <w:t>23</w:t>
            </w: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2012</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3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Combined</w:t>
            </w:r>
          </w:p>
        </w:tc>
        <w:tc>
          <w:tcPr>
            <w:tcW w:w="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0" w:type="dxa"/>
            <w:vAlign w:val="bottom"/>
          </w:tcPr>
          <w:p>
            <w:pPr>
              <w:jc w:val="right"/>
              <w:ind w:right="393"/>
              <w:spacing w:after="0" w:line="149" w:lineRule="exact"/>
              <w:rPr>
                <w:sz w:val="20"/>
                <w:szCs w:val="20"/>
                <w:color w:val="auto"/>
              </w:rPr>
            </w:pPr>
            <w:r>
              <w:rPr>
                <w:rFonts w:ascii="Arial" w:cs="Arial" w:eastAsia="Arial" w:hAnsi="Arial"/>
                <w:sz w:val="14"/>
                <w:szCs w:val="14"/>
                <w:color w:val="auto"/>
                <w:w w:val="98"/>
              </w:rPr>
              <w:t>Non-</w:t>
            </w:r>
          </w:p>
        </w:tc>
        <w:tc>
          <w:tcPr>
            <w:tcW w:w="420" w:type="dxa"/>
            <w:vAlign w:val="bottom"/>
          </w:tcPr>
          <w:p>
            <w:pPr>
              <w:spacing w:after="0"/>
              <w:rPr>
                <w:sz w:val="12"/>
                <w:szCs w:val="12"/>
                <w:color w:val="auto"/>
              </w:rPr>
            </w:pPr>
          </w:p>
        </w:tc>
        <w:tc>
          <w:tcPr>
            <w:tcW w:w="860" w:type="dxa"/>
            <w:vAlign w:val="bottom"/>
          </w:tcPr>
          <w:p>
            <w:pPr>
              <w:jc w:val="center"/>
              <w:ind w:right="373"/>
              <w:spacing w:after="0" w:line="149" w:lineRule="exact"/>
              <w:rPr>
                <w:sz w:val="20"/>
                <w:szCs w:val="20"/>
                <w:color w:val="auto"/>
              </w:rPr>
            </w:pPr>
            <w:r>
              <w:rPr>
                <w:rFonts w:ascii="Arial" w:cs="Arial" w:eastAsia="Arial" w:hAnsi="Arial"/>
                <w:sz w:val="14"/>
                <w:szCs w:val="14"/>
                <w:color w:val="auto"/>
                <w:w w:val="85"/>
              </w:rPr>
              <w:t>and</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3760" w:type="dxa"/>
            <w:vAlign w:val="bottom"/>
          </w:tcPr>
          <w:p>
            <w:pPr>
              <w:spacing w:after="0"/>
              <w:rPr>
                <w:sz w:val="12"/>
                <w:szCs w:val="12"/>
                <w:color w:val="auto"/>
              </w:rPr>
            </w:pPr>
          </w:p>
        </w:tc>
        <w:tc>
          <w:tcPr>
            <w:tcW w:w="1100" w:type="dxa"/>
            <w:vAlign w:val="bottom"/>
            <w:gridSpan w:val="2"/>
          </w:tcPr>
          <w:p>
            <w:pPr>
              <w:jc w:val="right"/>
              <w:ind w:right="233"/>
              <w:spacing w:after="0" w:line="149" w:lineRule="exact"/>
              <w:rPr>
                <w:sz w:val="20"/>
                <w:szCs w:val="20"/>
                <w:color w:val="auto"/>
              </w:rPr>
            </w:pPr>
            <w:r>
              <w:rPr>
                <w:rFonts w:ascii="Arial" w:cs="Arial" w:eastAsia="Arial" w:hAnsi="Arial"/>
                <w:sz w:val="14"/>
                <w:szCs w:val="14"/>
                <w:color w:val="auto"/>
              </w:rPr>
              <w:t>Comcast</w:t>
            </w:r>
          </w:p>
        </w:tc>
        <w:tc>
          <w:tcPr>
            <w:tcW w:w="7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CCCL</w:t>
            </w:r>
          </w:p>
        </w:tc>
        <w:tc>
          <w:tcPr>
            <w:tcW w:w="13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53"/>
              <w:spacing w:after="0" w:line="149" w:lineRule="exact"/>
              <w:rPr>
                <w:sz w:val="20"/>
                <w:szCs w:val="20"/>
                <w:color w:val="auto"/>
              </w:rPr>
            </w:pPr>
            <w:r>
              <w:rPr>
                <w:rFonts w:ascii="Arial" w:cs="Arial" w:eastAsia="Arial" w:hAnsi="Arial"/>
                <w:sz w:val="14"/>
                <w:szCs w:val="14"/>
                <w:color w:val="auto"/>
              </w:rPr>
              <w:t>Guarantor</w:t>
            </w:r>
          </w:p>
        </w:tc>
        <w:tc>
          <w:tcPr>
            <w:tcW w:w="1280" w:type="dxa"/>
            <w:vAlign w:val="bottom"/>
            <w:gridSpan w:val="2"/>
          </w:tcPr>
          <w:p>
            <w:pPr>
              <w:jc w:val="right"/>
              <w:ind w:right="193"/>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millions)</w:t>
            </w:r>
          </w:p>
        </w:tc>
        <w:tc>
          <w:tcPr>
            <w:tcW w:w="3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color w:val="auto"/>
                <w:w w:val="77"/>
              </w:rPr>
              <w:t>Parent</w:t>
            </w:r>
          </w:p>
        </w:tc>
        <w:tc>
          <w:tcPr>
            <w:tcW w:w="7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Parent</w:t>
            </w:r>
          </w:p>
        </w:tc>
        <w:tc>
          <w:tcPr>
            <w:tcW w:w="1300" w:type="dxa"/>
            <w:vAlign w:val="bottom"/>
            <w:tcBorders>
              <w:bottom w:val="single" w:sz="8" w:color="auto"/>
            </w:tcBorders>
            <w:gridSpan w:val="2"/>
          </w:tcPr>
          <w:p>
            <w:pPr>
              <w:jc w:val="right"/>
              <w:ind w:right="292"/>
              <w:spacing w:after="0"/>
              <w:rPr>
                <w:sz w:val="20"/>
                <w:szCs w:val="20"/>
                <w:color w:val="auto"/>
              </w:rPr>
            </w:pPr>
            <w:r>
              <w:rPr>
                <w:rFonts w:ascii="Arial" w:cs="Arial" w:eastAsia="Arial" w:hAnsi="Arial"/>
                <w:sz w:val="14"/>
                <w:szCs w:val="14"/>
                <w:color w:val="auto"/>
              </w:rPr>
              <w:t>Parents</w:t>
            </w: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color w:val="auto"/>
              </w:rPr>
              <w:t>Holdings</w:t>
            </w:r>
          </w:p>
        </w:tc>
        <w:tc>
          <w:tcPr>
            <w:tcW w:w="118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color w:val="auto"/>
              </w:rPr>
              <w:t>Subsidiaries</w:t>
            </w: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80" w:type="dxa"/>
            <w:vAlign w:val="bottom"/>
            <w:tcBorders>
              <w:bottom w:val="single" w:sz="8" w:color="auto"/>
            </w:tcBorders>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3760" w:type="dxa"/>
            <w:vAlign w:val="bottom"/>
            <w:shd w:val="clear" w:color="auto" w:fill="E5E5E5"/>
          </w:tcPr>
          <w:p>
            <w:pPr>
              <w:ind w:left="220"/>
              <w:spacing w:after="0" w:line="201" w:lineRule="exact"/>
              <w:rPr>
                <w:sz w:val="20"/>
                <w:szCs w:val="20"/>
                <w:color w:val="auto"/>
              </w:rPr>
            </w:pPr>
            <w:r>
              <w:rPr>
                <w:rFonts w:ascii="Arial" w:cs="Arial" w:eastAsia="Arial" w:hAnsi="Arial"/>
                <w:sz w:val="18"/>
                <w:szCs w:val="18"/>
                <w:color w:val="auto"/>
              </w:rPr>
              <w:t>Net cash provided by (used in) operating</w:t>
            </w:r>
          </w:p>
        </w:tc>
        <w:tc>
          <w:tcPr>
            <w:tcW w:w="3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37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activities</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(242)</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w w:val="79"/>
              </w:rPr>
              <w:t>$</w:t>
            </w: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53</w:t>
            </w:r>
          </w:p>
        </w:tc>
        <w:tc>
          <w:tcPr>
            <w:tcW w:w="6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(77)</w:t>
            </w:r>
          </w:p>
        </w:tc>
        <w:tc>
          <w:tcPr>
            <w:tcW w:w="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4,668</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4,393</w:t>
            </w:r>
          </w:p>
        </w:tc>
      </w:tr>
      <w:tr>
        <w:trPr>
          <w:trHeight w:val="212"/>
        </w:trPr>
        <w:tc>
          <w:tcPr>
            <w:tcW w:w="376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Net transactions with affiliates</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w w:val="97"/>
              </w:rPr>
              <w:t>1,639</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w w:val="93"/>
              </w:rPr>
              <w:t>(53)</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630</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9</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w w:val="98"/>
              </w:rPr>
              <w:t>(2,225)</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Capital expenditures</w:t>
            </w:r>
          </w:p>
        </w:tc>
        <w:tc>
          <w:tcPr>
            <w:tcW w:w="36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w w:val="98"/>
              </w:rPr>
              <w:t>(1,172)</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(1,174)</w:t>
            </w:r>
          </w:p>
        </w:tc>
      </w:tr>
      <w:tr>
        <w:trPr>
          <w:trHeight w:val="216"/>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Cash paid for intangible assets</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(183)</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(184)</w:t>
            </w:r>
          </w:p>
        </w:tc>
      </w:tr>
      <w:tr>
        <w:trPr>
          <w:trHeight w:val="208"/>
        </w:trPr>
        <w:tc>
          <w:tcPr>
            <w:tcW w:w="3760" w:type="dxa"/>
            <w:vAlign w:val="bottom"/>
          </w:tcPr>
          <w:p>
            <w:pPr>
              <w:ind w:left="220"/>
              <w:spacing w:after="0"/>
              <w:rPr>
                <w:sz w:val="20"/>
                <w:szCs w:val="20"/>
                <w:color w:val="auto"/>
              </w:rPr>
            </w:pPr>
            <w:r>
              <w:rPr>
                <w:rFonts w:ascii="Arial" w:cs="Arial" w:eastAsia="Arial" w:hAnsi="Arial"/>
                <w:sz w:val="18"/>
                <w:szCs w:val="18"/>
                <w:color w:val="auto"/>
              </w:rPr>
              <w:t>Proceeds from sales of businesses and</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3760" w:type="dxa"/>
            <w:vAlign w:val="bottom"/>
          </w:tcPr>
          <w:p>
            <w:pPr>
              <w:ind w:left="44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19"/>
                <w:szCs w:val="19"/>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9"/>
                <w:szCs w:val="19"/>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35</w:t>
            </w:r>
          </w:p>
        </w:tc>
        <w:tc>
          <w:tcPr>
            <w:tcW w:w="420" w:type="dxa"/>
            <w:vAlign w:val="bottom"/>
          </w:tcPr>
          <w:p>
            <w:pPr>
              <w:spacing w:after="0"/>
              <w:rPr>
                <w:sz w:val="19"/>
                <w:szCs w:val="19"/>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35</w:t>
            </w:r>
          </w:p>
        </w:tc>
      </w:tr>
      <w:tr>
        <w:trPr>
          <w:trHeight w:val="217"/>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Purchases of investments</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(62)</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37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r>
      <w:tr>
        <w:trPr>
          <w:trHeight w:val="201"/>
        </w:trPr>
        <w:tc>
          <w:tcPr>
            <w:tcW w:w="3760" w:type="dxa"/>
            <w:vAlign w:val="bottom"/>
            <w:shd w:val="clear" w:color="auto" w:fill="E5E5E5"/>
          </w:tcPr>
          <w:p>
            <w:pPr>
              <w:ind w:left="220"/>
              <w:spacing w:after="0" w:line="201" w:lineRule="exact"/>
              <w:rPr>
                <w:sz w:val="20"/>
                <w:szCs w:val="20"/>
                <w:color w:val="auto"/>
              </w:rPr>
            </w:pPr>
            <w:r>
              <w:rPr>
                <w:rFonts w:ascii="Arial" w:cs="Arial" w:eastAsia="Arial" w:hAnsi="Arial"/>
                <w:sz w:val="18"/>
                <w:szCs w:val="18"/>
                <w:color w:val="auto"/>
              </w:rPr>
              <w:t>Net cash provided by (used in) investing</w:t>
            </w:r>
          </w:p>
        </w:tc>
        <w:tc>
          <w:tcPr>
            <w:tcW w:w="360" w:type="dxa"/>
            <w:vAlign w:val="bottom"/>
            <w:shd w:val="clear" w:color="auto" w:fill="E5E5E5"/>
          </w:tcPr>
          <w:p>
            <w:pPr>
              <w:spacing w:after="0"/>
              <w:rPr>
                <w:sz w:val="17"/>
                <w:szCs w:val="17"/>
                <w:color w:val="auto"/>
              </w:rPr>
            </w:pPr>
          </w:p>
        </w:tc>
        <w:tc>
          <w:tcPr>
            <w:tcW w:w="740" w:type="dxa"/>
            <w:vAlign w:val="bottom"/>
            <w:shd w:val="clear" w:color="auto" w:fill="E5E5E5"/>
          </w:tcPr>
          <w:p>
            <w:pPr>
              <w:spacing w:after="0"/>
              <w:rPr>
                <w:sz w:val="17"/>
                <w:szCs w:val="17"/>
                <w:color w:val="auto"/>
              </w:rPr>
            </w:pPr>
          </w:p>
        </w:tc>
        <w:tc>
          <w:tcPr>
            <w:tcW w:w="3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600" w:type="dxa"/>
            <w:vAlign w:val="bottom"/>
            <w:shd w:val="clear" w:color="auto" w:fill="E5E5E5"/>
          </w:tcPr>
          <w:p>
            <w:pPr>
              <w:spacing w:after="0"/>
              <w:rPr>
                <w:sz w:val="17"/>
                <w:szCs w:val="17"/>
                <w:color w:val="auto"/>
              </w:rPr>
            </w:pPr>
          </w:p>
        </w:tc>
        <w:tc>
          <w:tcPr>
            <w:tcW w:w="700" w:type="dxa"/>
            <w:vAlign w:val="bottom"/>
            <w:shd w:val="clear" w:color="auto" w:fill="E5E5E5"/>
          </w:tcPr>
          <w:p>
            <w:pPr>
              <w:spacing w:after="0"/>
              <w:rPr>
                <w:sz w:val="17"/>
                <w:szCs w:val="17"/>
                <w:color w:val="auto"/>
              </w:rPr>
            </w:pPr>
          </w:p>
        </w:tc>
        <w:tc>
          <w:tcPr>
            <w:tcW w:w="440" w:type="dxa"/>
            <w:vAlign w:val="bottom"/>
            <w:shd w:val="clear" w:color="auto" w:fill="E5E5E5"/>
          </w:tcPr>
          <w:p>
            <w:pPr>
              <w:spacing w:after="0"/>
              <w:rPr>
                <w:sz w:val="17"/>
                <w:szCs w:val="17"/>
                <w:color w:val="auto"/>
              </w:rPr>
            </w:pPr>
          </w:p>
        </w:tc>
        <w:tc>
          <w:tcPr>
            <w:tcW w:w="58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80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6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2"/>
        </w:trPr>
        <w:tc>
          <w:tcPr>
            <w:tcW w:w="376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activities</w:t>
            </w:r>
          </w:p>
        </w:tc>
        <w:tc>
          <w:tcPr>
            <w:tcW w:w="360" w:type="dxa"/>
            <w:vAlign w:val="bottom"/>
            <w:tcBorders>
              <w:bottom w:val="single" w:sz="8" w:color="auto"/>
            </w:tcBorders>
            <w:shd w:val="clear" w:color="auto" w:fill="E5E5E5"/>
          </w:tcPr>
          <w:p>
            <w:pPr>
              <w:spacing w:after="0"/>
              <w:rPr>
                <w:sz w:val="19"/>
                <w:szCs w:val="19"/>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w w:val="97"/>
              </w:rPr>
              <w:t>1,636</w:t>
            </w:r>
          </w:p>
        </w:tc>
        <w:tc>
          <w:tcPr>
            <w:tcW w:w="340" w:type="dxa"/>
            <w:vAlign w:val="bottom"/>
            <w:tcBorders>
              <w:bottom w:val="single" w:sz="8" w:color="auto"/>
            </w:tcBorders>
            <w:shd w:val="clear" w:color="auto" w:fill="E5E5E5"/>
          </w:tcPr>
          <w:p>
            <w:pPr>
              <w:spacing w:after="0"/>
              <w:rPr>
                <w:sz w:val="19"/>
                <w:szCs w:val="19"/>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93"/>
              </w:rPr>
              <w:t>(53)</w:t>
            </w:r>
          </w:p>
        </w:tc>
        <w:tc>
          <w:tcPr>
            <w:tcW w:w="600" w:type="dxa"/>
            <w:vAlign w:val="bottom"/>
            <w:tcBorders>
              <w:bottom w:val="single" w:sz="8" w:color="auto"/>
            </w:tcBorders>
            <w:shd w:val="clear" w:color="auto" w:fill="E5E5E5"/>
          </w:tcPr>
          <w:p>
            <w:pPr>
              <w:spacing w:after="0"/>
              <w:rPr>
                <w:sz w:val="19"/>
                <w:szCs w:val="19"/>
                <w:color w:val="auto"/>
              </w:rPr>
            </w:pP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630</w:t>
            </w:r>
          </w:p>
        </w:tc>
        <w:tc>
          <w:tcPr>
            <w:tcW w:w="440" w:type="dxa"/>
            <w:vAlign w:val="bottom"/>
            <w:tcBorders>
              <w:bottom w:val="single" w:sz="8" w:color="auto"/>
            </w:tcBorders>
            <w:shd w:val="clear" w:color="auto" w:fill="E5E5E5"/>
          </w:tcPr>
          <w:p>
            <w:pPr>
              <w:spacing w:after="0"/>
              <w:rPr>
                <w:sz w:val="19"/>
                <w:szCs w:val="19"/>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9</w:t>
            </w:r>
          </w:p>
        </w:tc>
        <w:tc>
          <w:tcPr>
            <w:tcW w:w="380" w:type="dxa"/>
            <w:vAlign w:val="bottom"/>
            <w:tcBorders>
              <w:bottom w:val="single" w:sz="8" w:color="auto"/>
            </w:tcBorders>
            <w:shd w:val="clear" w:color="auto" w:fill="E5E5E5"/>
          </w:tcPr>
          <w:p>
            <w:pPr>
              <w:spacing w:after="0"/>
              <w:rPr>
                <w:sz w:val="19"/>
                <w:szCs w:val="19"/>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w w:val="98"/>
              </w:rPr>
              <w:t>(3,571)</w:t>
            </w:r>
          </w:p>
        </w:tc>
        <w:tc>
          <w:tcPr>
            <w:tcW w:w="420" w:type="dxa"/>
            <w:vAlign w:val="bottom"/>
            <w:tcBorders>
              <w:bottom w:val="single" w:sz="8" w:color="auto"/>
            </w:tcBorders>
            <w:shd w:val="clear" w:color="auto" w:fill="E5E5E5"/>
          </w:tcPr>
          <w:p>
            <w:pPr>
              <w:spacing w:after="0"/>
              <w:rPr>
                <w:sz w:val="19"/>
                <w:szCs w:val="19"/>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(1,349)</w:t>
            </w:r>
          </w:p>
        </w:tc>
      </w:tr>
      <w:tr>
        <w:trPr>
          <w:trHeight w:val="212"/>
        </w:trPr>
        <w:tc>
          <w:tcPr>
            <w:tcW w:w="376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08"/>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Proceeds from (repayments of) short-term</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spacing w:after="0"/>
              <w:rPr>
                <w:sz w:val="18"/>
                <w:szCs w:val="18"/>
                <w:color w:val="auto"/>
              </w:rPr>
            </w:pP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37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borrowings, net</w:t>
            </w:r>
          </w:p>
        </w:tc>
        <w:tc>
          <w:tcPr>
            <w:tcW w:w="360" w:type="dxa"/>
            <w:vAlign w:val="bottom"/>
            <w:shd w:val="clear" w:color="auto" w:fill="E5E5E5"/>
          </w:tcPr>
          <w:p>
            <w:pPr>
              <w:spacing w:after="0"/>
              <w:rPr>
                <w:sz w:val="19"/>
                <w:szCs w:val="19"/>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9"/>
                <w:szCs w:val="19"/>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9"/>
                <w:szCs w:val="19"/>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9"/>
                <w:szCs w:val="19"/>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9"/>
                <w:szCs w:val="19"/>
                <w:color w:val="auto"/>
              </w:rPr>
            </w:pPr>
          </w:p>
        </w:tc>
        <w:tc>
          <w:tcPr>
            <w:tcW w:w="80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(407)</w:t>
            </w:r>
          </w:p>
        </w:tc>
        <w:tc>
          <w:tcPr>
            <w:tcW w:w="420" w:type="dxa"/>
            <w:vAlign w:val="bottom"/>
            <w:shd w:val="clear" w:color="auto" w:fill="E5E5E5"/>
          </w:tcPr>
          <w:p>
            <w:pPr>
              <w:spacing w:after="0"/>
              <w:rPr>
                <w:sz w:val="19"/>
                <w:szCs w:val="19"/>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(407)</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Repurchases and repayments of debt</w:t>
            </w:r>
          </w:p>
        </w:tc>
        <w:tc>
          <w:tcPr>
            <w:tcW w:w="36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(563)</w:t>
            </w:r>
          </w:p>
        </w:tc>
        <w:tc>
          <w:tcPr>
            <w:tcW w:w="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tcPr>
          <w:p>
            <w:pPr>
              <w:jc w:val="right"/>
              <w:ind w:right="152"/>
              <w:spacing w:after="0"/>
              <w:rPr>
                <w:sz w:val="20"/>
                <w:szCs w:val="20"/>
                <w:color w:val="auto"/>
              </w:rPr>
            </w:pPr>
            <w:r>
              <w:rPr>
                <w:rFonts w:ascii="Arial" w:cs="Arial" w:eastAsia="Arial" w:hAnsi="Arial"/>
                <w:sz w:val="18"/>
                <w:szCs w:val="18"/>
                <w:color w:val="auto"/>
              </w:rPr>
              <w:t>(553)</w:t>
            </w:r>
          </w:p>
        </w:tc>
        <w:tc>
          <w:tcPr>
            <w:tcW w:w="44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(9)</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(1,125)</w:t>
            </w:r>
          </w:p>
        </w:tc>
      </w:tr>
      <w:tr>
        <w:trPr>
          <w:trHeight w:val="216"/>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w w:val="93"/>
              </w:rPr>
              <w:t>Repurchases and retirements of common stock</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33"/>
              <w:spacing w:after="0"/>
              <w:rPr>
                <w:sz w:val="20"/>
                <w:szCs w:val="20"/>
                <w:color w:val="auto"/>
              </w:rPr>
            </w:pPr>
            <w:r>
              <w:rPr>
                <w:rFonts w:ascii="Arial" w:cs="Arial" w:eastAsia="Arial" w:hAnsi="Arial"/>
                <w:sz w:val="18"/>
                <w:szCs w:val="18"/>
                <w:color w:val="auto"/>
              </w:rPr>
              <w:t>(750)</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(750)</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Dividends paid</w:t>
            </w:r>
          </w:p>
        </w:tc>
        <w:tc>
          <w:tcPr>
            <w:tcW w:w="360" w:type="dxa"/>
            <w:vAlign w:val="bottom"/>
          </w:tcPr>
          <w:p>
            <w:pPr>
              <w:spacing w:after="0"/>
              <w:rPr>
                <w:sz w:val="18"/>
                <w:szCs w:val="18"/>
                <w:color w:val="auto"/>
              </w:rPr>
            </w:pPr>
          </w:p>
        </w:tc>
        <w:tc>
          <w:tcPr>
            <w:tcW w:w="740" w:type="dxa"/>
            <w:vAlign w:val="bottom"/>
          </w:tcPr>
          <w:p>
            <w:pPr>
              <w:jc w:val="right"/>
              <w:ind w:right="133"/>
              <w:spacing w:after="0"/>
              <w:rPr>
                <w:sz w:val="20"/>
                <w:szCs w:val="20"/>
                <w:color w:val="auto"/>
              </w:rPr>
            </w:pPr>
            <w:r>
              <w:rPr>
                <w:rFonts w:ascii="Arial" w:cs="Arial" w:eastAsia="Arial" w:hAnsi="Arial"/>
                <w:sz w:val="18"/>
                <w:szCs w:val="18"/>
                <w:color w:val="auto"/>
              </w:rPr>
              <w:t>(304)</w:t>
            </w:r>
          </w:p>
        </w:tc>
        <w:tc>
          <w:tcPr>
            <w:tcW w:w="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w:t>
            </w:r>
          </w:p>
        </w:tc>
      </w:tr>
      <w:tr>
        <w:trPr>
          <w:trHeight w:val="216"/>
        </w:trPr>
        <w:tc>
          <w:tcPr>
            <w:tcW w:w="3760" w:type="dxa"/>
            <w:vAlign w:val="bottom"/>
            <w:shd w:val="clear" w:color="auto" w:fill="E5E5E5"/>
          </w:tcPr>
          <w:p>
            <w:pPr>
              <w:ind w:left="220"/>
              <w:spacing w:after="0"/>
              <w:rPr>
                <w:sz w:val="20"/>
                <w:szCs w:val="20"/>
                <w:color w:val="auto"/>
              </w:rPr>
            </w:pPr>
            <w:r>
              <w:rPr>
                <w:rFonts w:ascii="Arial" w:cs="Arial" w:eastAsia="Arial" w:hAnsi="Arial"/>
                <w:sz w:val="18"/>
                <w:szCs w:val="18"/>
                <w:color w:val="auto"/>
              </w:rPr>
              <w:t>Issuances of common stock</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150</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150</w:t>
            </w:r>
          </w:p>
        </w:tc>
      </w:tr>
      <w:tr>
        <w:trPr>
          <w:trHeight w:val="216"/>
        </w:trPr>
        <w:tc>
          <w:tcPr>
            <w:tcW w:w="3760" w:type="dxa"/>
            <w:vAlign w:val="bottom"/>
          </w:tcPr>
          <w:p>
            <w:pPr>
              <w:ind w:left="220"/>
              <w:spacing w:after="0"/>
              <w:rPr>
                <w:sz w:val="20"/>
                <w:szCs w:val="20"/>
                <w:color w:val="auto"/>
              </w:rPr>
            </w:pPr>
            <w:r>
              <w:rPr>
                <w:rFonts w:ascii="Arial" w:cs="Arial" w:eastAsia="Arial" w:hAnsi="Arial"/>
                <w:sz w:val="18"/>
                <w:szCs w:val="18"/>
                <w:color w:val="auto"/>
              </w:rPr>
              <w:t>Distributions to noncontrolling interests</w:t>
            </w:r>
          </w:p>
        </w:tc>
        <w:tc>
          <w:tcPr>
            <w:tcW w:w="360" w:type="dxa"/>
            <w:vAlign w:val="bottom"/>
          </w:tcPr>
          <w:p>
            <w:pPr>
              <w:spacing w:after="0"/>
              <w:rPr>
                <w:sz w:val="18"/>
                <w:szCs w:val="18"/>
                <w:color w:val="auto"/>
              </w:rPr>
            </w:pPr>
          </w:p>
        </w:tc>
        <w:tc>
          <w:tcPr>
            <w:tcW w:w="74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3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8"/>
                <w:szCs w:val="18"/>
                <w:color w:val="auto"/>
              </w:rPr>
            </w:pPr>
          </w:p>
        </w:tc>
        <w:tc>
          <w:tcPr>
            <w:tcW w:w="70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58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00" w:type="dxa"/>
            <w:vAlign w:val="bottom"/>
          </w:tcPr>
          <w:p>
            <w:pPr>
              <w:jc w:val="right"/>
              <w:ind w:right="133"/>
              <w:spacing w:after="0"/>
              <w:rPr>
                <w:sz w:val="20"/>
                <w:szCs w:val="20"/>
                <w:color w:val="auto"/>
              </w:rPr>
            </w:pPr>
            <w:r>
              <w:rPr>
                <w:rFonts w:ascii="Arial" w:cs="Arial" w:eastAsia="Arial" w:hAnsi="Arial"/>
                <w:sz w:val="18"/>
                <w:szCs w:val="18"/>
                <w:color w:val="auto"/>
              </w:rPr>
              <w:t>(58)</w:t>
            </w:r>
          </w:p>
        </w:tc>
        <w:tc>
          <w:tcPr>
            <w:tcW w:w="420" w:type="dxa"/>
            <w:vAlign w:val="bottom"/>
          </w:tcPr>
          <w:p>
            <w:pPr>
              <w:spacing w:after="0"/>
              <w:rPr>
                <w:sz w:val="18"/>
                <w:szCs w:val="18"/>
                <w:color w:val="auto"/>
              </w:rPr>
            </w:pPr>
          </w:p>
        </w:tc>
        <w:tc>
          <w:tcPr>
            <w:tcW w:w="860" w:type="dxa"/>
            <w:vAlign w:val="bottom"/>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37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shd w:val="clear" w:color="auto" w:fill="E5E5E5"/>
          </w:tcPr>
          <w:p>
            <w:pPr>
              <w:spacing w:after="0"/>
              <w:rPr>
                <w:sz w:val="18"/>
                <w:szCs w:val="18"/>
                <w:color w:val="auto"/>
              </w:rPr>
            </w:pP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73</w:t>
            </w:r>
          </w:p>
        </w:tc>
        <w:tc>
          <w:tcPr>
            <w:tcW w:w="340" w:type="dxa"/>
            <w:vAlign w:val="bottom"/>
            <w:tcBorders>
              <w:bottom w:val="single" w:sz="8" w:color="auto"/>
            </w:tcBorders>
            <w:shd w:val="clear" w:color="auto" w:fill="E5E5E5"/>
          </w:tcPr>
          <w:p>
            <w:pPr>
              <w:spacing w:after="0"/>
              <w:rPr>
                <w:sz w:val="18"/>
                <w:szCs w:val="18"/>
                <w:color w:val="auto"/>
              </w:rPr>
            </w:pP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E5E5E5"/>
          </w:tcPr>
          <w:p>
            <w:pPr>
              <w:spacing w:after="0"/>
              <w:rPr>
                <w:sz w:val="18"/>
                <w:szCs w:val="18"/>
                <w:color w:val="auto"/>
              </w:rPr>
            </w:pP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E5E5E5"/>
          </w:tcPr>
          <w:p>
            <w:pPr>
              <w:spacing w:after="0"/>
              <w:rPr>
                <w:sz w:val="18"/>
                <w:szCs w:val="18"/>
                <w:color w:val="auto"/>
              </w:rPr>
            </w:pP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E5E5E5"/>
          </w:tcPr>
          <w:p>
            <w:pPr>
              <w:spacing w:after="0"/>
              <w:rPr>
                <w:sz w:val="18"/>
                <w:szCs w:val="18"/>
                <w:color w:val="auto"/>
              </w:rPr>
            </w:pPr>
          </w:p>
        </w:tc>
        <w:tc>
          <w:tcPr>
            <w:tcW w:w="800" w:type="dxa"/>
            <w:vAlign w:val="bottom"/>
            <w:tcBorders>
              <w:bottom w:val="single" w:sz="8" w:color="auto"/>
            </w:tcBorders>
            <w:shd w:val="clear" w:color="auto" w:fill="E5E5E5"/>
          </w:tcPr>
          <w:p>
            <w:pPr>
              <w:jc w:val="right"/>
              <w:ind w:right="133"/>
              <w:spacing w:after="0"/>
              <w:rPr>
                <w:sz w:val="20"/>
                <w:szCs w:val="20"/>
                <w:color w:val="auto"/>
              </w:rPr>
            </w:pPr>
            <w:r>
              <w:rPr>
                <w:rFonts w:ascii="Arial" w:cs="Arial" w:eastAsia="Arial" w:hAnsi="Arial"/>
                <w:sz w:val="18"/>
                <w:szCs w:val="18"/>
                <w:color w:val="auto"/>
              </w:rPr>
              <w:t>(36)</w:t>
            </w:r>
          </w:p>
        </w:tc>
        <w:tc>
          <w:tcPr>
            <w:tcW w:w="420" w:type="dxa"/>
            <w:vAlign w:val="bottom"/>
            <w:tcBorders>
              <w:bottom w:val="single" w:sz="8" w:color="auto"/>
            </w:tcBorders>
            <w:shd w:val="clear" w:color="auto" w:fill="E5E5E5"/>
          </w:tcPr>
          <w:p>
            <w:pPr>
              <w:spacing w:after="0"/>
              <w:rPr>
                <w:sz w:val="18"/>
                <w:szCs w:val="18"/>
                <w:color w:val="auto"/>
              </w:rPr>
            </w:pP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37</w:t>
            </w:r>
          </w:p>
        </w:tc>
      </w:tr>
      <w:tr>
        <w:trPr>
          <w:trHeight w:val="201"/>
        </w:trPr>
        <w:tc>
          <w:tcPr>
            <w:tcW w:w="3760" w:type="dxa"/>
            <w:vAlign w:val="bottom"/>
          </w:tcPr>
          <w:p>
            <w:pPr>
              <w:ind w:left="220"/>
              <w:spacing w:after="0" w:line="201" w:lineRule="exact"/>
              <w:rPr>
                <w:sz w:val="20"/>
                <w:szCs w:val="20"/>
                <w:color w:val="auto"/>
              </w:rPr>
            </w:pPr>
            <w:r>
              <w:rPr>
                <w:rFonts w:ascii="Arial" w:cs="Arial" w:eastAsia="Arial" w:hAnsi="Arial"/>
                <w:sz w:val="18"/>
                <w:szCs w:val="18"/>
                <w:color w:val="auto"/>
              </w:rPr>
              <w:t>Net cash provided by (used in) financing</w:t>
            </w:r>
          </w:p>
        </w:tc>
        <w:tc>
          <w:tcPr>
            <w:tcW w:w="3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3"/>
        </w:trPr>
        <w:tc>
          <w:tcPr>
            <w:tcW w:w="37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activities</w:t>
            </w:r>
          </w:p>
        </w:tc>
        <w:tc>
          <w:tcPr>
            <w:tcW w:w="3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w w:val="87"/>
              </w:rPr>
              <w:t>(1,394)</w:t>
            </w:r>
          </w:p>
        </w:tc>
        <w:tc>
          <w:tcPr>
            <w:tcW w:w="3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(553)</w:t>
            </w: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(510)</w:t>
            </w:r>
          </w:p>
        </w:tc>
        <w:tc>
          <w:tcPr>
            <w:tcW w:w="4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(2,457)</w:t>
            </w:r>
          </w:p>
        </w:tc>
      </w:tr>
      <w:tr>
        <w:trPr>
          <w:trHeight w:val="211"/>
        </w:trPr>
        <w:tc>
          <w:tcPr>
            <w:tcW w:w="3760" w:type="dxa"/>
            <w:vAlign w:val="bottom"/>
            <w:shd w:val="clear" w:color="auto" w:fill="E5E5E5"/>
          </w:tcPr>
          <w:p>
            <w:pPr>
              <w:spacing w:after="0"/>
              <w:rPr>
                <w:sz w:val="20"/>
                <w:szCs w:val="20"/>
                <w:color w:val="auto"/>
              </w:rPr>
            </w:pPr>
            <w:r>
              <w:rPr>
                <w:rFonts w:ascii="Arial" w:cs="Arial" w:eastAsia="Arial" w:hAnsi="Arial"/>
                <w:sz w:val="18"/>
                <w:szCs w:val="18"/>
                <w:color w:val="auto"/>
                <w:w w:val="94"/>
              </w:rPr>
              <w:t>Increase (decrease) in cash and cash equivalents</w:t>
            </w:r>
          </w:p>
        </w:tc>
        <w:tc>
          <w:tcPr>
            <w:tcW w:w="360" w:type="dxa"/>
            <w:vAlign w:val="bottom"/>
            <w:shd w:val="clear" w:color="auto" w:fill="E5E5E5"/>
          </w:tcPr>
          <w:p>
            <w:pPr>
              <w:spacing w:after="0"/>
              <w:rPr>
                <w:sz w:val="18"/>
                <w:szCs w:val="18"/>
                <w:color w:val="auto"/>
              </w:rPr>
            </w:pPr>
          </w:p>
        </w:tc>
        <w:tc>
          <w:tcPr>
            <w:tcW w:w="74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shd w:val="clear" w:color="auto" w:fill="E5E5E5"/>
          </w:tcPr>
          <w:p>
            <w:pPr>
              <w:spacing w:after="0"/>
              <w:rPr>
                <w:sz w:val="18"/>
                <w:szCs w:val="18"/>
                <w:color w:val="auto"/>
              </w:rPr>
            </w:pPr>
          </w:p>
        </w:tc>
        <w:tc>
          <w:tcPr>
            <w:tcW w:w="360" w:type="dxa"/>
            <w:vAlign w:val="bottom"/>
            <w:shd w:val="clear" w:color="auto" w:fill="E5E5E5"/>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E5E5E5"/>
          </w:tcPr>
          <w:p>
            <w:pPr>
              <w:spacing w:after="0"/>
              <w:rPr>
                <w:sz w:val="18"/>
                <w:szCs w:val="18"/>
                <w:color w:val="auto"/>
              </w:rPr>
            </w:pPr>
          </w:p>
        </w:tc>
        <w:tc>
          <w:tcPr>
            <w:tcW w:w="70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shd w:val="clear" w:color="auto" w:fill="E5E5E5"/>
          </w:tcPr>
          <w:p>
            <w:pPr>
              <w:spacing w:after="0"/>
              <w:rPr>
                <w:sz w:val="18"/>
                <w:szCs w:val="18"/>
                <w:color w:val="auto"/>
              </w:rPr>
            </w:pPr>
          </w:p>
        </w:tc>
        <w:tc>
          <w:tcPr>
            <w:tcW w:w="58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shd w:val="clear" w:color="auto" w:fill="E5E5E5"/>
          </w:tcPr>
          <w:p>
            <w:pPr>
              <w:spacing w:after="0"/>
              <w:rPr>
                <w:sz w:val="18"/>
                <w:szCs w:val="18"/>
                <w:color w:val="auto"/>
              </w:rPr>
            </w:pPr>
          </w:p>
        </w:tc>
        <w:tc>
          <w:tcPr>
            <w:tcW w:w="80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587</w:t>
            </w:r>
          </w:p>
        </w:tc>
        <w:tc>
          <w:tcPr>
            <w:tcW w:w="420" w:type="dxa"/>
            <w:vAlign w:val="bottom"/>
            <w:shd w:val="clear" w:color="auto" w:fill="E5E5E5"/>
          </w:tcPr>
          <w:p>
            <w:pPr>
              <w:spacing w:after="0"/>
              <w:rPr>
                <w:sz w:val="18"/>
                <w:szCs w:val="18"/>
                <w:color w:val="auto"/>
              </w:rPr>
            </w:pPr>
          </w:p>
        </w:tc>
        <w:tc>
          <w:tcPr>
            <w:tcW w:w="860" w:type="dxa"/>
            <w:vAlign w:val="bottom"/>
            <w:shd w:val="clear" w:color="auto" w:fill="E5E5E5"/>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587</w:t>
            </w:r>
          </w:p>
        </w:tc>
      </w:tr>
      <w:tr>
        <w:trPr>
          <w:trHeight w:val="216"/>
        </w:trPr>
        <w:tc>
          <w:tcPr>
            <w:tcW w:w="37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8"/>
              </w:rPr>
              <w:t>Cash and cash equivalents, beginning of period</w:t>
            </w: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1,620</w:t>
            </w:r>
          </w:p>
        </w:tc>
        <w:tc>
          <w:tcPr>
            <w:tcW w:w="4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1,620</w:t>
            </w:r>
          </w:p>
        </w:tc>
      </w:tr>
      <w:tr>
        <w:trPr>
          <w:trHeight w:val="217"/>
        </w:trPr>
        <w:tc>
          <w:tcPr>
            <w:tcW w:w="37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w w:val="79"/>
              </w:rPr>
              <w:t>$</w:t>
            </w:r>
          </w:p>
        </w:tc>
        <w:tc>
          <w:tcPr>
            <w:tcW w:w="360" w:type="dxa"/>
            <w:vAlign w:val="bottom"/>
            <w:tcBorders>
              <w:bottom w:val="single" w:sz="8" w:color="auto"/>
            </w:tcBorders>
            <w:shd w:val="clear" w:color="auto" w:fill="E5E5E5"/>
          </w:tcPr>
          <w:p>
            <w:pPr>
              <w:jc w:val="right"/>
              <w:ind w:right="12"/>
              <w:spacing w:after="0"/>
              <w:rPr>
                <w:sz w:val="20"/>
                <w:szCs w:val="20"/>
                <w:color w:val="auto"/>
              </w:rPr>
            </w:pPr>
            <w:r>
              <w:rPr>
                <w:rFonts w:ascii="Arial" w:cs="Arial" w:eastAsia="Arial" w:hAnsi="Arial"/>
                <w:sz w:val="18"/>
                <w:szCs w:val="18"/>
                <w:b w:val="1"/>
                <w:bCs w:val="1"/>
                <w:color w:val="auto"/>
              </w:rPr>
              <w:t>—</w:t>
            </w:r>
          </w:p>
        </w:tc>
        <w:tc>
          <w:tcPr>
            <w:tcW w:w="60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b w:val="1"/>
                <w:bCs w:val="1"/>
                <w:color w:val="auto"/>
              </w:rPr>
              <w:t>$</w:t>
            </w:r>
          </w:p>
        </w:tc>
        <w:tc>
          <w:tcPr>
            <w:tcW w:w="70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shd w:val="clear" w:color="auto" w:fill="E5E5E5"/>
          </w:tcPr>
          <w:p>
            <w:pPr>
              <w:ind w:left="240"/>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2,207</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w:t>
            </w:r>
          </w:p>
        </w:tc>
        <w:tc>
          <w:tcPr>
            <w:tcW w:w="860" w:type="dxa"/>
            <w:vAlign w:val="bottom"/>
            <w:tcBorders>
              <w:bottom w:val="single" w:sz="8" w:color="auto"/>
            </w:tcBorders>
            <w:shd w:val="clear" w:color="auto" w:fill="E5E5E5"/>
          </w:tcPr>
          <w:p>
            <w:pPr>
              <w:jc w:val="right"/>
              <w:ind w:right="19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b w:val="1"/>
                <w:bCs w:val="1"/>
                <w:color w:val="auto"/>
              </w:rPr>
              <w:t>2,207</w:t>
            </w:r>
          </w:p>
        </w:tc>
      </w:tr>
      <w:tr>
        <w:trPr>
          <w:trHeight w:val="363"/>
        </w:trPr>
        <w:tc>
          <w:tcPr>
            <w:tcW w:w="3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jc w:val="right"/>
              <w:ind w:right="262"/>
              <w:spacing w:after="0"/>
              <w:rPr>
                <w:sz w:val="20"/>
                <w:szCs w:val="20"/>
                <w:color w:val="auto"/>
              </w:rPr>
            </w:pPr>
            <w:r>
              <w:rPr>
                <w:rFonts w:ascii="Arial" w:cs="Arial" w:eastAsia="Arial" w:hAnsi="Arial"/>
                <w:sz w:val="18"/>
                <w:szCs w:val="18"/>
                <w:color w:val="auto"/>
              </w:rPr>
              <w:t>24</w:t>
            </w:r>
          </w:p>
        </w:tc>
        <w:tc>
          <w:tcPr>
            <w:tcW w:w="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March 31, 2011</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93"/>
              </w:rPr>
              <w:t>Elimination</w:t>
            </w:r>
          </w:p>
        </w:tc>
        <w:tc>
          <w:tcPr>
            <w:tcW w:w="36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gridSpan w:val="2"/>
          </w:tcPr>
          <w:p>
            <w:pPr>
              <w:ind w:left="440"/>
              <w:spacing w:after="0" w:line="149" w:lineRule="exact"/>
              <w:rPr>
                <w:sz w:val="20"/>
                <w:szCs w:val="20"/>
                <w:color w:val="auto"/>
              </w:rPr>
            </w:pPr>
            <w:r>
              <w:rPr>
                <w:rFonts w:ascii="Arial" w:cs="Arial" w:eastAsia="Arial" w:hAnsi="Arial"/>
                <w:sz w:val="14"/>
                <w:szCs w:val="14"/>
                <w:color w:val="auto"/>
              </w:rPr>
              <w:t>Combined</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jc w:val="right"/>
              <w:ind w:right="393"/>
              <w:spacing w:after="0" w:line="149" w:lineRule="exact"/>
              <w:rPr>
                <w:sz w:val="20"/>
                <w:szCs w:val="20"/>
                <w:color w:val="auto"/>
              </w:rPr>
            </w:pPr>
            <w:r>
              <w:rPr>
                <w:rFonts w:ascii="Arial" w:cs="Arial" w:eastAsia="Arial" w:hAnsi="Arial"/>
                <w:sz w:val="14"/>
                <w:szCs w:val="14"/>
                <w:color w:val="auto"/>
              </w:rPr>
              <w:t>Non-</w:t>
            </w:r>
          </w:p>
        </w:tc>
        <w:tc>
          <w:tcPr>
            <w:tcW w:w="420" w:type="dxa"/>
            <w:vAlign w:val="bottom"/>
          </w:tcPr>
          <w:p>
            <w:pPr>
              <w:spacing w:after="0"/>
              <w:rPr>
                <w:sz w:val="12"/>
                <w:szCs w:val="12"/>
                <w:color w:val="auto"/>
              </w:rPr>
            </w:pPr>
          </w:p>
        </w:tc>
        <w:tc>
          <w:tcPr>
            <w:tcW w:w="840" w:type="dxa"/>
            <w:vAlign w:val="bottom"/>
          </w:tcPr>
          <w:p>
            <w:pPr>
              <w:jc w:val="center"/>
              <w:ind w:right="353"/>
              <w:spacing w:after="0" w:line="149" w:lineRule="exact"/>
              <w:rPr>
                <w:sz w:val="20"/>
                <w:szCs w:val="20"/>
                <w:color w:val="auto"/>
              </w:rPr>
            </w:pPr>
            <w:r>
              <w:rPr>
                <w:rFonts w:ascii="Arial" w:cs="Arial" w:eastAsia="Arial" w:hAnsi="Arial"/>
                <w:sz w:val="14"/>
                <w:szCs w:val="14"/>
                <w:color w:val="auto"/>
                <w:w w:val="85"/>
              </w:rPr>
              <w:t>and</w:t>
            </w:r>
          </w:p>
        </w:tc>
        <w:tc>
          <w:tcPr>
            <w:tcW w:w="1080" w:type="dxa"/>
            <w:vAlign w:val="bottom"/>
            <w:gridSpan w:val="2"/>
          </w:tcPr>
          <w:p>
            <w:pPr>
              <w:ind w:left="260"/>
              <w:spacing w:after="0" w:line="149" w:lineRule="exact"/>
              <w:rPr>
                <w:sz w:val="20"/>
                <w:szCs w:val="20"/>
                <w:color w:val="auto"/>
              </w:rPr>
            </w:pPr>
            <w:r>
              <w:rPr>
                <w:rFonts w:ascii="Arial" w:cs="Arial" w:eastAsia="Arial" w:hAnsi="Arial"/>
                <w:sz w:val="14"/>
                <w:szCs w:val="14"/>
                <w:color w:val="auto"/>
                <w:w w:val="97"/>
              </w:rPr>
              <w:t>Consolidated</w:t>
            </w:r>
          </w:p>
        </w:tc>
      </w:tr>
      <w:tr>
        <w:trPr>
          <w:trHeight w:val="149"/>
        </w:trPr>
        <w:tc>
          <w:tcPr>
            <w:tcW w:w="2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320" w:type="dxa"/>
            <w:vAlign w:val="bottom"/>
          </w:tcPr>
          <w:p>
            <w:pPr>
              <w:spacing w:after="0"/>
              <w:rPr>
                <w:sz w:val="12"/>
                <w:szCs w:val="12"/>
                <w:color w:val="auto"/>
              </w:rPr>
            </w:pPr>
          </w:p>
        </w:tc>
        <w:tc>
          <w:tcPr>
            <w:tcW w:w="540" w:type="dxa"/>
            <w:vAlign w:val="bottom"/>
          </w:tcPr>
          <w:p>
            <w:pPr>
              <w:jc w:val="right"/>
              <w:ind w:right="94"/>
              <w:spacing w:after="0" w:line="149" w:lineRule="exact"/>
              <w:rPr>
                <w:sz w:val="20"/>
                <w:szCs w:val="20"/>
                <w:color w:val="auto"/>
              </w:rPr>
            </w:pPr>
            <w:r>
              <w:rPr>
                <w:rFonts w:ascii="Arial" w:cs="Arial" w:eastAsia="Arial" w:hAnsi="Arial"/>
                <w:sz w:val="14"/>
                <w:szCs w:val="14"/>
                <w:color w:val="auto"/>
                <w:w w:val="89"/>
              </w:rPr>
              <w:t>CCCL</w:t>
            </w:r>
          </w:p>
        </w:tc>
        <w:tc>
          <w:tcPr>
            <w:tcW w:w="1300" w:type="dxa"/>
            <w:vAlign w:val="bottom"/>
            <w:gridSpan w:val="2"/>
          </w:tcPr>
          <w:p>
            <w:pPr>
              <w:jc w:val="right"/>
              <w:ind w:right="252"/>
              <w:spacing w:after="0" w:line="149" w:lineRule="exact"/>
              <w:rPr>
                <w:sz w:val="20"/>
                <w:szCs w:val="20"/>
                <w:color w:val="auto"/>
              </w:rPr>
            </w:pPr>
            <w:r>
              <w:rPr>
                <w:rFonts w:ascii="Arial" w:cs="Arial" w:eastAsia="Arial" w:hAnsi="Arial"/>
                <w:sz w:val="14"/>
                <w:szCs w:val="14"/>
                <w:color w:val="auto"/>
              </w:rPr>
              <w:t>CCHMO</w:t>
            </w:r>
          </w:p>
        </w:tc>
        <w:tc>
          <w:tcPr>
            <w:tcW w:w="102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Comcast</w:t>
            </w:r>
          </w:p>
        </w:tc>
        <w:tc>
          <w:tcPr>
            <w:tcW w:w="1180" w:type="dxa"/>
            <w:vAlign w:val="bottom"/>
            <w:gridSpan w:val="2"/>
          </w:tcPr>
          <w:p>
            <w:pPr>
              <w:jc w:val="right"/>
              <w:ind w:right="273"/>
              <w:spacing w:after="0" w:line="149" w:lineRule="exact"/>
              <w:rPr>
                <w:sz w:val="20"/>
                <w:szCs w:val="20"/>
                <w:color w:val="auto"/>
              </w:rPr>
            </w:pPr>
            <w:r>
              <w:rPr>
                <w:rFonts w:ascii="Arial" w:cs="Arial" w:eastAsia="Arial" w:hAnsi="Arial"/>
                <w:sz w:val="14"/>
                <w:szCs w:val="14"/>
                <w:color w:val="auto"/>
              </w:rPr>
              <w:t>Guarantor</w:t>
            </w:r>
          </w:p>
        </w:tc>
        <w:tc>
          <w:tcPr>
            <w:tcW w:w="1260" w:type="dxa"/>
            <w:vAlign w:val="bottom"/>
            <w:gridSpan w:val="2"/>
          </w:tcPr>
          <w:p>
            <w:pPr>
              <w:jc w:val="right"/>
              <w:ind w:right="173"/>
              <w:spacing w:after="0" w:line="149" w:lineRule="exact"/>
              <w:rPr>
                <w:sz w:val="20"/>
                <w:szCs w:val="20"/>
                <w:color w:val="auto"/>
              </w:rPr>
            </w:pPr>
            <w:r>
              <w:rPr>
                <w:rFonts w:ascii="Arial" w:cs="Arial" w:eastAsia="Arial" w:hAnsi="Arial"/>
                <w:sz w:val="14"/>
                <w:szCs w:val="14"/>
                <w:color w:val="auto"/>
              </w:rPr>
              <w:t>Consolidation</w:t>
            </w:r>
          </w:p>
        </w:tc>
        <w:tc>
          <w:tcPr>
            <w:tcW w:w="360" w:type="dxa"/>
            <w:vAlign w:val="bottom"/>
          </w:tcPr>
          <w:p>
            <w:pPr>
              <w:spacing w:after="0"/>
              <w:rPr>
                <w:sz w:val="12"/>
                <w:szCs w:val="12"/>
                <w:color w:val="auto"/>
              </w:rPr>
            </w:pPr>
          </w:p>
        </w:tc>
        <w:tc>
          <w:tcPr>
            <w:tcW w:w="720" w:type="dxa"/>
            <w:vAlign w:val="bottom"/>
          </w:tcPr>
          <w:p>
            <w:pPr>
              <w:jc w:val="right"/>
              <w:ind w:right="133"/>
              <w:spacing w:after="0" w:line="149" w:lineRule="exact"/>
              <w:rPr>
                <w:sz w:val="20"/>
                <w:szCs w:val="20"/>
                <w:color w:val="auto"/>
              </w:rPr>
            </w:pPr>
            <w:r>
              <w:rPr>
                <w:rFonts w:ascii="Arial" w:cs="Arial" w:eastAsia="Arial" w:hAnsi="Arial"/>
                <w:sz w:val="14"/>
                <w:szCs w:val="14"/>
                <w:color w:val="auto"/>
                <w:w w:val="86"/>
              </w:rPr>
              <w:t>Comcast</w:t>
            </w:r>
          </w:p>
        </w:tc>
      </w:tr>
      <w:tr>
        <w:trPr>
          <w:trHeight w:val="173"/>
        </w:trPr>
        <w:tc>
          <w:tcPr>
            <w:tcW w:w="372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1000" w:type="dxa"/>
            <w:vAlign w:val="bottom"/>
            <w:gridSpan w:val="2"/>
          </w:tcPr>
          <w:p>
            <w:pPr>
              <w:jc w:val="right"/>
              <w:ind w:right="272"/>
              <w:spacing w:after="0"/>
              <w:rPr>
                <w:sz w:val="20"/>
                <w:szCs w:val="20"/>
                <w:color w:val="auto"/>
              </w:rPr>
            </w:pPr>
            <w:r>
              <w:rPr>
                <w:rFonts w:ascii="Arial" w:cs="Arial" w:eastAsia="Arial" w:hAnsi="Arial"/>
                <w:sz w:val="14"/>
                <w:szCs w:val="14"/>
                <w:color w:val="auto"/>
              </w:rPr>
              <w:t>Parent</w:t>
            </w:r>
          </w:p>
        </w:tc>
        <w:tc>
          <w:tcPr>
            <w:tcW w:w="320" w:type="dxa"/>
            <w:vAlign w:val="bottom"/>
          </w:tcPr>
          <w:p>
            <w:pPr>
              <w:spacing w:after="0"/>
              <w:rPr>
                <w:sz w:val="15"/>
                <w:szCs w:val="15"/>
                <w:color w:val="auto"/>
              </w:rPr>
            </w:pPr>
          </w:p>
        </w:tc>
        <w:tc>
          <w:tcPr>
            <w:tcW w:w="540" w:type="dxa"/>
            <w:vAlign w:val="bottom"/>
          </w:tcPr>
          <w:p>
            <w:pPr>
              <w:jc w:val="right"/>
              <w:ind w:right="94"/>
              <w:spacing w:after="0"/>
              <w:rPr>
                <w:sz w:val="20"/>
                <w:szCs w:val="20"/>
                <w:color w:val="auto"/>
              </w:rPr>
            </w:pPr>
            <w:r>
              <w:rPr>
                <w:rFonts w:ascii="Arial" w:cs="Arial" w:eastAsia="Arial" w:hAnsi="Arial"/>
                <w:sz w:val="14"/>
                <w:szCs w:val="14"/>
                <w:color w:val="auto"/>
                <w:w w:val="82"/>
              </w:rPr>
              <w:t>Parent</w:t>
            </w:r>
          </w:p>
        </w:tc>
        <w:tc>
          <w:tcPr>
            <w:tcW w:w="1300" w:type="dxa"/>
            <w:vAlign w:val="bottom"/>
            <w:gridSpan w:val="2"/>
          </w:tcPr>
          <w:p>
            <w:pPr>
              <w:jc w:val="right"/>
              <w:ind w:right="292"/>
              <w:spacing w:after="0"/>
              <w:rPr>
                <w:sz w:val="20"/>
                <w:szCs w:val="20"/>
                <w:color w:val="auto"/>
              </w:rPr>
            </w:pPr>
            <w:r>
              <w:rPr>
                <w:rFonts w:ascii="Arial" w:cs="Arial" w:eastAsia="Arial" w:hAnsi="Arial"/>
                <w:sz w:val="14"/>
                <w:szCs w:val="14"/>
                <w:color w:val="auto"/>
              </w:rPr>
              <w:t>Parents</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Holdings</w:t>
            </w:r>
          </w:p>
        </w:tc>
        <w:tc>
          <w:tcPr>
            <w:tcW w:w="1180" w:type="dxa"/>
            <w:vAlign w:val="bottom"/>
            <w:gridSpan w:val="2"/>
          </w:tcPr>
          <w:p>
            <w:pPr>
              <w:ind w:left="220"/>
              <w:spacing w:after="0"/>
              <w:rPr>
                <w:sz w:val="20"/>
                <w:szCs w:val="20"/>
                <w:color w:val="auto"/>
              </w:rPr>
            </w:pPr>
            <w:r>
              <w:rPr>
                <w:rFonts w:ascii="Arial" w:cs="Arial" w:eastAsia="Arial" w:hAnsi="Arial"/>
                <w:sz w:val="14"/>
                <w:szCs w:val="14"/>
                <w:color w:val="auto"/>
              </w:rPr>
              <w:t>Subsidiaries</w:t>
            </w:r>
          </w:p>
        </w:tc>
        <w:tc>
          <w:tcPr>
            <w:tcW w:w="1260" w:type="dxa"/>
            <w:vAlign w:val="bottom"/>
            <w:gridSpan w:val="2"/>
          </w:tcPr>
          <w:p>
            <w:pPr>
              <w:jc w:val="center"/>
              <w:spacing w:after="0"/>
              <w:rPr>
                <w:sz w:val="20"/>
                <w:szCs w:val="20"/>
                <w:color w:val="auto"/>
              </w:rPr>
            </w:pPr>
            <w:r>
              <w:rPr>
                <w:rFonts w:ascii="Arial" w:cs="Arial" w:eastAsia="Arial" w:hAnsi="Arial"/>
                <w:sz w:val="14"/>
                <w:szCs w:val="14"/>
                <w:color w:val="auto"/>
                <w:w w:val="88"/>
              </w:rPr>
              <w:t>Adjustments</w:t>
            </w:r>
          </w:p>
        </w:tc>
        <w:tc>
          <w:tcPr>
            <w:tcW w:w="1080" w:type="dxa"/>
            <w:vAlign w:val="bottom"/>
            <w:gridSpan w:val="2"/>
          </w:tcPr>
          <w:p>
            <w:pPr>
              <w:jc w:val="right"/>
              <w:ind w:right="53"/>
              <w:spacing w:after="0"/>
              <w:rPr>
                <w:sz w:val="20"/>
                <w:szCs w:val="20"/>
                <w:color w:val="auto"/>
              </w:rPr>
            </w:pPr>
            <w:r>
              <w:rPr>
                <w:rFonts w:ascii="Arial" w:cs="Arial" w:eastAsia="Arial" w:hAnsi="Arial"/>
                <w:sz w:val="14"/>
                <w:szCs w:val="14"/>
                <w:color w:val="auto"/>
              </w:rPr>
              <w:t>Corporation</w:t>
            </w:r>
          </w:p>
        </w:tc>
      </w:tr>
      <w:tr>
        <w:trPr>
          <w:trHeight w:val="201"/>
        </w:trPr>
        <w:tc>
          <w:tcPr>
            <w:tcW w:w="20" w:type="dxa"/>
            <w:vAlign w:val="bottom"/>
          </w:tcPr>
          <w:p>
            <w:pPr>
              <w:spacing w:after="0"/>
              <w:rPr>
                <w:sz w:val="17"/>
                <w:szCs w:val="17"/>
                <w:color w:val="auto"/>
              </w:rPr>
            </w:pPr>
          </w:p>
        </w:tc>
        <w:tc>
          <w:tcPr>
            <w:tcW w:w="3700" w:type="dxa"/>
            <w:vAlign w:val="bottom"/>
            <w:tcBorders>
              <w:top w:val="single" w:sz="8" w:color="auto"/>
            </w:tcBorders>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operating</w:t>
            </w:r>
          </w:p>
        </w:tc>
        <w:tc>
          <w:tcPr>
            <w:tcW w:w="320" w:type="dxa"/>
            <w:vAlign w:val="bottom"/>
            <w:tcBorders>
              <w:top w:val="single" w:sz="8" w:color="auto"/>
            </w:tcBorders>
            <w:shd w:val="clear" w:color="auto" w:fill="E5E5E5"/>
          </w:tcPr>
          <w:p>
            <w:pPr>
              <w:spacing w:after="0"/>
              <w:rPr>
                <w:sz w:val="17"/>
                <w:szCs w:val="17"/>
                <w:color w:val="auto"/>
              </w:rPr>
            </w:pPr>
          </w:p>
        </w:tc>
        <w:tc>
          <w:tcPr>
            <w:tcW w:w="680" w:type="dxa"/>
            <w:vAlign w:val="bottom"/>
            <w:tcBorders>
              <w:top w:val="single" w:sz="8" w:color="auto"/>
            </w:tcBorders>
            <w:shd w:val="clear" w:color="auto" w:fill="E5E5E5"/>
          </w:tcPr>
          <w:p>
            <w:pPr>
              <w:spacing w:after="0"/>
              <w:rPr>
                <w:sz w:val="17"/>
                <w:szCs w:val="17"/>
                <w:color w:val="auto"/>
              </w:rPr>
            </w:pPr>
          </w:p>
        </w:tc>
        <w:tc>
          <w:tcPr>
            <w:tcW w:w="320" w:type="dxa"/>
            <w:vAlign w:val="bottom"/>
            <w:tcBorders>
              <w:top w:val="single" w:sz="8" w:color="auto"/>
            </w:tcBorders>
            <w:shd w:val="clear" w:color="auto" w:fill="E5E5E5"/>
          </w:tcPr>
          <w:p>
            <w:pPr>
              <w:spacing w:after="0"/>
              <w:rPr>
                <w:sz w:val="17"/>
                <w:szCs w:val="17"/>
                <w:color w:val="auto"/>
              </w:rPr>
            </w:pPr>
          </w:p>
        </w:tc>
        <w:tc>
          <w:tcPr>
            <w:tcW w:w="540" w:type="dxa"/>
            <w:vAlign w:val="bottom"/>
            <w:tcBorders>
              <w:top w:val="single" w:sz="8" w:color="auto"/>
            </w:tcBorders>
            <w:shd w:val="clear" w:color="auto" w:fill="E5E5E5"/>
          </w:tcPr>
          <w:p>
            <w:pPr>
              <w:spacing w:after="0"/>
              <w:rPr>
                <w:sz w:val="17"/>
                <w:szCs w:val="17"/>
                <w:color w:val="auto"/>
              </w:rPr>
            </w:pPr>
          </w:p>
        </w:tc>
        <w:tc>
          <w:tcPr>
            <w:tcW w:w="640" w:type="dxa"/>
            <w:vAlign w:val="bottom"/>
            <w:tcBorders>
              <w:top w:val="single" w:sz="8" w:color="auto"/>
            </w:tcBorders>
            <w:shd w:val="clear" w:color="auto" w:fill="E5E5E5"/>
          </w:tcPr>
          <w:p>
            <w:pPr>
              <w:spacing w:after="0"/>
              <w:rPr>
                <w:sz w:val="17"/>
                <w:szCs w:val="17"/>
                <w:color w:val="auto"/>
              </w:rPr>
            </w:pPr>
          </w:p>
        </w:tc>
        <w:tc>
          <w:tcPr>
            <w:tcW w:w="660" w:type="dxa"/>
            <w:vAlign w:val="bottom"/>
            <w:tcBorders>
              <w:top w:val="single" w:sz="8" w:color="auto"/>
            </w:tcBorders>
            <w:shd w:val="clear" w:color="auto" w:fill="E5E5E5"/>
          </w:tcPr>
          <w:p>
            <w:pPr>
              <w:spacing w:after="0"/>
              <w:rPr>
                <w:sz w:val="17"/>
                <w:szCs w:val="17"/>
                <w:color w:val="auto"/>
              </w:rPr>
            </w:pPr>
          </w:p>
        </w:tc>
        <w:tc>
          <w:tcPr>
            <w:tcW w:w="400" w:type="dxa"/>
            <w:vAlign w:val="bottom"/>
            <w:tcBorders>
              <w:top w:val="single" w:sz="8" w:color="auto"/>
            </w:tcBorders>
            <w:shd w:val="clear" w:color="auto" w:fill="E5E5E5"/>
          </w:tcPr>
          <w:p>
            <w:pPr>
              <w:spacing w:after="0"/>
              <w:rPr>
                <w:sz w:val="17"/>
                <w:szCs w:val="17"/>
                <w:color w:val="auto"/>
              </w:rPr>
            </w:pPr>
          </w:p>
        </w:tc>
        <w:tc>
          <w:tcPr>
            <w:tcW w:w="62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820" w:type="dxa"/>
            <w:vAlign w:val="bottom"/>
            <w:tcBorders>
              <w:top w:val="single" w:sz="8" w:color="auto"/>
            </w:tcBorders>
            <w:shd w:val="clear" w:color="auto" w:fill="E5E5E5"/>
          </w:tcPr>
          <w:p>
            <w:pPr>
              <w:spacing w:after="0"/>
              <w:rPr>
                <w:sz w:val="17"/>
                <w:szCs w:val="17"/>
                <w:color w:val="auto"/>
              </w:rPr>
            </w:pPr>
          </w:p>
        </w:tc>
        <w:tc>
          <w:tcPr>
            <w:tcW w:w="420" w:type="dxa"/>
            <w:vAlign w:val="bottom"/>
            <w:tcBorders>
              <w:top w:val="single" w:sz="8" w:color="auto"/>
            </w:tcBorders>
            <w:shd w:val="clear" w:color="auto" w:fill="E5E5E5"/>
          </w:tcPr>
          <w:p>
            <w:pPr>
              <w:spacing w:after="0"/>
              <w:rPr>
                <w:sz w:val="17"/>
                <w:szCs w:val="17"/>
                <w:color w:val="auto"/>
              </w:rPr>
            </w:pPr>
          </w:p>
        </w:tc>
        <w:tc>
          <w:tcPr>
            <w:tcW w:w="840" w:type="dxa"/>
            <w:vAlign w:val="bottom"/>
            <w:tcBorders>
              <w:top w:val="single" w:sz="8" w:color="auto"/>
            </w:tcBorders>
            <w:shd w:val="clear" w:color="auto" w:fill="E5E5E5"/>
          </w:tcPr>
          <w:p>
            <w:pPr>
              <w:spacing w:after="0"/>
              <w:rPr>
                <w:sz w:val="17"/>
                <w:szCs w:val="17"/>
                <w:color w:val="auto"/>
              </w:rPr>
            </w:pPr>
          </w:p>
        </w:tc>
        <w:tc>
          <w:tcPr>
            <w:tcW w:w="360" w:type="dxa"/>
            <w:vAlign w:val="bottom"/>
            <w:tcBorders>
              <w:top w:val="single" w:sz="8" w:color="auto"/>
            </w:tcBorders>
            <w:shd w:val="clear" w:color="auto" w:fill="E5E5E5"/>
          </w:tcPr>
          <w:p>
            <w:pPr>
              <w:spacing w:after="0"/>
              <w:rPr>
                <w:sz w:val="17"/>
                <w:szCs w:val="17"/>
                <w:color w:val="auto"/>
              </w:rPr>
            </w:pPr>
          </w:p>
        </w:tc>
        <w:tc>
          <w:tcPr>
            <w:tcW w:w="720" w:type="dxa"/>
            <w:vAlign w:val="bottom"/>
            <w:tcBorders>
              <w:top w:val="single" w:sz="8" w:color="auto"/>
            </w:tcBorders>
            <w:shd w:val="clear" w:color="auto" w:fill="E5E5E5"/>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E5E5E5"/>
          </w:tcPr>
          <w:p>
            <w:pPr>
              <w:jc w:val="right"/>
              <w:ind w:right="132"/>
              <w:spacing w:after="0"/>
              <w:rPr>
                <w:sz w:val="20"/>
                <w:szCs w:val="20"/>
                <w:color w:val="auto"/>
              </w:rPr>
            </w:pPr>
            <w:r>
              <w:rPr>
                <w:rFonts w:ascii="Arial" w:cs="Arial" w:eastAsia="Arial" w:hAnsi="Arial"/>
                <w:sz w:val="18"/>
                <w:szCs w:val="18"/>
                <w:color w:val="auto"/>
              </w:rPr>
              <w:t>(210)</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24</w:t>
            </w:r>
          </w:p>
        </w:tc>
        <w:tc>
          <w:tcPr>
            <w:tcW w:w="6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E5E5E5"/>
          </w:tcPr>
          <w:p>
            <w:pPr>
              <w:jc w:val="right"/>
              <w:ind w:right="15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3,744</w:t>
            </w:r>
          </w:p>
        </w:tc>
        <w:tc>
          <w:tcPr>
            <w:tcW w:w="42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3,468</w:t>
            </w:r>
          </w:p>
        </w:tc>
      </w:tr>
      <w:tr>
        <w:trPr>
          <w:trHeight w:val="212"/>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Net transactions with affiliates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(102)</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976</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75</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(964)</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(1,104)</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Cash paid for intangible assets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(123)</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(123)</w:t>
            </w: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3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(5,658)</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(5,658)</w:t>
            </w:r>
          </w:p>
        </w:tc>
      </w:tr>
      <w:tr>
        <w:trPr>
          <w:trHeight w:val="208"/>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Proceeds from sales of businesses and</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3700" w:type="dxa"/>
            <w:vAlign w:val="bottom"/>
            <w:shd w:val="clear" w:color="auto" w:fill="E5E5E5"/>
          </w:tcPr>
          <w:p>
            <w:pPr>
              <w:ind w:left="420"/>
              <w:spacing w:after="0"/>
              <w:rPr>
                <w:sz w:val="20"/>
                <w:szCs w:val="20"/>
                <w:color w:val="auto"/>
              </w:rPr>
            </w:pPr>
            <w:r>
              <w:rPr>
                <w:rFonts w:ascii="Arial" w:cs="Arial" w:eastAsia="Arial" w:hAnsi="Arial"/>
                <w:sz w:val="18"/>
                <w:szCs w:val="18"/>
                <w:color w:val="auto"/>
              </w:rPr>
              <w:t>investments</w:t>
            </w:r>
          </w:p>
        </w:tc>
        <w:tc>
          <w:tcPr>
            <w:tcW w:w="320" w:type="dxa"/>
            <w:vAlign w:val="bottom"/>
            <w:shd w:val="clear" w:color="auto" w:fill="E5E5E5"/>
          </w:tcPr>
          <w:p>
            <w:pPr>
              <w:spacing w:after="0"/>
              <w:rPr>
                <w:sz w:val="19"/>
                <w:szCs w:val="19"/>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9"/>
                <w:szCs w:val="19"/>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9"/>
                <w:szCs w:val="19"/>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9"/>
                <w:szCs w:val="19"/>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18</w:t>
            </w:r>
          </w:p>
        </w:tc>
        <w:tc>
          <w:tcPr>
            <w:tcW w:w="420" w:type="dxa"/>
            <w:vAlign w:val="bottom"/>
            <w:shd w:val="clear" w:color="auto" w:fill="E5E5E5"/>
          </w:tcPr>
          <w:p>
            <w:pPr>
              <w:spacing w:after="0"/>
              <w:rPr>
                <w:sz w:val="19"/>
                <w:szCs w:val="19"/>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9"/>
                <w:szCs w:val="19"/>
                <w:color w:val="auto"/>
              </w:rPr>
            </w:pPr>
          </w:p>
        </w:tc>
        <w:tc>
          <w:tcPr>
            <w:tcW w:w="720" w:type="dxa"/>
            <w:vAlign w:val="bottom"/>
            <w:shd w:val="clear" w:color="auto" w:fill="E5E5E5"/>
          </w:tcPr>
          <w:p>
            <w:pPr>
              <w:jc w:val="right"/>
              <w:ind w:right="13"/>
              <w:spacing w:after="0"/>
              <w:rPr>
                <w:sz w:val="20"/>
                <w:szCs w:val="20"/>
                <w:color w:val="auto"/>
              </w:rPr>
            </w:pPr>
            <w:r>
              <w:rPr>
                <w:rFonts w:ascii="Arial" w:cs="Arial" w:eastAsia="Arial" w:hAnsi="Arial"/>
                <w:sz w:val="18"/>
                <w:szCs w:val="18"/>
                <w:color w:val="auto"/>
              </w:rPr>
              <w:t>18</w:t>
            </w: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(16)</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(2)</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w:t>
            </w:r>
          </w:p>
        </w:tc>
      </w:tr>
      <w:tr>
        <w:trPr>
          <w:trHeight w:val="201"/>
        </w:trPr>
        <w:tc>
          <w:tcPr>
            <w:tcW w:w="20" w:type="dxa"/>
            <w:vAlign w:val="bottom"/>
          </w:tcPr>
          <w:p>
            <w:pPr>
              <w:spacing w:after="0"/>
              <w:rPr>
                <w:sz w:val="17"/>
                <w:szCs w:val="17"/>
                <w:color w:val="auto"/>
              </w:rPr>
            </w:pPr>
          </w:p>
        </w:tc>
        <w:tc>
          <w:tcPr>
            <w:tcW w:w="3700" w:type="dxa"/>
            <w:vAlign w:val="bottom"/>
          </w:tcPr>
          <w:p>
            <w:pPr>
              <w:ind w:left="200"/>
              <w:spacing w:after="0" w:line="201" w:lineRule="exact"/>
              <w:rPr>
                <w:sz w:val="20"/>
                <w:szCs w:val="20"/>
                <w:color w:val="auto"/>
              </w:rPr>
            </w:pPr>
            <w:r>
              <w:rPr>
                <w:rFonts w:ascii="Arial" w:cs="Arial" w:eastAsia="Arial" w:hAnsi="Arial"/>
                <w:sz w:val="18"/>
                <w:szCs w:val="18"/>
                <w:color w:val="auto"/>
              </w:rPr>
              <w:t>Net cash provided by (used in) investing</w:t>
            </w: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370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(104)</w:t>
            </w:r>
          </w:p>
        </w:tc>
        <w:tc>
          <w:tcPr>
            <w:tcW w:w="3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6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75</w:t>
            </w:r>
          </w:p>
        </w:tc>
        <w:tc>
          <w:tcPr>
            <w:tcW w:w="4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15</w:t>
            </w:r>
          </w:p>
        </w:tc>
        <w:tc>
          <w:tcPr>
            <w:tcW w:w="3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53"/>
              <w:spacing w:after="0"/>
              <w:rPr>
                <w:sz w:val="20"/>
                <w:szCs w:val="20"/>
                <w:color w:val="auto"/>
              </w:rPr>
            </w:pPr>
            <w:r>
              <w:rPr>
                <w:rFonts w:ascii="Arial" w:cs="Arial" w:eastAsia="Arial" w:hAnsi="Arial"/>
                <w:sz w:val="18"/>
                <w:szCs w:val="18"/>
                <w:color w:val="auto"/>
                <w:w w:val="98"/>
              </w:rPr>
              <w:t>(7,849)</w:t>
            </w: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r>
      <w:tr>
        <w:trPr>
          <w:trHeight w:val="212"/>
        </w:trPr>
        <w:tc>
          <w:tcPr>
            <w:tcW w:w="20" w:type="dxa"/>
            <w:vAlign w:val="bottom"/>
          </w:tcPr>
          <w:p>
            <w:pPr>
              <w:spacing w:after="0"/>
              <w:rPr>
                <w:sz w:val="18"/>
                <w:szCs w:val="18"/>
                <w:color w:val="auto"/>
              </w:rPr>
            </w:pPr>
          </w:p>
        </w:tc>
        <w:tc>
          <w:tcPr>
            <w:tcW w:w="370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Financing Activities: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spacing w:after="0"/>
              <w:rPr>
                <w:sz w:val="18"/>
                <w:szCs w:val="18"/>
                <w:color w:val="auto"/>
              </w:rPr>
            </w:pP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spacing w:after="0"/>
              <w:rPr>
                <w:sz w:val="18"/>
                <w:szCs w:val="18"/>
                <w:color w:val="auto"/>
              </w:rPr>
            </w:pP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spacing w:after="0"/>
              <w:rPr>
                <w:sz w:val="18"/>
                <w:szCs w:val="18"/>
                <w:color w:val="auto"/>
              </w:rPr>
            </w:pP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spacing w:after="0"/>
              <w:rPr>
                <w:sz w:val="18"/>
                <w:szCs w:val="18"/>
                <w:color w:val="auto"/>
              </w:rPr>
            </w:pP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Proceeds from (repayments of) short-term</w:t>
            </w: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00" w:type="dxa"/>
            <w:vAlign w:val="bottom"/>
          </w:tcPr>
          <w:p>
            <w:pPr>
              <w:ind w:left="420"/>
              <w:spacing w:after="0"/>
              <w:rPr>
                <w:sz w:val="20"/>
                <w:szCs w:val="20"/>
                <w:color w:val="auto"/>
              </w:rPr>
            </w:pPr>
            <w:r>
              <w:rPr>
                <w:rFonts w:ascii="Arial" w:cs="Arial" w:eastAsia="Arial" w:hAnsi="Arial"/>
                <w:sz w:val="18"/>
                <w:szCs w:val="18"/>
                <w:color w:val="auto"/>
              </w:rPr>
              <w:t>borrowings, net</w:t>
            </w:r>
          </w:p>
        </w:tc>
        <w:tc>
          <w:tcPr>
            <w:tcW w:w="320" w:type="dxa"/>
            <w:vAlign w:val="bottom"/>
          </w:tcPr>
          <w:p>
            <w:pPr>
              <w:spacing w:after="0"/>
              <w:rPr>
                <w:sz w:val="19"/>
                <w:szCs w:val="19"/>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w w:val="84"/>
              </w:rPr>
              <w:t>1,688</w:t>
            </w:r>
          </w:p>
        </w:tc>
        <w:tc>
          <w:tcPr>
            <w:tcW w:w="3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9"/>
                <w:szCs w:val="19"/>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9"/>
                <w:szCs w:val="19"/>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1,677</w:t>
            </w:r>
          </w:p>
        </w:tc>
      </w:tr>
      <w:tr>
        <w:trPr>
          <w:trHeight w:val="217"/>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Repurchases and repayments of debt</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(750)</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w w:val="87"/>
              </w:rPr>
              <w:t>(1,000)</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(9)</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(1,759)</w:t>
            </w: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w w:val="92"/>
              </w:rPr>
              <w:t>Repurchases and retirements of common stock</w:t>
            </w:r>
          </w:p>
        </w:tc>
        <w:tc>
          <w:tcPr>
            <w:tcW w:w="320" w:type="dxa"/>
            <w:vAlign w:val="bottom"/>
          </w:tcPr>
          <w:p>
            <w:pPr>
              <w:spacing w:after="0"/>
              <w:rPr>
                <w:sz w:val="18"/>
                <w:szCs w:val="18"/>
                <w:color w:val="auto"/>
              </w:rPr>
            </w:pPr>
          </w:p>
        </w:tc>
        <w:tc>
          <w:tcPr>
            <w:tcW w:w="680" w:type="dxa"/>
            <w:vAlign w:val="bottom"/>
          </w:tcPr>
          <w:p>
            <w:pPr>
              <w:jc w:val="right"/>
              <w:ind w:right="132"/>
              <w:spacing w:after="0"/>
              <w:rPr>
                <w:sz w:val="20"/>
                <w:szCs w:val="20"/>
                <w:color w:val="auto"/>
              </w:rPr>
            </w:pPr>
            <w:r>
              <w:rPr>
                <w:rFonts w:ascii="Arial" w:cs="Arial" w:eastAsia="Arial" w:hAnsi="Arial"/>
                <w:sz w:val="18"/>
                <w:szCs w:val="18"/>
                <w:color w:val="auto"/>
              </w:rPr>
              <w:t>(525)</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(525)</w:t>
            </w: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Dividends paid</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32"/>
              <w:spacing w:after="0"/>
              <w:rPr>
                <w:sz w:val="20"/>
                <w:szCs w:val="20"/>
                <w:color w:val="auto"/>
              </w:rPr>
            </w:pPr>
            <w:r>
              <w:rPr>
                <w:rFonts w:ascii="Arial" w:cs="Arial" w:eastAsia="Arial" w:hAnsi="Arial"/>
                <w:sz w:val="18"/>
                <w:szCs w:val="18"/>
                <w:color w:val="auto"/>
              </w:rPr>
              <w:t>(261)</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(261)</w:t>
            </w:r>
          </w:p>
        </w:tc>
      </w:tr>
      <w:tr>
        <w:trPr>
          <w:trHeight w:val="216"/>
        </w:trPr>
        <w:tc>
          <w:tcPr>
            <w:tcW w:w="20" w:type="dxa"/>
            <w:vAlign w:val="bottom"/>
          </w:tcPr>
          <w:p>
            <w:pPr>
              <w:spacing w:after="0"/>
              <w:rPr>
                <w:sz w:val="18"/>
                <w:szCs w:val="18"/>
                <w:color w:val="auto"/>
              </w:rPr>
            </w:pPr>
          </w:p>
        </w:tc>
        <w:tc>
          <w:tcPr>
            <w:tcW w:w="3700" w:type="dxa"/>
            <w:vAlign w:val="bottom"/>
          </w:tcPr>
          <w:p>
            <w:pPr>
              <w:ind w:left="200"/>
              <w:spacing w:after="0"/>
              <w:rPr>
                <w:sz w:val="20"/>
                <w:szCs w:val="20"/>
                <w:color w:val="auto"/>
              </w:rPr>
            </w:pPr>
            <w:r>
              <w:rPr>
                <w:rFonts w:ascii="Arial" w:cs="Arial" w:eastAsia="Arial" w:hAnsi="Arial"/>
                <w:sz w:val="18"/>
                <w:szCs w:val="18"/>
                <w:color w:val="auto"/>
              </w:rPr>
              <w:t>Issuances of common stock</w:t>
            </w:r>
          </w:p>
        </w:tc>
        <w:tc>
          <w:tcPr>
            <w:tcW w:w="3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129</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129</w:t>
            </w:r>
          </w:p>
        </w:tc>
      </w:tr>
      <w:tr>
        <w:trPr>
          <w:trHeight w:val="216"/>
        </w:trPr>
        <w:tc>
          <w:tcPr>
            <w:tcW w:w="20" w:type="dxa"/>
            <w:vAlign w:val="bottom"/>
          </w:tcPr>
          <w:p>
            <w:pPr>
              <w:spacing w:after="0"/>
              <w:rPr>
                <w:sz w:val="18"/>
                <w:szCs w:val="18"/>
                <w:color w:val="auto"/>
              </w:rPr>
            </w:pPr>
          </w:p>
        </w:tc>
        <w:tc>
          <w:tcPr>
            <w:tcW w:w="3700" w:type="dxa"/>
            <w:vAlign w:val="bottom"/>
            <w:shd w:val="clear" w:color="auto" w:fill="E5E5E5"/>
          </w:tcPr>
          <w:p>
            <w:pPr>
              <w:ind w:left="200"/>
              <w:spacing w:after="0"/>
              <w:rPr>
                <w:sz w:val="20"/>
                <w:szCs w:val="20"/>
                <w:color w:val="auto"/>
              </w:rPr>
            </w:pPr>
            <w:r>
              <w:rPr>
                <w:rFonts w:ascii="Arial" w:cs="Arial" w:eastAsia="Arial" w:hAnsi="Arial"/>
                <w:sz w:val="18"/>
                <w:szCs w:val="18"/>
                <w:color w:val="auto"/>
              </w:rPr>
              <w:t>Distributions to noncontrolling interests</w:t>
            </w:r>
          </w:p>
        </w:tc>
        <w:tc>
          <w:tcPr>
            <w:tcW w:w="320" w:type="dxa"/>
            <w:vAlign w:val="bottom"/>
            <w:shd w:val="clear" w:color="auto" w:fill="E5E5E5"/>
          </w:tcPr>
          <w:p>
            <w:pPr>
              <w:spacing w:after="0"/>
              <w:rPr>
                <w:sz w:val="18"/>
                <w:szCs w:val="18"/>
                <w:color w:val="auto"/>
              </w:rPr>
            </w:pPr>
          </w:p>
        </w:tc>
        <w:tc>
          <w:tcPr>
            <w:tcW w:w="680" w:type="dxa"/>
            <w:vAlign w:val="bottom"/>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E5E5E5"/>
          </w:tcPr>
          <w:p>
            <w:pPr>
              <w:spacing w:after="0"/>
              <w:rPr>
                <w:sz w:val="18"/>
                <w:szCs w:val="18"/>
                <w:color w:val="auto"/>
              </w:rPr>
            </w:pPr>
          </w:p>
        </w:tc>
        <w:tc>
          <w:tcPr>
            <w:tcW w:w="66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shd w:val="clear" w:color="auto" w:fill="E5E5E5"/>
          </w:tcPr>
          <w:p>
            <w:pPr>
              <w:spacing w:after="0"/>
              <w:rPr>
                <w:sz w:val="18"/>
                <w:szCs w:val="18"/>
                <w:color w:val="auto"/>
              </w:rPr>
            </w:pPr>
          </w:p>
        </w:tc>
        <w:tc>
          <w:tcPr>
            <w:tcW w:w="620" w:type="dxa"/>
            <w:vAlign w:val="bottom"/>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820" w:type="dxa"/>
            <w:vAlign w:val="bottom"/>
            <w:shd w:val="clear" w:color="auto" w:fill="E5E5E5"/>
          </w:tcPr>
          <w:p>
            <w:pPr>
              <w:jc w:val="right"/>
              <w:ind w:right="153"/>
              <w:spacing w:after="0"/>
              <w:rPr>
                <w:sz w:val="20"/>
                <w:szCs w:val="20"/>
                <w:color w:val="auto"/>
              </w:rPr>
            </w:pPr>
            <w:r>
              <w:rPr>
                <w:rFonts w:ascii="Arial" w:cs="Arial" w:eastAsia="Arial" w:hAnsi="Arial"/>
                <w:sz w:val="18"/>
                <w:szCs w:val="18"/>
                <w:color w:val="auto"/>
              </w:rPr>
              <w:t>(46)</w:t>
            </w:r>
          </w:p>
        </w:tc>
        <w:tc>
          <w:tcPr>
            <w:tcW w:w="420" w:type="dxa"/>
            <w:vAlign w:val="bottom"/>
            <w:shd w:val="clear" w:color="auto" w:fill="E5E5E5"/>
          </w:tcPr>
          <w:p>
            <w:pPr>
              <w:spacing w:after="0"/>
              <w:rPr>
                <w:sz w:val="18"/>
                <w:szCs w:val="18"/>
                <w:color w:val="auto"/>
              </w:rPr>
            </w:pPr>
          </w:p>
        </w:tc>
        <w:tc>
          <w:tcPr>
            <w:tcW w:w="840" w:type="dxa"/>
            <w:vAlign w:val="bottom"/>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rPr>
              <w:t>33</w:t>
            </w:r>
          </w:p>
        </w:tc>
        <w:tc>
          <w:tcPr>
            <w:tcW w:w="3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color w:val="auto"/>
              </w:rPr>
              <w:t>9</w:t>
            </w:r>
          </w:p>
        </w:tc>
        <w:tc>
          <w:tcPr>
            <w:tcW w:w="4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w:t>
            </w:r>
          </w:p>
        </w:tc>
      </w:tr>
      <w:tr>
        <w:trPr>
          <w:trHeight w:val="201"/>
        </w:trPr>
        <w:tc>
          <w:tcPr>
            <w:tcW w:w="20" w:type="dxa"/>
            <w:vAlign w:val="bottom"/>
          </w:tcPr>
          <w:p>
            <w:pPr>
              <w:spacing w:after="0"/>
              <w:rPr>
                <w:sz w:val="17"/>
                <w:szCs w:val="17"/>
                <w:color w:val="auto"/>
              </w:rPr>
            </w:pPr>
          </w:p>
        </w:tc>
        <w:tc>
          <w:tcPr>
            <w:tcW w:w="3700" w:type="dxa"/>
            <w:vAlign w:val="bottom"/>
            <w:shd w:val="clear" w:color="auto" w:fill="E5E5E5"/>
          </w:tcPr>
          <w:p>
            <w:pPr>
              <w:ind w:left="200"/>
              <w:spacing w:after="0" w:line="201" w:lineRule="exact"/>
              <w:rPr>
                <w:sz w:val="20"/>
                <w:szCs w:val="20"/>
                <w:color w:val="auto"/>
              </w:rPr>
            </w:pPr>
            <w:r>
              <w:rPr>
                <w:rFonts w:ascii="Arial" w:cs="Arial" w:eastAsia="Arial" w:hAnsi="Arial"/>
                <w:sz w:val="18"/>
                <w:szCs w:val="18"/>
                <w:color w:val="auto"/>
              </w:rPr>
              <w:t>Net cash provided by (used in) financing</w:t>
            </w:r>
          </w:p>
        </w:tc>
        <w:tc>
          <w:tcPr>
            <w:tcW w:w="320" w:type="dxa"/>
            <w:vAlign w:val="bottom"/>
            <w:shd w:val="clear" w:color="auto" w:fill="E5E5E5"/>
          </w:tcPr>
          <w:p>
            <w:pPr>
              <w:spacing w:after="0"/>
              <w:rPr>
                <w:sz w:val="17"/>
                <w:szCs w:val="17"/>
                <w:color w:val="auto"/>
              </w:rPr>
            </w:pPr>
          </w:p>
        </w:tc>
        <w:tc>
          <w:tcPr>
            <w:tcW w:w="680" w:type="dxa"/>
            <w:vAlign w:val="bottom"/>
            <w:shd w:val="clear" w:color="auto" w:fill="E5E5E5"/>
          </w:tcPr>
          <w:p>
            <w:pPr>
              <w:spacing w:after="0"/>
              <w:rPr>
                <w:sz w:val="17"/>
                <w:szCs w:val="17"/>
                <w:color w:val="auto"/>
              </w:rPr>
            </w:pPr>
          </w:p>
        </w:tc>
        <w:tc>
          <w:tcPr>
            <w:tcW w:w="320" w:type="dxa"/>
            <w:vAlign w:val="bottom"/>
            <w:shd w:val="clear" w:color="auto" w:fill="E5E5E5"/>
          </w:tcPr>
          <w:p>
            <w:pPr>
              <w:spacing w:after="0"/>
              <w:rPr>
                <w:sz w:val="17"/>
                <w:szCs w:val="17"/>
                <w:color w:val="auto"/>
              </w:rPr>
            </w:pPr>
          </w:p>
        </w:tc>
        <w:tc>
          <w:tcPr>
            <w:tcW w:w="540" w:type="dxa"/>
            <w:vAlign w:val="bottom"/>
            <w:shd w:val="clear" w:color="auto" w:fill="E5E5E5"/>
          </w:tcPr>
          <w:p>
            <w:pPr>
              <w:spacing w:after="0"/>
              <w:rPr>
                <w:sz w:val="17"/>
                <w:szCs w:val="17"/>
                <w:color w:val="auto"/>
              </w:rPr>
            </w:pPr>
          </w:p>
        </w:tc>
        <w:tc>
          <w:tcPr>
            <w:tcW w:w="640" w:type="dxa"/>
            <w:vAlign w:val="bottom"/>
            <w:shd w:val="clear" w:color="auto" w:fill="E5E5E5"/>
          </w:tcPr>
          <w:p>
            <w:pPr>
              <w:spacing w:after="0"/>
              <w:rPr>
                <w:sz w:val="17"/>
                <w:szCs w:val="17"/>
                <w:color w:val="auto"/>
              </w:rPr>
            </w:pPr>
          </w:p>
        </w:tc>
        <w:tc>
          <w:tcPr>
            <w:tcW w:w="660" w:type="dxa"/>
            <w:vAlign w:val="bottom"/>
            <w:shd w:val="clear" w:color="auto" w:fill="E5E5E5"/>
          </w:tcPr>
          <w:p>
            <w:pPr>
              <w:spacing w:after="0"/>
              <w:rPr>
                <w:sz w:val="17"/>
                <w:szCs w:val="17"/>
                <w:color w:val="auto"/>
              </w:rPr>
            </w:pPr>
          </w:p>
        </w:tc>
        <w:tc>
          <w:tcPr>
            <w:tcW w:w="400" w:type="dxa"/>
            <w:vAlign w:val="bottom"/>
            <w:shd w:val="clear" w:color="auto" w:fill="E5E5E5"/>
          </w:tcPr>
          <w:p>
            <w:pPr>
              <w:spacing w:after="0"/>
              <w:rPr>
                <w:sz w:val="17"/>
                <w:szCs w:val="17"/>
                <w:color w:val="auto"/>
              </w:rPr>
            </w:pPr>
          </w:p>
        </w:tc>
        <w:tc>
          <w:tcPr>
            <w:tcW w:w="62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820" w:type="dxa"/>
            <w:vAlign w:val="bottom"/>
            <w:shd w:val="clear" w:color="auto" w:fill="E5E5E5"/>
          </w:tcPr>
          <w:p>
            <w:pPr>
              <w:spacing w:after="0"/>
              <w:rPr>
                <w:sz w:val="17"/>
                <w:szCs w:val="17"/>
                <w:color w:val="auto"/>
              </w:rPr>
            </w:pPr>
          </w:p>
        </w:tc>
        <w:tc>
          <w:tcPr>
            <w:tcW w:w="420" w:type="dxa"/>
            <w:vAlign w:val="bottom"/>
            <w:shd w:val="clear" w:color="auto" w:fill="E5E5E5"/>
          </w:tcPr>
          <w:p>
            <w:pPr>
              <w:spacing w:after="0"/>
              <w:rPr>
                <w:sz w:val="17"/>
                <w:szCs w:val="17"/>
                <w:color w:val="auto"/>
              </w:rPr>
            </w:pPr>
          </w:p>
        </w:tc>
        <w:tc>
          <w:tcPr>
            <w:tcW w:w="840" w:type="dxa"/>
            <w:vAlign w:val="bottom"/>
            <w:shd w:val="clear" w:color="auto" w:fill="E5E5E5"/>
          </w:tcPr>
          <w:p>
            <w:pPr>
              <w:spacing w:after="0"/>
              <w:rPr>
                <w:sz w:val="17"/>
                <w:szCs w:val="17"/>
                <w:color w:val="auto"/>
              </w:rPr>
            </w:pPr>
          </w:p>
        </w:tc>
        <w:tc>
          <w:tcPr>
            <w:tcW w:w="360" w:type="dxa"/>
            <w:vAlign w:val="bottom"/>
            <w:shd w:val="clear" w:color="auto" w:fill="E5E5E5"/>
          </w:tcPr>
          <w:p>
            <w:pPr>
              <w:spacing w:after="0"/>
              <w:rPr>
                <w:sz w:val="17"/>
                <w:szCs w:val="17"/>
                <w:color w:val="auto"/>
              </w:rPr>
            </w:pPr>
          </w:p>
        </w:tc>
        <w:tc>
          <w:tcPr>
            <w:tcW w:w="720" w:type="dxa"/>
            <w:vAlign w:val="bottom"/>
            <w:shd w:val="clear" w:color="auto" w:fill="E5E5E5"/>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370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activities</w:t>
            </w:r>
          </w:p>
        </w:tc>
        <w:tc>
          <w:tcPr>
            <w:tcW w:w="320" w:type="dxa"/>
            <w:vAlign w:val="bottom"/>
            <w:tcBorders>
              <w:bottom w:val="single" w:sz="8" w:color="auto"/>
            </w:tcBorders>
            <w:shd w:val="clear" w:color="auto" w:fill="E5E5E5"/>
          </w:tcPr>
          <w:p>
            <w:pPr>
              <w:spacing w:after="0"/>
              <w:rPr>
                <w:sz w:val="19"/>
                <w:szCs w:val="19"/>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314</w:t>
            </w:r>
          </w:p>
        </w:tc>
        <w:tc>
          <w:tcPr>
            <w:tcW w:w="320" w:type="dxa"/>
            <w:vAlign w:val="bottom"/>
            <w:tcBorders>
              <w:bottom w:val="single" w:sz="8" w:color="auto"/>
            </w:tcBorders>
            <w:shd w:val="clear" w:color="auto" w:fill="E5E5E5"/>
          </w:tcPr>
          <w:p>
            <w:pPr>
              <w:spacing w:after="0"/>
              <w:rPr>
                <w:sz w:val="19"/>
                <w:szCs w:val="19"/>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87"/>
              </w:rPr>
              <w:t>(1,000)</w:t>
            </w:r>
          </w:p>
        </w:tc>
        <w:tc>
          <w:tcPr>
            <w:tcW w:w="640" w:type="dxa"/>
            <w:vAlign w:val="bottom"/>
            <w:tcBorders>
              <w:bottom w:val="single" w:sz="8" w:color="auto"/>
            </w:tcBorders>
            <w:shd w:val="clear" w:color="auto" w:fill="E5E5E5"/>
          </w:tcPr>
          <w:p>
            <w:pPr>
              <w:spacing w:after="0"/>
              <w:rPr>
                <w:sz w:val="19"/>
                <w:szCs w:val="19"/>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9"/>
                <w:szCs w:val="19"/>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820" w:type="dxa"/>
            <w:vAlign w:val="bottom"/>
            <w:tcBorders>
              <w:bottom w:val="single" w:sz="8" w:color="auto"/>
            </w:tcBorders>
            <w:shd w:val="clear" w:color="auto" w:fill="E5E5E5"/>
          </w:tcPr>
          <w:p>
            <w:pPr>
              <w:jc w:val="right"/>
              <w:ind w:right="153"/>
              <w:spacing w:after="0"/>
              <w:rPr>
                <w:sz w:val="20"/>
                <w:szCs w:val="20"/>
                <w:color w:val="auto"/>
              </w:rPr>
            </w:pPr>
            <w:r>
              <w:rPr>
                <w:rFonts w:ascii="Arial" w:cs="Arial" w:eastAsia="Arial" w:hAnsi="Arial"/>
                <w:sz w:val="18"/>
                <w:szCs w:val="18"/>
                <w:color w:val="auto"/>
              </w:rPr>
              <w:t>(57)</w:t>
            </w:r>
          </w:p>
        </w:tc>
        <w:tc>
          <w:tcPr>
            <w:tcW w:w="420" w:type="dxa"/>
            <w:vAlign w:val="bottom"/>
            <w:tcBorders>
              <w:bottom w:val="single" w:sz="8" w:color="auto"/>
            </w:tcBorders>
            <w:shd w:val="clear" w:color="auto" w:fill="E5E5E5"/>
          </w:tcPr>
          <w:p>
            <w:pPr>
              <w:spacing w:after="0"/>
              <w:rPr>
                <w:sz w:val="19"/>
                <w:szCs w:val="19"/>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9"/>
                <w:szCs w:val="19"/>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(743)</w:t>
            </w:r>
          </w:p>
        </w:tc>
      </w:tr>
      <w:tr>
        <w:trPr>
          <w:trHeight w:val="211"/>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w w:val="92"/>
              </w:rPr>
              <w:t>Increase (decrease) in cash and cash equivalents</w:t>
            </w:r>
          </w:p>
        </w:tc>
        <w:tc>
          <w:tcPr>
            <w:tcW w:w="320" w:type="dxa"/>
            <w:vAlign w:val="bottom"/>
          </w:tcPr>
          <w:p>
            <w:pPr>
              <w:spacing w:after="0"/>
              <w:rPr>
                <w:sz w:val="18"/>
                <w:szCs w:val="18"/>
                <w:color w:val="auto"/>
              </w:rPr>
            </w:pPr>
          </w:p>
        </w:tc>
        <w:tc>
          <w:tcPr>
            <w:tcW w:w="68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66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20" w:type="dxa"/>
            <w:vAlign w:val="bottom"/>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820" w:type="dxa"/>
            <w:vAlign w:val="bottom"/>
          </w:tcPr>
          <w:p>
            <w:pPr>
              <w:jc w:val="right"/>
              <w:ind w:right="153"/>
              <w:spacing w:after="0"/>
              <w:rPr>
                <w:sz w:val="20"/>
                <w:szCs w:val="20"/>
                <w:color w:val="auto"/>
              </w:rPr>
            </w:pPr>
            <w:r>
              <w:rPr>
                <w:rFonts w:ascii="Arial" w:cs="Arial" w:eastAsia="Arial" w:hAnsi="Arial"/>
                <w:sz w:val="18"/>
                <w:szCs w:val="18"/>
                <w:color w:val="auto"/>
                <w:w w:val="98"/>
              </w:rPr>
              <w:t>(4,162)</w:t>
            </w:r>
          </w:p>
        </w:tc>
        <w:tc>
          <w:tcPr>
            <w:tcW w:w="420" w:type="dxa"/>
            <w:vAlign w:val="bottom"/>
          </w:tcPr>
          <w:p>
            <w:pPr>
              <w:spacing w:after="0"/>
              <w:rPr>
                <w:sz w:val="18"/>
                <w:szCs w:val="18"/>
                <w:color w:val="auto"/>
              </w:rPr>
            </w:pPr>
          </w:p>
        </w:tc>
        <w:tc>
          <w:tcPr>
            <w:tcW w:w="84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(4,162)</w:t>
            </w:r>
          </w:p>
        </w:tc>
      </w:tr>
      <w:tr>
        <w:trPr>
          <w:trHeight w:val="216"/>
        </w:trPr>
        <w:tc>
          <w:tcPr>
            <w:tcW w:w="20" w:type="dxa"/>
            <w:vAlign w:val="bottom"/>
          </w:tcPr>
          <w:p>
            <w:pPr>
              <w:spacing w:after="0"/>
              <w:rPr>
                <w:sz w:val="18"/>
                <w:szCs w:val="18"/>
                <w:color w:val="auto"/>
              </w:rPr>
            </w:pPr>
          </w:p>
        </w:tc>
        <w:tc>
          <w:tcPr>
            <w:tcW w:w="370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w w:val="97"/>
              </w:rPr>
              <w:t>Cash and cash equivalents, beginning of period</w:t>
            </w:r>
          </w:p>
        </w:tc>
        <w:tc>
          <w:tcPr>
            <w:tcW w:w="320" w:type="dxa"/>
            <w:vAlign w:val="bottom"/>
            <w:tcBorders>
              <w:bottom w:val="single" w:sz="8" w:color="auto"/>
            </w:tcBorders>
            <w:shd w:val="clear" w:color="auto" w:fill="E5E5E5"/>
          </w:tcPr>
          <w:p>
            <w:pPr>
              <w:spacing w:after="0"/>
              <w:rPr>
                <w:sz w:val="18"/>
                <w:szCs w:val="18"/>
                <w:color w:val="auto"/>
              </w:rPr>
            </w:pPr>
          </w:p>
        </w:tc>
        <w:tc>
          <w:tcPr>
            <w:tcW w:w="680" w:type="dxa"/>
            <w:vAlign w:val="bottom"/>
            <w:tcBorders>
              <w:bottom w:val="single" w:sz="8" w:color="auto"/>
            </w:tcBorders>
            <w:shd w:val="clear" w:color="auto" w:fill="E5E5E5"/>
          </w:tcPr>
          <w:p>
            <w:pPr>
              <w:jc w:val="right"/>
              <w:ind w:right="192"/>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E5E5E5"/>
          </w:tcPr>
          <w:p>
            <w:pPr>
              <w:spacing w:after="0"/>
              <w:rPr>
                <w:sz w:val="18"/>
                <w:szCs w:val="18"/>
                <w:color w:val="auto"/>
              </w:rPr>
            </w:pP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E5E5E5"/>
          </w:tcPr>
          <w:p>
            <w:pPr>
              <w:spacing w:after="0"/>
              <w:rPr>
                <w:sz w:val="18"/>
                <w:szCs w:val="18"/>
                <w:color w:val="auto"/>
              </w:rPr>
            </w:pPr>
          </w:p>
        </w:tc>
        <w:tc>
          <w:tcPr>
            <w:tcW w:w="66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E5E5E5"/>
          </w:tcPr>
          <w:p>
            <w:pPr>
              <w:spacing w:after="0"/>
              <w:rPr>
                <w:sz w:val="18"/>
                <w:szCs w:val="18"/>
                <w:color w:val="auto"/>
              </w:rPr>
            </w:pPr>
          </w:p>
        </w:tc>
        <w:tc>
          <w:tcPr>
            <w:tcW w:w="620" w:type="dxa"/>
            <w:vAlign w:val="bottom"/>
            <w:tcBorders>
              <w:bottom w:val="single" w:sz="8" w:color="auto"/>
            </w:tcBorders>
            <w:shd w:val="clear" w:color="auto" w:fill="E5E5E5"/>
          </w:tcPr>
          <w:p>
            <w:pPr>
              <w:jc w:val="right"/>
              <w:ind w:right="21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820" w:type="dxa"/>
            <w:vAlign w:val="bottom"/>
            <w:tcBorders>
              <w:bottom w:val="single" w:sz="8" w:color="auto"/>
            </w:tcBorders>
            <w:shd w:val="clear" w:color="auto" w:fill="E5E5E5"/>
          </w:tcPr>
          <w:p>
            <w:pPr>
              <w:jc w:val="right"/>
              <w:ind w:right="213"/>
              <w:spacing w:after="0"/>
              <w:rPr>
                <w:sz w:val="20"/>
                <w:szCs w:val="20"/>
                <w:color w:val="auto"/>
              </w:rPr>
            </w:pPr>
            <w:r>
              <w:rPr>
                <w:rFonts w:ascii="Arial" w:cs="Arial" w:eastAsia="Arial" w:hAnsi="Arial"/>
                <w:sz w:val="18"/>
                <w:szCs w:val="18"/>
                <w:color w:val="auto"/>
              </w:rPr>
              <w:t>5,984</w:t>
            </w:r>
          </w:p>
        </w:tc>
        <w:tc>
          <w:tcPr>
            <w:tcW w:w="420" w:type="dxa"/>
            <w:vAlign w:val="bottom"/>
            <w:tcBorders>
              <w:bottom w:val="single" w:sz="8" w:color="auto"/>
            </w:tcBorders>
            <w:shd w:val="clear" w:color="auto" w:fill="E5E5E5"/>
          </w:tcPr>
          <w:p>
            <w:pPr>
              <w:spacing w:after="0"/>
              <w:rPr>
                <w:sz w:val="18"/>
                <w:szCs w:val="18"/>
                <w:color w:val="auto"/>
              </w:rPr>
            </w:pPr>
          </w:p>
        </w:tc>
        <w:tc>
          <w:tcPr>
            <w:tcW w:w="840" w:type="dxa"/>
            <w:vAlign w:val="bottom"/>
            <w:tcBorders>
              <w:bottom w:val="single" w:sz="8" w:color="auto"/>
            </w:tcBorders>
            <w:shd w:val="clear" w:color="auto" w:fill="E5E5E5"/>
          </w:tcPr>
          <w:p>
            <w:pPr>
              <w:jc w:val="right"/>
              <w:ind w:right="173"/>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ind w:right="13"/>
              <w:spacing w:after="0"/>
              <w:rPr>
                <w:sz w:val="20"/>
                <w:szCs w:val="20"/>
                <w:color w:val="auto"/>
              </w:rPr>
            </w:pPr>
            <w:r>
              <w:rPr>
                <w:rFonts w:ascii="Arial" w:cs="Arial" w:eastAsia="Arial" w:hAnsi="Arial"/>
                <w:sz w:val="18"/>
                <w:szCs w:val="18"/>
                <w:color w:val="auto"/>
              </w:rPr>
              <w:t>5,984</w:t>
            </w:r>
          </w:p>
        </w:tc>
      </w:tr>
      <w:tr>
        <w:trPr>
          <w:trHeight w:val="217"/>
        </w:trPr>
        <w:tc>
          <w:tcPr>
            <w:tcW w:w="20" w:type="dxa"/>
            <w:vAlign w:val="bottom"/>
          </w:tcPr>
          <w:p>
            <w:pPr>
              <w:spacing w:after="0"/>
              <w:rPr>
                <w:sz w:val="18"/>
                <w:szCs w:val="18"/>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w w:val="79"/>
              </w:rPr>
              <w:t>$</w:t>
            </w:r>
          </w:p>
        </w:tc>
        <w:tc>
          <w:tcPr>
            <w:tcW w:w="6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6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4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auto"/>
            </w:tcBorders>
          </w:tcPr>
          <w:p>
            <w:pPr>
              <w:jc w:val="right"/>
              <w:ind w:right="213"/>
              <w:spacing w:after="0"/>
              <w:rPr>
                <w:sz w:val="20"/>
                <w:szCs w:val="20"/>
                <w:color w:val="auto"/>
              </w:rPr>
            </w:pPr>
            <w:r>
              <w:rPr>
                <w:rFonts w:ascii="Arial" w:cs="Arial" w:eastAsia="Arial" w:hAnsi="Arial"/>
                <w:sz w:val="18"/>
                <w:szCs w:val="18"/>
                <w:b w:val="1"/>
                <w:bCs w:val="1"/>
                <w:color w:val="auto"/>
              </w:rPr>
              <w:t>1,822</w:t>
            </w:r>
          </w:p>
        </w:tc>
        <w:tc>
          <w:tcPr>
            <w:tcW w:w="42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b w:val="1"/>
                <w:bCs w:val="1"/>
                <w:color w:val="auto"/>
              </w:rPr>
              <w:t>—</w:t>
            </w:r>
          </w:p>
        </w:tc>
        <w:tc>
          <w:tcPr>
            <w:tcW w:w="3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w w:val="79"/>
              </w:rPr>
              <w:t>$</w:t>
            </w: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1,822</w:t>
            </w:r>
          </w:p>
        </w:tc>
      </w:tr>
      <w:tr>
        <w:trPr>
          <w:trHeight w:val="36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40" w:type="dxa"/>
            <w:vAlign w:val="bottom"/>
          </w:tcPr>
          <w:p>
            <w:pPr>
              <w:jc w:val="right"/>
              <w:ind w:right="322"/>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right="940"/>
        <w:spacing w:after="0" w:line="261"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are a leading provider of entertainment, information and communication products and services. On January 28, 2011, we closed the NBCUniversal transaction in which we acquired control of the businesses of NBC Universal, Inc. (“NBCUniversal”), and on July 1, 2011, we closed the Universal Orlando transaction in which we acquired the remaining 50% equity interest in Universal City Development Partners, Ltd. (“Universal Orlando”) that we did not already own. We report our operations as the following five reportable business segments.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w:t>
      </w:r>
    </w:p>
    <w:p>
      <w:pPr>
        <w:spacing w:after="0" w:line="74"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We are one of the nation’s leading providers of video, high-speed Internet and voice services to residential and business customers. As of March 31, 2012, our cable systems served 22.3 million video customers, 18.6 million high-speed Internet customers and 9.5 million voice customers and passed more than 52 million homes and businesses in 39 states and the District of Columbia. Our Cable Communications segment generates revenue primarily from subscriptions to our cable services, which we market individually and in packages, and from the sale of advertising. During the three months ended March 31, 2012, our Cable Communications segment generated 64% of our consolidated revenue and over 80% of our operating income (loss) before depreciation and amortization.</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NBCUniversal</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NBCUniversal is a leading media and entertainment company that develops, produces and distributes entertainment, news and information, sports and other content for global audiences.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segment consists primarily of our national cable networks, which provide entertainment, news and information, and sports programming, our regional sports and news networks, our international cable networks, our cable television production studio, and our related digital media properties. Our Cable Networks segment generates revenue primarily from the distribution of our cable network programming to multichannel video providers, the sale of advertising and the licensing and sale of our owned programming.</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Broadcast Television segment consists primarily of the NBC and Telemundo broadcast networks, our NBC and Telemundo owned local television stations, our broadcast television production operations, and our related digital media properties. Our Broadcast Television segment generates revenue primarily from the sale of advertising and the licensing and sale of our owned programming.</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Filmed Entertainment segment consists of the operations of Universal Pictures, including Focus Features, which produces, acquires, markets and distributes filmed entertainment worldwide in various media formats for theatrical, home entertainment, television and other distribution platforms. We also develop, produce and license stage plays. Our Filmed Entertainment segment generates revenue primarily from the worldwide theatrical release of our owned and acquired films, content licensing and home entertainment.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Theme Parks segment consists primarily of our Universal theme parks in Orlando and Hollywood. We also receive fees related to intellectual property licenses and other services from third parties that own and operate Universal Studios Japan and Universal Studios Singapore. Our Theme Parks segment generates revenue primarily from theme park attendance and per capita spending, as well as from licensing and other fees. Per capita spending includes ticket price and in-park spending on food, beverage and merchandise.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other business interests primarily include Comcast Spectacor, which owns the Philadelphia Flyers and the Wells Fargo Center, a large, multipurpose arena in Philadelphia. Comcast Spectacor also owns Global Spectrum, which provides facilities management services, and Ovations Food Services, which provides food services for sporting events, concerts and other events.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Operating Results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80" w:type="dxa"/>
            <w:vAlign w:val="bottom"/>
            <w:gridSpan w:val="3"/>
          </w:tcPr>
          <w:p>
            <w:pPr>
              <w:jc w:val="right"/>
              <w:ind w:right="474"/>
              <w:spacing w:after="0"/>
              <w:rPr>
                <w:sz w:val="20"/>
                <w:szCs w:val="20"/>
                <w:color w:val="auto"/>
              </w:rPr>
            </w:pPr>
            <w:r>
              <w:rPr>
                <w:rFonts w:ascii="Arial" w:cs="Arial" w:eastAsia="Arial" w:hAnsi="Arial"/>
                <w:sz w:val="14"/>
                <w:szCs w:val="14"/>
                <w:color w:val="auto"/>
                <w:w w:val="99"/>
              </w:rPr>
              <w:t>Three Months Ended</w:t>
            </w:r>
          </w:p>
        </w:tc>
        <w:tc>
          <w:tcPr>
            <w:tcW w:w="1060" w:type="dxa"/>
            <w:vAlign w:val="bottom"/>
          </w:tcPr>
          <w:p>
            <w:pPr>
              <w:jc w:val="right"/>
              <w:ind w:right="195"/>
              <w:spacing w:after="0"/>
              <w:rPr>
                <w:sz w:val="20"/>
                <w:szCs w:val="20"/>
                <w:color w:val="auto"/>
              </w:rPr>
            </w:pPr>
            <w:r>
              <w:rPr>
                <w:rFonts w:ascii="Arial" w:cs="Arial" w:eastAsia="Arial" w:hAnsi="Arial"/>
                <w:sz w:val="14"/>
                <w:szCs w:val="14"/>
                <w:color w:val="auto"/>
              </w:rPr>
              <w:t>Increase/</w:t>
            </w:r>
          </w:p>
        </w:tc>
      </w:tr>
      <w:tr>
        <w:trPr>
          <w:trHeight w:val="173"/>
        </w:trPr>
        <w:tc>
          <w:tcPr>
            <w:tcW w:w="20" w:type="dxa"/>
            <w:vAlign w:val="bottom"/>
          </w:tcPr>
          <w:p>
            <w:pPr>
              <w:spacing w:after="0"/>
              <w:rPr>
                <w:sz w:val="15"/>
                <w:szCs w:val="15"/>
                <w:color w:val="auto"/>
              </w:rPr>
            </w:pPr>
          </w:p>
        </w:tc>
        <w:tc>
          <w:tcPr>
            <w:tcW w:w="794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March 31</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color w:val="auto"/>
              </w:rPr>
              <w:t>(Decrease)</w:t>
            </w:r>
          </w:p>
        </w:tc>
      </w:tr>
      <w:tr>
        <w:trPr>
          <w:trHeight w:val="237"/>
        </w:trPr>
        <w:tc>
          <w:tcPr>
            <w:tcW w:w="7960" w:type="dxa"/>
            <w:vAlign w:val="bottom"/>
            <w:gridSpan w:val="2"/>
          </w:tcPr>
          <w:p>
            <w:pPr>
              <w:spacing w:after="0"/>
              <w:rPr>
                <w:sz w:val="20"/>
                <w:szCs w:val="20"/>
                <w:color w:val="auto"/>
              </w:rPr>
            </w:pPr>
            <w:r>
              <w:rPr>
                <w:rFonts w:ascii="Arial" w:cs="Arial" w:eastAsia="Arial" w:hAnsi="Arial"/>
                <w:sz w:val="14"/>
                <w:szCs w:val="14"/>
                <w:color w:val="auto"/>
              </w:rPr>
              <w:t>(in millions)</w:t>
            </w:r>
          </w:p>
        </w:tc>
        <w:tc>
          <w:tcPr>
            <w:tcW w:w="520" w:type="dxa"/>
            <w:vAlign w:val="bottom"/>
          </w:tcPr>
          <w:p>
            <w:pPr>
              <w:spacing w:after="0"/>
              <w:rPr>
                <w:sz w:val="20"/>
                <w:szCs w:val="20"/>
                <w:color w:val="auto"/>
              </w:rPr>
            </w:pPr>
          </w:p>
        </w:tc>
        <w:tc>
          <w:tcPr>
            <w:tcW w:w="1000" w:type="dxa"/>
            <w:vAlign w:val="bottom"/>
          </w:tcPr>
          <w:p>
            <w:pPr>
              <w:jc w:val="right"/>
              <w:ind w:right="597"/>
              <w:spacing w:after="0"/>
              <w:rPr>
                <w:sz w:val="20"/>
                <w:szCs w:val="20"/>
                <w:color w:val="auto"/>
              </w:rPr>
            </w:pPr>
            <w:r>
              <w:rPr>
                <w:rFonts w:ascii="Arial" w:cs="Arial" w:eastAsia="Arial" w:hAnsi="Arial"/>
                <w:sz w:val="14"/>
                <w:szCs w:val="14"/>
                <w:color w:val="auto"/>
                <w:w w:val="96"/>
              </w:rPr>
              <w:t>2012</w:t>
            </w:r>
          </w:p>
        </w:tc>
        <w:tc>
          <w:tcPr>
            <w:tcW w:w="100" w:type="dxa"/>
            <w:vAlign w:val="bottom"/>
          </w:tcPr>
          <w:p>
            <w:pPr>
              <w:spacing w:after="0"/>
              <w:rPr>
                <w:sz w:val="20"/>
                <w:szCs w:val="20"/>
                <w:color w:val="auto"/>
              </w:rPr>
            </w:pPr>
          </w:p>
        </w:tc>
        <w:tc>
          <w:tcPr>
            <w:tcW w:w="780" w:type="dxa"/>
            <w:vAlign w:val="bottom"/>
          </w:tcPr>
          <w:p>
            <w:pPr>
              <w:jc w:val="right"/>
              <w:ind w:right="354"/>
              <w:spacing w:after="0"/>
              <w:rPr>
                <w:sz w:val="20"/>
                <w:szCs w:val="20"/>
                <w:color w:val="auto"/>
              </w:rPr>
            </w:pPr>
            <w:r>
              <w:rPr>
                <w:rFonts w:ascii="Arial" w:cs="Arial" w:eastAsia="Arial" w:hAnsi="Arial"/>
                <w:sz w:val="14"/>
                <w:szCs w:val="14"/>
                <w:color w:val="auto"/>
              </w:rPr>
              <w:t>2011</w:t>
            </w:r>
          </w:p>
        </w:tc>
        <w:tc>
          <w:tcPr>
            <w:tcW w:w="106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79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w w:val="83"/>
              </w:rPr>
              <w:t>14,878</w:t>
            </w:r>
          </w:p>
        </w:tc>
        <w:tc>
          <w:tcPr>
            <w:tcW w:w="1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w w:val="83"/>
              </w:rPr>
              <w:t>12,128</w:t>
            </w:r>
          </w:p>
        </w:tc>
        <w:tc>
          <w:tcPr>
            <w:tcW w:w="10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22.7%</w:t>
            </w: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Costs and Expenses:</w:t>
            </w:r>
          </w:p>
        </w:tc>
        <w:tc>
          <w:tcPr>
            <w:tcW w:w="5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E5E5E5"/>
          </w:tcPr>
          <w:p>
            <w:pPr>
              <w:ind w:left="420"/>
              <w:spacing w:after="0"/>
              <w:rPr>
                <w:sz w:val="20"/>
                <w:szCs w:val="20"/>
                <w:color w:val="auto"/>
              </w:rPr>
            </w:pPr>
            <w:r>
              <w:rPr>
                <w:rFonts w:ascii="Arial" w:cs="Arial" w:eastAsia="Arial" w:hAnsi="Arial"/>
                <w:sz w:val="18"/>
                <w:szCs w:val="18"/>
                <w:color w:val="auto"/>
              </w:rPr>
              <w:t>Operating costs and expenses</w:t>
            </w:r>
          </w:p>
        </w:tc>
        <w:tc>
          <w:tcPr>
            <w:tcW w:w="520" w:type="dxa"/>
            <w:vAlign w:val="bottom"/>
            <w:shd w:val="clear" w:color="auto" w:fill="E5E5E5"/>
          </w:tcPr>
          <w:p>
            <w:pPr>
              <w:spacing w:after="0"/>
              <w:rPr>
                <w:sz w:val="18"/>
                <w:szCs w:val="18"/>
                <w:color w:val="auto"/>
              </w:rPr>
            </w:pPr>
          </w:p>
        </w:tc>
        <w:tc>
          <w:tcPr>
            <w:tcW w:w="10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w w:val="83"/>
              </w:rPr>
              <w:t>10,190</w:t>
            </w:r>
          </w:p>
        </w:tc>
        <w:tc>
          <w:tcPr>
            <w:tcW w:w="10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14"/>
              <w:spacing w:after="0"/>
              <w:rPr>
                <w:sz w:val="20"/>
                <w:szCs w:val="20"/>
                <w:color w:val="auto"/>
              </w:rPr>
            </w:pPr>
            <w:r>
              <w:rPr>
                <w:rFonts w:ascii="Arial" w:cs="Arial" w:eastAsia="Arial" w:hAnsi="Arial"/>
                <w:sz w:val="18"/>
                <w:szCs w:val="18"/>
                <w:color w:val="auto"/>
              </w:rPr>
              <w:t>8,062</w:t>
            </w:r>
          </w:p>
        </w:tc>
        <w:tc>
          <w:tcPr>
            <w:tcW w:w="106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26.4</w:t>
            </w:r>
          </w:p>
        </w:tc>
      </w:tr>
      <w:tr>
        <w:trPr>
          <w:trHeight w:val="216"/>
        </w:trPr>
        <w:tc>
          <w:tcPr>
            <w:tcW w:w="20" w:type="dxa"/>
            <w:vAlign w:val="bottom"/>
          </w:tcPr>
          <w:p>
            <w:pPr>
              <w:spacing w:after="0"/>
              <w:rPr>
                <w:sz w:val="18"/>
                <w:szCs w:val="18"/>
                <w:color w:val="auto"/>
              </w:rPr>
            </w:pPr>
          </w:p>
        </w:tc>
        <w:tc>
          <w:tcPr>
            <w:tcW w:w="7940" w:type="dxa"/>
            <w:vAlign w:val="bottom"/>
          </w:tcPr>
          <w:p>
            <w:pPr>
              <w:ind w:left="420"/>
              <w:spacing w:after="0"/>
              <w:rPr>
                <w:sz w:val="20"/>
                <w:szCs w:val="20"/>
                <w:color w:val="auto"/>
              </w:rPr>
            </w:pPr>
            <w:r>
              <w:rPr>
                <w:rFonts w:ascii="Arial" w:cs="Arial" w:eastAsia="Arial" w:hAnsi="Arial"/>
                <w:sz w:val="18"/>
                <w:szCs w:val="18"/>
                <w:color w:val="auto"/>
              </w:rPr>
              <w:t>Depreciation</w:t>
            </w:r>
          </w:p>
        </w:tc>
        <w:tc>
          <w:tcPr>
            <w:tcW w:w="520" w:type="dxa"/>
            <w:vAlign w:val="bottom"/>
          </w:tcPr>
          <w:p>
            <w:pPr>
              <w:spacing w:after="0"/>
              <w:rPr>
                <w:sz w:val="18"/>
                <w:szCs w:val="18"/>
                <w:color w:val="auto"/>
              </w:rPr>
            </w:pPr>
          </w:p>
        </w:tc>
        <w:tc>
          <w:tcPr>
            <w:tcW w:w="1000" w:type="dxa"/>
            <w:vAlign w:val="bottom"/>
          </w:tcPr>
          <w:p>
            <w:pPr>
              <w:jc w:val="right"/>
              <w:ind w:right="437"/>
              <w:spacing w:after="0"/>
              <w:rPr>
                <w:sz w:val="20"/>
                <w:szCs w:val="20"/>
                <w:color w:val="auto"/>
              </w:rPr>
            </w:pPr>
            <w:r>
              <w:rPr>
                <w:rFonts w:ascii="Arial" w:cs="Arial" w:eastAsia="Arial" w:hAnsi="Arial"/>
                <w:sz w:val="18"/>
                <w:szCs w:val="18"/>
                <w:color w:val="auto"/>
              </w:rPr>
              <w:t>1,529</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1,486</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2.9</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Amortization</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401</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14"/>
              <w:spacing w:after="0"/>
              <w:rPr>
                <w:sz w:val="20"/>
                <w:szCs w:val="20"/>
                <w:color w:val="auto"/>
              </w:rPr>
            </w:pPr>
            <w:r>
              <w:rPr>
                <w:rFonts w:ascii="Arial" w:cs="Arial" w:eastAsia="Arial" w:hAnsi="Arial"/>
                <w:sz w:val="18"/>
                <w:szCs w:val="18"/>
                <w:color w:val="auto"/>
              </w:rPr>
              <w:t>356</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12.3</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520" w:type="dxa"/>
            <w:vAlign w:val="bottom"/>
          </w:tcPr>
          <w:p>
            <w:pPr>
              <w:spacing w:after="0"/>
              <w:rPr>
                <w:sz w:val="18"/>
                <w:szCs w:val="18"/>
                <w:color w:val="auto"/>
              </w:rPr>
            </w:pPr>
          </w:p>
        </w:tc>
        <w:tc>
          <w:tcPr>
            <w:tcW w:w="1000" w:type="dxa"/>
            <w:vAlign w:val="bottom"/>
          </w:tcPr>
          <w:p>
            <w:pPr>
              <w:jc w:val="right"/>
              <w:ind w:right="437"/>
              <w:spacing w:after="0"/>
              <w:rPr>
                <w:sz w:val="20"/>
                <w:szCs w:val="20"/>
                <w:color w:val="auto"/>
              </w:rPr>
            </w:pPr>
            <w:r>
              <w:rPr>
                <w:rFonts w:ascii="Arial" w:cs="Arial" w:eastAsia="Arial" w:hAnsi="Arial"/>
                <w:sz w:val="18"/>
                <w:szCs w:val="18"/>
                <w:color w:val="auto"/>
              </w:rPr>
              <w:t>2,758</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2,224</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24.0</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Other income (expense) items, net</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(589)</w:t>
            </w:r>
          </w:p>
        </w:tc>
        <w:tc>
          <w:tcPr>
            <w:tcW w:w="1060" w:type="dxa"/>
            <w:vAlign w:val="bottom"/>
            <w:tcBorders>
              <w:bottom w:val="single" w:sz="8" w:color="auto"/>
            </w:tcBorders>
            <w:shd w:val="clear" w:color="auto" w:fill="E5E5E5"/>
          </w:tcPr>
          <w:p>
            <w:pPr>
              <w:jc w:val="right"/>
              <w:ind w:right="95"/>
              <w:spacing w:after="0"/>
              <w:rPr>
                <w:sz w:val="20"/>
                <w:szCs w:val="20"/>
                <w:color w:val="auto"/>
              </w:rPr>
            </w:pPr>
            <w:r>
              <w:rPr>
                <w:rFonts w:ascii="Arial" w:cs="Arial" w:eastAsia="Arial" w:hAnsi="Arial"/>
                <w:sz w:val="18"/>
                <w:szCs w:val="18"/>
                <w:color w:val="auto"/>
              </w:rPr>
              <w:t>(4.8)</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520" w:type="dxa"/>
            <w:vAlign w:val="bottom"/>
          </w:tcPr>
          <w:p>
            <w:pPr>
              <w:spacing w:after="0"/>
              <w:rPr>
                <w:sz w:val="18"/>
                <w:szCs w:val="18"/>
                <w:color w:val="auto"/>
              </w:rPr>
            </w:pPr>
          </w:p>
        </w:tc>
        <w:tc>
          <w:tcPr>
            <w:tcW w:w="1000" w:type="dxa"/>
            <w:vAlign w:val="bottom"/>
          </w:tcPr>
          <w:p>
            <w:pPr>
              <w:jc w:val="right"/>
              <w:ind w:right="437"/>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1,635</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34.4</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Income tax expense</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(750)</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(596)</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26.0</w:t>
            </w: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income</w:t>
            </w:r>
          </w:p>
        </w:tc>
        <w:tc>
          <w:tcPr>
            <w:tcW w:w="520" w:type="dxa"/>
            <w:vAlign w:val="bottom"/>
          </w:tcPr>
          <w:p>
            <w:pPr>
              <w:spacing w:after="0"/>
              <w:rPr>
                <w:sz w:val="18"/>
                <w:szCs w:val="18"/>
                <w:color w:val="auto"/>
              </w:rPr>
            </w:pPr>
          </w:p>
        </w:tc>
        <w:tc>
          <w:tcPr>
            <w:tcW w:w="1000" w:type="dxa"/>
            <w:vAlign w:val="bottom"/>
          </w:tcPr>
          <w:p>
            <w:pPr>
              <w:jc w:val="right"/>
              <w:ind w:right="437"/>
              <w:spacing w:after="0"/>
              <w:rPr>
                <w:sz w:val="20"/>
                <w:szCs w:val="20"/>
                <w:color w:val="auto"/>
              </w:rPr>
            </w:pPr>
            <w:r>
              <w:rPr>
                <w:rFonts w:ascii="Arial" w:cs="Arial" w:eastAsia="Arial" w:hAnsi="Arial"/>
                <w:sz w:val="18"/>
                <w:szCs w:val="18"/>
                <w:color w:val="auto"/>
              </w:rPr>
              <w:t>1,447</w:t>
            </w:r>
          </w:p>
        </w:tc>
        <w:tc>
          <w:tcPr>
            <w:tcW w:w="100" w:type="dxa"/>
            <w:vAlign w:val="bottom"/>
          </w:tcPr>
          <w:p>
            <w:pPr>
              <w:spacing w:after="0"/>
              <w:rPr>
                <w:sz w:val="18"/>
                <w:szCs w:val="18"/>
                <w:color w:val="auto"/>
              </w:rPr>
            </w:pPr>
          </w:p>
        </w:tc>
        <w:tc>
          <w:tcPr>
            <w:tcW w:w="780" w:type="dxa"/>
            <w:vAlign w:val="bottom"/>
          </w:tcPr>
          <w:p>
            <w:pPr>
              <w:jc w:val="right"/>
              <w:ind w:right="214"/>
              <w:spacing w:after="0"/>
              <w:rPr>
                <w:sz w:val="20"/>
                <w:szCs w:val="20"/>
                <w:color w:val="auto"/>
              </w:rPr>
            </w:pPr>
            <w:r>
              <w:rPr>
                <w:rFonts w:ascii="Arial" w:cs="Arial" w:eastAsia="Arial" w:hAnsi="Arial"/>
                <w:sz w:val="18"/>
                <w:szCs w:val="18"/>
                <w:color w:val="auto"/>
              </w:rPr>
              <w:t>1,039</w:t>
            </w:r>
          </w:p>
        </w:tc>
        <w:tc>
          <w:tcPr>
            <w:tcW w:w="1060" w:type="dxa"/>
            <w:vAlign w:val="bottom"/>
          </w:tcPr>
          <w:p>
            <w:pPr>
              <w:jc w:val="right"/>
              <w:ind w:right="135"/>
              <w:spacing w:after="0"/>
              <w:rPr>
                <w:sz w:val="20"/>
                <w:szCs w:val="20"/>
                <w:color w:val="auto"/>
              </w:rPr>
            </w:pPr>
            <w:r>
              <w:rPr>
                <w:rFonts w:ascii="Arial" w:cs="Arial" w:eastAsia="Arial" w:hAnsi="Arial"/>
                <w:sz w:val="18"/>
                <w:szCs w:val="18"/>
                <w:color w:val="auto"/>
              </w:rPr>
              <w:t>39.3</w:t>
            </w:r>
          </w:p>
        </w:tc>
      </w:tr>
      <w:tr>
        <w:trPr>
          <w:trHeight w:val="216"/>
        </w:trPr>
        <w:tc>
          <w:tcPr>
            <w:tcW w:w="20" w:type="dxa"/>
            <w:vAlign w:val="bottom"/>
          </w:tcPr>
          <w:p>
            <w:pPr>
              <w:spacing w:after="0"/>
              <w:rPr>
                <w:sz w:val="18"/>
                <w:szCs w:val="18"/>
                <w:color w:val="auto"/>
              </w:rPr>
            </w:pPr>
          </w:p>
        </w:tc>
        <w:tc>
          <w:tcPr>
            <w:tcW w:w="7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Net (income) loss attributable to noncontrolling interests</w:t>
            </w:r>
          </w:p>
        </w:tc>
        <w:tc>
          <w:tcPr>
            <w:tcW w:w="520" w:type="dxa"/>
            <w:vAlign w:val="bottom"/>
            <w:tcBorders>
              <w:bottom w:val="single" w:sz="8" w:color="auto"/>
            </w:tcBorders>
            <w:shd w:val="clear" w:color="auto" w:fill="E5E5E5"/>
          </w:tcPr>
          <w:p>
            <w:pPr>
              <w:spacing w:after="0"/>
              <w:rPr>
                <w:sz w:val="18"/>
                <w:szCs w:val="18"/>
                <w:color w:val="auto"/>
              </w:rPr>
            </w:pPr>
          </w:p>
        </w:tc>
        <w:tc>
          <w:tcPr>
            <w:tcW w:w="1000" w:type="dxa"/>
            <w:vAlign w:val="bottom"/>
            <w:tcBorders>
              <w:bottom w:val="single" w:sz="8" w:color="auto"/>
            </w:tcBorders>
            <w:shd w:val="clear" w:color="auto" w:fill="E5E5E5"/>
          </w:tcPr>
          <w:p>
            <w:pPr>
              <w:jc w:val="right"/>
              <w:ind w:right="377"/>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154"/>
              <w:spacing w:after="0"/>
              <w:rPr>
                <w:sz w:val="20"/>
                <w:szCs w:val="20"/>
                <w:color w:val="auto"/>
              </w:rPr>
            </w:pPr>
            <w:r>
              <w:rPr>
                <w:rFonts w:ascii="Arial" w:cs="Arial" w:eastAsia="Arial" w:hAnsi="Arial"/>
                <w:sz w:val="18"/>
                <w:szCs w:val="18"/>
                <w:color w:val="auto"/>
              </w:rPr>
              <w:t>(96)</w:t>
            </w:r>
          </w:p>
        </w:tc>
        <w:tc>
          <w:tcPr>
            <w:tcW w:w="106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color w:val="auto"/>
              </w:rPr>
              <w:t>134.4</w:t>
            </w:r>
          </w:p>
        </w:tc>
      </w:tr>
      <w:tr>
        <w:trPr>
          <w:trHeight w:val="217"/>
        </w:trPr>
        <w:tc>
          <w:tcPr>
            <w:tcW w:w="2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income attributable to Comcast Corporation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1,224</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ind w:right="214"/>
              <w:spacing w:after="0"/>
              <w:rPr>
                <w:sz w:val="20"/>
                <w:szCs w:val="20"/>
                <w:color w:val="auto"/>
              </w:rPr>
            </w:pPr>
            <w:r>
              <w:rPr>
                <w:rFonts w:ascii="Arial" w:cs="Arial" w:eastAsia="Arial" w:hAnsi="Arial"/>
                <w:sz w:val="18"/>
                <w:szCs w:val="18"/>
                <w:b w:val="1"/>
                <w:bCs w:val="1"/>
                <w:color w:val="auto"/>
              </w:rPr>
              <w:t>943</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comparability of our consolidated results of operations was impacted by the NBCUniversal transaction, which closed on January 28, 2011, and the Universal Orlando transaction, which closed on July 1, 2011. NBCUniversal’s and Universal Orlando’s results of operations are included in our consolidated financial statements following their respective acquisition dates.</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We also incurred significant transaction costs directly related to the NBCUniversal transaction during the three months ended March 31, 2011. Incremental expenses were primarily related to legal, accounting and valuation services and investment banking fees. In addition, NBCUniversal incurred transaction-related costs associated with severance and other related compensation charges. Total transaction-related expenses incurred during the three months ended March 31, 2011 were $123 million.</w:t>
      </w:r>
    </w:p>
    <w:p>
      <w:pPr>
        <w:spacing w:after="0" w:line="4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For a more complete discussion of the NBCUniversal and Universal Orlando transactions, refer to our consolidated financial statements included in our 2011 Annual Report on Form 10-K.</w:t>
      </w:r>
    </w:p>
    <w:p>
      <w:pPr>
        <w:spacing w:after="0" w:line="3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Each of our businesses is subject to seasonal and cyclical variations. Revenue and operating costs and expenses in our Broadcast Television segment are cyclical as a result of our periodic broadcasts of the Olympic Games and Super Bowl games. During the three months ended March 31, 2012, we broadcast the 2012 Super Bowl. Our advertising revenue increased as a result of increased demand for advertising time and our operating costs and expenses also increased as a result of our production costs and amortization of the related rights fees.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Cable Communications segment and the NBCUniversal segments accounted for substantially all of the increase in consolidated revenue for the three months ended March 31, 2012. The remaining changes in consolidated revenue related to our other business activities, primarily Comcast Spectacor. Revenue for our Cable Communications and NBCUniversal segments is discussed separately under the heading “Segment Operating Results.”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Operating Costs and Expenses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Communications segment and the NBCUniversal segments accounted for substantially all of the increase in consolidated operating costs and expenses for the three months ended March 31, 2012. The remaining changes in consolidated operating costs and expenses related to our other business activities, primarily Comcast Spectacor. Operating costs and expenses for our Cable Communications and NBCUniversal segments are discussed separately under the heading “Segment Operating Results.”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Depreciation and Amortization</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Consolidated depreciation and amortization increased for the three months ended March 31, 2012 primarily due to the NBCUniversal and Universal Orlando transactions.</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Segment Operating Results</w:t>
      </w:r>
    </w:p>
    <w:p>
      <w:pPr>
        <w:spacing w:after="0" w:line="82" w:lineRule="exact"/>
        <w:rPr>
          <w:sz w:val="20"/>
          <w:szCs w:val="20"/>
          <w:color w:val="auto"/>
        </w:rPr>
      </w:pPr>
    </w:p>
    <w:p>
      <w:pPr>
        <w:jc w:val="both"/>
        <w:spacing w:after="0" w:line="306" w:lineRule="auto"/>
        <w:rPr>
          <w:sz w:val="20"/>
          <w:szCs w:val="20"/>
          <w:color w:val="auto"/>
        </w:rPr>
      </w:pPr>
      <w:r>
        <w:rPr>
          <w:rFonts w:ascii="Arial" w:cs="Arial" w:eastAsia="Arial" w:hAnsi="Arial"/>
          <w:sz w:val="15"/>
          <w:szCs w:val="15"/>
          <w:color w:val="auto"/>
        </w:rPr>
        <w:t>Our segment operating results are presented based on how we assess operating performance and internally report financial information. We use operating income (loss) before depreciation and amortization, excluding impairment charges related to fixed and intangible assets and gains or losses from the sale of assets, if any, as the measure of profit or loss for our operating segments. This measure eliminates the significant level of noncash depreciation and amortization expense that results from the capital-intensive nature of certain of our businesses and from intangible assets recognized in business combinations. Additionally, it is unaffected by our capital structure or investment activities. We use this measure to evaluate our consolidated operating performance and the operating performance of our operating segments and to allocate resources and capital to our operating segments. It is also a significant performance measure in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operating income (loss) before depreciation and amortization to measure our segment profit or loss, we reconcile it to operating income, the most directly comparable financial measure calculated and presented in accordance with generally accepted accounting principles in the United States (“GAAP”), in Note 15 to our condensed consolidated financial statements. This measure should not be considered a substitute for operating income (loss), net income attributable to Comcast Corporation, net cash provided by operating activities, or other measures of performance or liquidity we have reported in accordance with GAAP.</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Cable Communications Segment—Results of Operations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2240" w:type="dxa"/>
            <w:vAlign w:val="bottom"/>
            <w:gridSpan w:val="2"/>
          </w:tcPr>
          <w:p>
            <w:pPr>
              <w:jc w:val="right"/>
              <w:ind w:right="394"/>
              <w:spacing w:after="0"/>
              <w:rPr>
                <w:sz w:val="20"/>
                <w:szCs w:val="20"/>
                <w:color w:val="auto"/>
              </w:rPr>
            </w:pPr>
            <w:r>
              <w:rPr>
                <w:rFonts w:ascii="Arial" w:cs="Arial" w:eastAsia="Arial" w:hAnsi="Arial"/>
                <w:sz w:val="14"/>
                <w:szCs w:val="14"/>
                <w:color w:val="auto"/>
              </w:rPr>
              <w:t>Three Months Ended</w:t>
            </w:r>
          </w:p>
        </w:tc>
        <w:tc>
          <w:tcPr>
            <w:tcW w:w="1180" w:type="dxa"/>
            <w:vAlign w:val="bottom"/>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490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540" w:type="dxa"/>
            <w:vAlign w:val="bottom"/>
          </w:tcPr>
          <w:p>
            <w:pPr>
              <w:spacing w:after="0"/>
              <w:rPr>
                <w:sz w:val="13"/>
                <w:szCs w:val="13"/>
                <w:color w:val="auto"/>
              </w:rPr>
            </w:pPr>
          </w:p>
        </w:tc>
        <w:tc>
          <w:tcPr>
            <w:tcW w:w="2240" w:type="dxa"/>
            <w:vAlign w:val="bottom"/>
            <w:tcBorders>
              <w:bottom w:val="single" w:sz="8" w:color="auto"/>
            </w:tcBorders>
            <w:gridSpan w:val="2"/>
          </w:tcPr>
          <w:p>
            <w:pPr>
              <w:jc w:val="right"/>
              <w:ind w:right="694"/>
              <w:spacing w:after="0" w:line="159" w:lineRule="exact"/>
              <w:rPr>
                <w:sz w:val="20"/>
                <w:szCs w:val="20"/>
                <w:color w:val="auto"/>
              </w:rPr>
            </w:pPr>
            <w:r>
              <w:rPr>
                <w:rFonts w:ascii="Arial" w:cs="Arial" w:eastAsia="Arial" w:hAnsi="Arial"/>
                <w:sz w:val="14"/>
                <w:szCs w:val="14"/>
                <w:color w:val="auto"/>
              </w:rPr>
              <w:t>March 31</w:t>
            </w:r>
          </w:p>
        </w:tc>
        <w:tc>
          <w:tcPr>
            <w:tcW w:w="11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(Decrease)</w:t>
            </w:r>
          </w:p>
        </w:tc>
        <w:tc>
          <w:tcPr>
            <w:tcW w:w="5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4900" w:type="dxa"/>
            <w:vAlign w:val="bottom"/>
            <w:gridSpan w:val="2"/>
            <w:vMerge w:val="continue"/>
          </w:tcPr>
          <w:p>
            <w:pPr>
              <w:spacing w:after="0"/>
              <w:rPr>
                <w:sz w:val="12"/>
                <w:szCs w:val="12"/>
                <w:color w:val="auto"/>
              </w:rPr>
            </w:pPr>
          </w:p>
        </w:tc>
        <w:tc>
          <w:tcPr>
            <w:tcW w:w="2540" w:type="dxa"/>
            <w:vAlign w:val="bottom"/>
          </w:tcPr>
          <w:p>
            <w:pPr>
              <w:spacing w:after="0"/>
              <w:rPr>
                <w:sz w:val="12"/>
                <w:szCs w:val="12"/>
                <w:color w:val="auto"/>
              </w:rPr>
            </w:pPr>
          </w:p>
        </w:tc>
        <w:tc>
          <w:tcPr>
            <w:tcW w:w="1200" w:type="dxa"/>
            <w:vAlign w:val="bottom"/>
          </w:tcPr>
          <w:p>
            <w:pPr>
              <w:jc w:val="right"/>
              <w:ind w:right="332"/>
              <w:spacing w:after="0" w:line="142" w:lineRule="exact"/>
              <w:rPr>
                <w:sz w:val="20"/>
                <w:szCs w:val="20"/>
                <w:color w:val="auto"/>
              </w:rPr>
            </w:pPr>
            <w:r>
              <w:rPr>
                <w:rFonts w:ascii="Arial" w:cs="Arial" w:eastAsia="Arial" w:hAnsi="Arial"/>
                <w:sz w:val="14"/>
                <w:szCs w:val="14"/>
                <w:color w:val="auto"/>
              </w:rPr>
              <w:t>2012</w:t>
            </w:r>
          </w:p>
        </w:tc>
        <w:tc>
          <w:tcPr>
            <w:tcW w:w="1040" w:type="dxa"/>
            <w:vAlign w:val="bottom"/>
          </w:tcPr>
          <w:p>
            <w:pPr>
              <w:jc w:val="right"/>
              <w:ind w:right="314"/>
              <w:spacing w:after="0" w:line="142" w:lineRule="exact"/>
              <w:rPr>
                <w:sz w:val="20"/>
                <w:szCs w:val="20"/>
                <w:color w:val="auto"/>
              </w:rPr>
            </w:pPr>
            <w:r>
              <w:rPr>
                <w:rFonts w:ascii="Arial" w:cs="Arial" w:eastAsia="Arial" w:hAnsi="Arial"/>
                <w:sz w:val="14"/>
                <w:szCs w:val="14"/>
                <w:color w:val="auto"/>
              </w:rPr>
              <w:t>2011</w:t>
            </w:r>
          </w:p>
        </w:tc>
        <w:tc>
          <w:tcPr>
            <w:tcW w:w="1180" w:type="dxa"/>
            <w:vAlign w:val="bottom"/>
          </w:tcPr>
          <w:p>
            <w:pPr>
              <w:jc w:val="right"/>
              <w:ind w:right="636"/>
              <w:spacing w:after="0" w:line="142"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27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2540" w:type="dxa"/>
            <w:vAlign w:val="bottom"/>
            <w:tcBorders>
              <w:top w:val="single" w:sz="8" w:color="auto"/>
            </w:tcBorders>
            <w:shd w:val="clear" w:color="auto" w:fill="E5E5E5"/>
          </w:tcPr>
          <w:p>
            <w:pPr>
              <w:spacing w:after="0"/>
              <w:rPr>
                <w:sz w:val="18"/>
                <w:szCs w:val="18"/>
                <w:color w:val="auto"/>
              </w:rPr>
            </w:pPr>
          </w:p>
        </w:tc>
        <w:tc>
          <w:tcPr>
            <w:tcW w:w="120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1180" w:type="dxa"/>
            <w:vAlign w:val="bottom"/>
            <w:tcBorders>
              <w:top w:val="single" w:sz="8" w:color="auto"/>
            </w:tcBorders>
            <w:shd w:val="clear" w:color="auto" w:fill="E5E5E5"/>
          </w:tcPr>
          <w:p>
            <w:pPr>
              <w:spacing w:after="0"/>
              <w:rPr>
                <w:sz w:val="18"/>
                <w:szCs w:val="18"/>
                <w:color w:val="auto"/>
              </w:rPr>
            </w:pPr>
          </w:p>
        </w:tc>
        <w:tc>
          <w:tcPr>
            <w:tcW w:w="56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Residential:</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860"/>
              <w:spacing w:after="0"/>
              <w:rPr>
                <w:sz w:val="20"/>
                <w:szCs w:val="20"/>
                <w:color w:val="auto"/>
              </w:rPr>
            </w:pPr>
            <w:r>
              <w:rPr>
                <w:rFonts w:ascii="Arial" w:cs="Arial" w:eastAsia="Arial" w:hAnsi="Arial"/>
                <w:sz w:val="18"/>
                <w:szCs w:val="18"/>
                <w:color w:val="auto"/>
              </w:rPr>
              <w:t>Video</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$ 4,969</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$ 4,891</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$ 78</w:t>
            </w:r>
          </w:p>
        </w:tc>
        <w:tc>
          <w:tcPr>
            <w:tcW w:w="5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860"/>
              <w:spacing w:after="0"/>
              <w:rPr>
                <w:sz w:val="20"/>
                <w:szCs w:val="20"/>
                <w:color w:val="auto"/>
              </w:rPr>
            </w:pPr>
            <w:r>
              <w:rPr>
                <w:rFonts w:ascii="Arial" w:cs="Arial" w:eastAsia="Arial" w:hAnsi="Arial"/>
                <w:sz w:val="18"/>
                <w:szCs w:val="18"/>
                <w:color w:val="auto"/>
              </w:rPr>
              <w:t>High-speed Internet</w:t>
            </w:r>
          </w:p>
        </w:tc>
        <w:tc>
          <w:tcPr>
            <w:tcW w:w="3740" w:type="dxa"/>
            <w:vAlign w:val="bottom"/>
            <w:gridSpan w:val="2"/>
          </w:tcPr>
          <w:p>
            <w:pPr>
              <w:jc w:val="right"/>
              <w:ind w:right="192"/>
              <w:spacing w:after="0"/>
              <w:rPr>
                <w:sz w:val="20"/>
                <w:szCs w:val="20"/>
                <w:color w:val="auto"/>
              </w:rPr>
            </w:pPr>
            <w:r>
              <w:rPr>
                <w:rFonts w:ascii="Arial" w:cs="Arial" w:eastAsia="Arial" w:hAnsi="Arial"/>
                <w:sz w:val="18"/>
                <w:szCs w:val="18"/>
                <w:color w:val="auto"/>
              </w:rPr>
              <w:t>2,323</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2,106</w:t>
            </w:r>
          </w:p>
        </w:tc>
        <w:tc>
          <w:tcPr>
            <w:tcW w:w="1180" w:type="dxa"/>
            <w:vAlign w:val="bottom"/>
          </w:tcPr>
          <w:p>
            <w:pPr>
              <w:jc w:val="right"/>
              <w:ind w:right="496"/>
              <w:spacing w:after="0"/>
              <w:rPr>
                <w:sz w:val="20"/>
                <w:szCs w:val="20"/>
                <w:color w:val="auto"/>
              </w:rPr>
            </w:pPr>
            <w:r>
              <w:rPr>
                <w:rFonts w:ascii="Arial" w:cs="Arial" w:eastAsia="Arial" w:hAnsi="Arial"/>
                <w:sz w:val="18"/>
                <w:szCs w:val="18"/>
                <w:color w:val="auto"/>
              </w:rPr>
              <w:t>217</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860"/>
              <w:spacing w:after="0"/>
              <w:rPr>
                <w:sz w:val="20"/>
                <w:szCs w:val="20"/>
                <w:color w:val="auto"/>
              </w:rPr>
            </w:pPr>
            <w:r>
              <w:rPr>
                <w:rFonts w:ascii="Arial" w:cs="Arial" w:eastAsia="Arial" w:hAnsi="Arial"/>
                <w:sz w:val="18"/>
                <w:szCs w:val="18"/>
                <w:color w:val="auto"/>
              </w:rPr>
              <w:t>Voice</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878</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860</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18</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Business services</w:t>
            </w:r>
          </w:p>
        </w:tc>
        <w:tc>
          <w:tcPr>
            <w:tcW w:w="3740" w:type="dxa"/>
            <w:vAlign w:val="bottom"/>
            <w:gridSpan w:val="2"/>
          </w:tcPr>
          <w:p>
            <w:pPr>
              <w:jc w:val="right"/>
              <w:ind w:right="192"/>
              <w:spacing w:after="0"/>
              <w:rPr>
                <w:sz w:val="20"/>
                <w:szCs w:val="20"/>
                <w:color w:val="auto"/>
              </w:rPr>
            </w:pPr>
            <w:r>
              <w:rPr>
                <w:rFonts w:ascii="Arial" w:cs="Arial" w:eastAsia="Arial" w:hAnsi="Arial"/>
                <w:sz w:val="18"/>
                <w:szCs w:val="18"/>
                <w:color w:val="auto"/>
              </w:rPr>
              <w:t>541</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394</w:t>
            </w:r>
          </w:p>
        </w:tc>
        <w:tc>
          <w:tcPr>
            <w:tcW w:w="1180" w:type="dxa"/>
            <w:vAlign w:val="bottom"/>
          </w:tcPr>
          <w:p>
            <w:pPr>
              <w:jc w:val="right"/>
              <w:ind w:right="496"/>
              <w:spacing w:after="0"/>
              <w:rPr>
                <w:sz w:val="20"/>
                <w:szCs w:val="20"/>
                <w:color w:val="auto"/>
              </w:rPr>
            </w:pPr>
            <w:r>
              <w:rPr>
                <w:rFonts w:ascii="Arial" w:cs="Arial" w:eastAsia="Arial" w:hAnsi="Arial"/>
                <w:sz w:val="18"/>
                <w:szCs w:val="18"/>
                <w:color w:val="auto"/>
              </w:rPr>
              <w:t>147</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w w:val="91"/>
              </w:rPr>
              <w:t>37.0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Advertising</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476</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455</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21</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tcPr>
          <w:p>
            <w:pPr>
              <w:ind w:left="42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412</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378</w:t>
            </w: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34</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9,599</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9,084</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515</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b w:val="1"/>
                <w:bCs w:val="1"/>
                <w:color w:val="auto"/>
              </w:rPr>
              <w:t>Operating costs and expenses</w:t>
            </w:r>
          </w:p>
        </w:tc>
        <w:tc>
          <w:tcPr>
            <w:tcW w:w="25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Programming</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2,076</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1,969</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Technical labor</w:t>
            </w:r>
          </w:p>
        </w:tc>
        <w:tc>
          <w:tcPr>
            <w:tcW w:w="3740" w:type="dxa"/>
            <w:vAlign w:val="bottom"/>
            <w:gridSpan w:val="2"/>
          </w:tcPr>
          <w:p>
            <w:pPr>
              <w:jc w:val="right"/>
              <w:ind w:right="192"/>
              <w:spacing w:after="0"/>
              <w:rPr>
                <w:sz w:val="20"/>
                <w:szCs w:val="20"/>
                <w:color w:val="auto"/>
              </w:rPr>
            </w:pPr>
            <w:r>
              <w:rPr>
                <w:rFonts w:ascii="Arial" w:cs="Arial" w:eastAsia="Arial" w:hAnsi="Arial"/>
                <w:sz w:val="18"/>
                <w:szCs w:val="18"/>
                <w:color w:val="auto"/>
              </w:rPr>
              <w:t>588</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593</w:t>
            </w:r>
          </w:p>
        </w:tc>
        <w:tc>
          <w:tcPr>
            <w:tcW w:w="1180" w:type="dxa"/>
            <w:vAlign w:val="bottom"/>
          </w:tcPr>
          <w:p>
            <w:pPr>
              <w:jc w:val="right"/>
              <w:ind w:right="436"/>
              <w:spacing w:after="0"/>
              <w:rPr>
                <w:sz w:val="20"/>
                <w:szCs w:val="20"/>
                <w:color w:val="auto"/>
              </w:rPr>
            </w:pPr>
            <w:r>
              <w:rPr>
                <w:rFonts w:ascii="Arial" w:cs="Arial" w:eastAsia="Arial" w:hAnsi="Arial"/>
                <w:sz w:val="18"/>
                <w:szCs w:val="18"/>
                <w:color w:val="auto"/>
              </w:rPr>
              <w:t>(5)</w:t>
            </w:r>
          </w:p>
        </w:tc>
        <w:tc>
          <w:tcPr>
            <w:tcW w:w="560" w:type="dxa"/>
            <w:vAlign w:val="bottom"/>
          </w:tcPr>
          <w:p>
            <w:pPr>
              <w:jc w:val="right"/>
              <w:ind w:right="94"/>
              <w:spacing w:after="0"/>
              <w:rPr>
                <w:sz w:val="20"/>
                <w:szCs w:val="20"/>
                <w:color w:val="auto"/>
              </w:rPr>
            </w:pPr>
            <w:r>
              <w:rPr>
                <w:rFonts w:ascii="Arial" w:cs="Arial" w:eastAsia="Arial" w:hAnsi="Arial"/>
                <w:sz w:val="18"/>
                <w:szCs w:val="18"/>
                <w:color w:val="auto"/>
                <w:w w:val="97"/>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E5E5E5"/>
          </w:tcPr>
          <w:p>
            <w:pPr>
              <w:ind w:left="420"/>
              <w:spacing w:after="0"/>
              <w:rPr>
                <w:sz w:val="20"/>
                <w:szCs w:val="20"/>
                <w:color w:val="auto"/>
              </w:rPr>
            </w:pPr>
            <w:r>
              <w:rPr>
                <w:rFonts w:ascii="Arial" w:cs="Arial" w:eastAsia="Arial" w:hAnsi="Arial"/>
                <w:sz w:val="18"/>
                <w:szCs w:val="18"/>
                <w:color w:val="auto"/>
              </w:rPr>
              <w:t>Customer service</w:t>
            </w:r>
          </w:p>
        </w:tc>
        <w:tc>
          <w:tcPr>
            <w:tcW w:w="3740" w:type="dxa"/>
            <w:vAlign w:val="bottom"/>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494</w:t>
            </w:r>
          </w:p>
        </w:tc>
        <w:tc>
          <w:tcPr>
            <w:tcW w:w="104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469</w:t>
            </w:r>
          </w:p>
        </w:tc>
        <w:tc>
          <w:tcPr>
            <w:tcW w:w="1180" w:type="dxa"/>
            <w:vAlign w:val="bottom"/>
            <w:shd w:val="clear" w:color="auto" w:fill="E5E5E5"/>
          </w:tcPr>
          <w:p>
            <w:pPr>
              <w:jc w:val="right"/>
              <w:ind w:right="496"/>
              <w:spacing w:after="0"/>
              <w:rPr>
                <w:sz w:val="20"/>
                <w:szCs w:val="20"/>
                <w:color w:val="auto"/>
              </w:rPr>
            </w:pPr>
            <w:r>
              <w:rPr>
                <w:rFonts w:ascii="Arial" w:cs="Arial" w:eastAsia="Arial" w:hAnsi="Arial"/>
                <w:sz w:val="18"/>
                <w:szCs w:val="18"/>
                <w:color w:val="auto"/>
              </w:rPr>
              <w:t>25</w:t>
            </w:r>
          </w:p>
        </w:tc>
        <w:tc>
          <w:tcPr>
            <w:tcW w:w="560" w:type="dxa"/>
            <w:vAlign w:val="bottom"/>
            <w:shd w:val="clear" w:color="auto" w:fill="E5E5E5"/>
          </w:tcPr>
          <w:p>
            <w:pPr>
              <w:jc w:val="right"/>
              <w:ind w:right="134"/>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ind w:left="420"/>
              <w:spacing w:after="0"/>
              <w:rPr>
                <w:sz w:val="20"/>
                <w:szCs w:val="20"/>
                <w:color w:val="auto"/>
              </w:rPr>
            </w:pPr>
            <w:r>
              <w:rPr>
                <w:rFonts w:ascii="Arial" w:cs="Arial" w:eastAsia="Arial" w:hAnsi="Arial"/>
                <w:sz w:val="18"/>
                <w:szCs w:val="18"/>
                <w:color w:val="auto"/>
              </w:rPr>
              <w:t>Marketing</w:t>
            </w:r>
          </w:p>
        </w:tc>
        <w:tc>
          <w:tcPr>
            <w:tcW w:w="3740" w:type="dxa"/>
            <w:vAlign w:val="bottom"/>
            <w:gridSpan w:val="2"/>
          </w:tcPr>
          <w:p>
            <w:pPr>
              <w:jc w:val="right"/>
              <w:ind w:right="192"/>
              <w:spacing w:after="0"/>
              <w:rPr>
                <w:sz w:val="20"/>
                <w:szCs w:val="20"/>
                <w:color w:val="auto"/>
              </w:rPr>
            </w:pPr>
            <w:r>
              <w:rPr>
                <w:rFonts w:ascii="Arial" w:cs="Arial" w:eastAsia="Arial" w:hAnsi="Arial"/>
                <w:sz w:val="18"/>
                <w:szCs w:val="18"/>
                <w:color w:val="auto"/>
              </w:rPr>
              <w:t>630</w:t>
            </w:r>
          </w:p>
        </w:tc>
        <w:tc>
          <w:tcPr>
            <w:tcW w:w="1040" w:type="dxa"/>
            <w:vAlign w:val="bottom"/>
          </w:tcPr>
          <w:p>
            <w:pPr>
              <w:jc w:val="right"/>
              <w:ind w:right="174"/>
              <w:spacing w:after="0"/>
              <w:rPr>
                <w:sz w:val="20"/>
                <w:szCs w:val="20"/>
                <w:color w:val="auto"/>
              </w:rPr>
            </w:pPr>
            <w:r>
              <w:rPr>
                <w:rFonts w:ascii="Arial" w:cs="Arial" w:eastAsia="Arial" w:hAnsi="Arial"/>
                <w:sz w:val="18"/>
                <w:szCs w:val="18"/>
                <w:color w:val="auto"/>
              </w:rPr>
              <w:t>564</w:t>
            </w:r>
          </w:p>
        </w:tc>
        <w:tc>
          <w:tcPr>
            <w:tcW w:w="1180" w:type="dxa"/>
            <w:vAlign w:val="bottom"/>
          </w:tcPr>
          <w:p>
            <w:pPr>
              <w:jc w:val="right"/>
              <w:ind w:right="496"/>
              <w:spacing w:after="0"/>
              <w:rPr>
                <w:sz w:val="20"/>
                <w:szCs w:val="20"/>
                <w:color w:val="auto"/>
              </w:rPr>
            </w:pPr>
            <w:r>
              <w:rPr>
                <w:rFonts w:ascii="Arial" w:cs="Arial" w:eastAsia="Arial" w:hAnsi="Arial"/>
                <w:sz w:val="18"/>
                <w:szCs w:val="18"/>
                <w:color w:val="auto"/>
              </w:rPr>
              <w:t>66</w:t>
            </w:r>
          </w:p>
        </w:tc>
        <w:tc>
          <w:tcPr>
            <w:tcW w:w="560" w:type="dxa"/>
            <w:vAlign w:val="bottom"/>
          </w:tcPr>
          <w:p>
            <w:pPr>
              <w:jc w:val="right"/>
              <w:ind w:right="134"/>
              <w:spacing w:after="0"/>
              <w:rPr>
                <w:sz w:val="20"/>
                <w:szCs w:val="20"/>
                <w:color w:val="auto"/>
              </w:rPr>
            </w:pPr>
            <w:r>
              <w:rPr>
                <w:rFonts w:ascii="Arial" w:cs="Arial" w:eastAsia="Arial" w:hAnsi="Arial"/>
                <w:sz w:val="18"/>
                <w:szCs w:val="18"/>
                <w:color w:val="auto"/>
                <w:w w:val="91"/>
              </w:rPr>
              <w:t>11.7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ind w:left="42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auto"/>
            </w:tcBorders>
            <w:gridSpan w:val="2"/>
            <w:shd w:val="clear" w:color="auto" w:fill="E5E5E5"/>
          </w:tcPr>
          <w:p>
            <w:pPr>
              <w:jc w:val="right"/>
              <w:ind w:right="192"/>
              <w:spacing w:after="0"/>
              <w:rPr>
                <w:sz w:val="20"/>
                <w:szCs w:val="20"/>
                <w:color w:val="auto"/>
              </w:rPr>
            </w:pPr>
            <w:r>
              <w:rPr>
                <w:rFonts w:ascii="Arial" w:cs="Arial" w:eastAsia="Arial" w:hAnsi="Arial"/>
                <w:sz w:val="18"/>
                <w:szCs w:val="18"/>
                <w:color w:val="auto"/>
              </w:rPr>
              <w:t>1,856</w:t>
            </w:r>
          </w:p>
        </w:tc>
        <w:tc>
          <w:tcPr>
            <w:tcW w:w="10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1,740</w:t>
            </w:r>
          </w:p>
        </w:tc>
        <w:tc>
          <w:tcPr>
            <w:tcW w:w="118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color w:val="auto"/>
              </w:rPr>
              <w:t>116</w:t>
            </w:r>
          </w:p>
        </w:tc>
        <w:tc>
          <w:tcPr>
            <w:tcW w:w="560" w:type="dxa"/>
            <w:vAlign w:val="bottom"/>
            <w:tcBorders>
              <w:bottom w:val="single" w:sz="8" w:color="auto"/>
            </w:tcBorders>
            <w:shd w:val="clear" w:color="auto" w:fill="E5E5E5"/>
          </w:tcPr>
          <w:p>
            <w:pPr>
              <w:jc w:val="right"/>
              <w:ind w:right="1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operating costs and expenses</w:t>
            </w:r>
          </w:p>
        </w:tc>
        <w:tc>
          <w:tcPr>
            <w:tcW w:w="37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8"/>
                <w:szCs w:val="18"/>
                <w:color w:val="auto"/>
              </w:rPr>
              <w:t>5,644</w:t>
            </w:r>
          </w:p>
        </w:tc>
        <w:tc>
          <w:tcPr>
            <w:tcW w:w="1040" w:type="dxa"/>
            <w:vAlign w:val="bottom"/>
            <w:tcBorders>
              <w:bottom w:val="single" w:sz="8" w:color="auto"/>
            </w:tcBorders>
          </w:tcPr>
          <w:p>
            <w:pPr>
              <w:jc w:val="right"/>
              <w:ind w:right="174"/>
              <w:spacing w:after="0"/>
              <w:rPr>
                <w:sz w:val="20"/>
                <w:szCs w:val="20"/>
                <w:color w:val="auto"/>
              </w:rPr>
            </w:pPr>
            <w:r>
              <w:rPr>
                <w:rFonts w:ascii="Arial" w:cs="Arial" w:eastAsia="Arial" w:hAnsi="Arial"/>
                <w:sz w:val="18"/>
                <w:szCs w:val="18"/>
                <w:color w:val="auto"/>
              </w:rPr>
              <w:t>5,335</w:t>
            </w: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8"/>
                <w:szCs w:val="18"/>
                <w:color w:val="auto"/>
              </w:rPr>
              <w:t>309</w:t>
            </w: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8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Operating income before depreciation and amortization</w:t>
            </w:r>
          </w:p>
        </w:tc>
        <w:tc>
          <w:tcPr>
            <w:tcW w:w="3740" w:type="dxa"/>
            <w:vAlign w:val="bottom"/>
            <w:tcBorders>
              <w:bottom w:val="single" w:sz="8" w:color="auto"/>
            </w:tcBorders>
            <w:gridSpan w:val="2"/>
            <w:shd w:val="clear" w:color="auto" w:fill="E5E5E5"/>
          </w:tcPr>
          <w:p>
            <w:pPr>
              <w:jc w:val="right"/>
              <w:ind w:right="192"/>
              <w:spacing w:after="0"/>
              <w:rPr>
                <w:sz w:val="20"/>
                <w:szCs w:val="20"/>
                <w:color w:val="auto"/>
              </w:rPr>
            </w:pPr>
            <w:r>
              <w:rPr>
                <w:rFonts w:ascii="Arial" w:cs="Arial" w:eastAsia="Arial" w:hAnsi="Arial"/>
                <w:sz w:val="18"/>
                <w:szCs w:val="18"/>
                <w:b w:val="1"/>
                <w:bCs w:val="1"/>
                <w:color w:val="auto"/>
              </w:rPr>
              <w:t>$ 3,955</w:t>
            </w:r>
          </w:p>
        </w:tc>
        <w:tc>
          <w:tcPr>
            <w:tcW w:w="104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b w:val="1"/>
                <w:bCs w:val="1"/>
                <w:color w:val="auto"/>
              </w:rPr>
              <w:t>$ 3,749</w:t>
            </w:r>
          </w:p>
        </w:tc>
        <w:tc>
          <w:tcPr>
            <w:tcW w:w="1180" w:type="dxa"/>
            <w:vAlign w:val="bottom"/>
            <w:tcBorders>
              <w:bottom w:val="single" w:sz="8" w:color="auto"/>
            </w:tcBorders>
            <w:shd w:val="clear" w:color="auto" w:fill="E5E5E5"/>
          </w:tcPr>
          <w:p>
            <w:pPr>
              <w:jc w:val="right"/>
              <w:ind w:right="496"/>
              <w:spacing w:after="0"/>
              <w:rPr>
                <w:sz w:val="20"/>
                <w:szCs w:val="20"/>
                <w:color w:val="auto"/>
              </w:rPr>
            </w:pPr>
            <w:r>
              <w:rPr>
                <w:rFonts w:ascii="Arial" w:cs="Arial" w:eastAsia="Arial" w:hAnsi="Arial"/>
                <w:sz w:val="18"/>
                <w:szCs w:val="18"/>
                <w:b w:val="1"/>
                <w:bCs w:val="1"/>
                <w:color w:val="auto"/>
              </w:rPr>
              <w:t>$206</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363"/>
        </w:trPr>
        <w:tc>
          <w:tcPr>
            <w:tcW w:w="2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540" w:type="dxa"/>
            <w:vAlign w:val="bottom"/>
          </w:tcPr>
          <w:p>
            <w:pPr>
              <w:jc w:val="right"/>
              <w:ind w:right="1532"/>
              <w:spacing w:after="0"/>
              <w:rPr>
                <w:sz w:val="20"/>
                <w:szCs w:val="20"/>
                <w:color w:val="auto"/>
              </w:rPr>
            </w:pPr>
            <w:r>
              <w:rPr>
                <w:rFonts w:ascii="Arial" w:cs="Arial" w:eastAsia="Arial" w:hAnsi="Arial"/>
                <w:sz w:val="18"/>
                <w:szCs w:val="18"/>
                <w:color w:val="auto"/>
              </w:rPr>
              <w:t>28</w:t>
            </w:r>
          </w:p>
        </w:tc>
        <w:tc>
          <w:tcPr>
            <w:tcW w:w="1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Customer Metrics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spacing w:after="0"/>
              <w:rPr>
                <w:sz w:val="14"/>
                <w:szCs w:val="14"/>
                <w:color w:val="auto"/>
              </w:rPr>
            </w:pPr>
          </w:p>
        </w:tc>
        <w:tc>
          <w:tcPr>
            <w:tcW w:w="4060" w:type="dxa"/>
            <w:vAlign w:val="bottom"/>
            <w:tcBorders>
              <w:bottom w:val="single" w:sz="8" w:color="auto"/>
            </w:tcBorders>
            <w:gridSpan w:val="2"/>
          </w:tcPr>
          <w:p>
            <w:pPr>
              <w:jc w:val="right"/>
              <w:ind w:right="1557"/>
              <w:spacing w:after="0"/>
              <w:rPr>
                <w:sz w:val="20"/>
                <w:szCs w:val="20"/>
                <w:color w:val="auto"/>
              </w:rPr>
            </w:pPr>
            <w:r>
              <w:rPr>
                <w:rFonts w:ascii="Arial" w:cs="Arial" w:eastAsia="Arial" w:hAnsi="Arial"/>
                <w:sz w:val="14"/>
                <w:szCs w:val="14"/>
                <w:color w:val="auto"/>
              </w:rPr>
              <w:t>Total Customers</w:t>
            </w:r>
          </w:p>
        </w:tc>
        <w:tc>
          <w:tcPr>
            <w:tcW w:w="2320" w:type="dxa"/>
            <w:vAlign w:val="bottom"/>
            <w:tcBorders>
              <w:bottom w:val="single" w:sz="8" w:color="auto"/>
            </w:tcBorders>
          </w:tcPr>
          <w:p>
            <w:pPr>
              <w:jc w:val="center"/>
              <w:ind w:left="642"/>
              <w:spacing w:after="0"/>
              <w:rPr>
                <w:sz w:val="20"/>
                <w:szCs w:val="20"/>
                <w:color w:val="auto"/>
              </w:rPr>
            </w:pPr>
            <w:r>
              <w:rPr>
                <w:rFonts w:ascii="Arial" w:cs="Arial" w:eastAsia="Arial" w:hAnsi="Arial"/>
                <w:sz w:val="14"/>
                <w:szCs w:val="14"/>
                <w:color w:val="auto"/>
                <w:w w:val="88"/>
              </w:rPr>
              <w:t>Net Additional Customers</w:t>
            </w:r>
          </w:p>
        </w:tc>
      </w:tr>
      <w:tr>
        <w:trPr>
          <w:trHeight w:val="166"/>
        </w:trPr>
        <w:tc>
          <w:tcPr>
            <w:tcW w:w="50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320" w:type="dxa"/>
            <w:vAlign w:val="bottom"/>
          </w:tcPr>
          <w:p>
            <w:pPr>
              <w:jc w:val="center"/>
              <w:ind w:left="622"/>
              <w:spacing w:after="0"/>
              <w:rPr>
                <w:sz w:val="20"/>
                <w:szCs w:val="20"/>
                <w:color w:val="auto"/>
              </w:rPr>
            </w:pPr>
            <w:r>
              <w:rPr>
                <w:rFonts w:ascii="Arial" w:cs="Arial" w:eastAsia="Arial" w:hAnsi="Arial"/>
                <w:sz w:val="14"/>
                <w:szCs w:val="14"/>
                <w:color w:val="auto"/>
                <w:w w:val="87"/>
              </w:rPr>
              <w:t>Three Months Ended</w:t>
            </w:r>
          </w:p>
        </w:tc>
      </w:tr>
      <w:tr>
        <w:trPr>
          <w:trHeight w:val="219"/>
        </w:trPr>
        <w:tc>
          <w:tcPr>
            <w:tcW w:w="50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1980" w:type="dxa"/>
            <w:vAlign w:val="bottom"/>
            <w:tcBorders>
              <w:bottom w:val="single" w:sz="8" w:color="auto"/>
            </w:tcBorders>
          </w:tcPr>
          <w:p>
            <w:pPr>
              <w:jc w:val="right"/>
              <w:ind w:right="340"/>
              <w:spacing w:after="0"/>
              <w:rPr>
                <w:sz w:val="20"/>
                <w:szCs w:val="20"/>
                <w:color w:val="auto"/>
              </w:rPr>
            </w:pPr>
            <w:r>
              <w:rPr>
                <w:rFonts w:ascii="Arial" w:cs="Arial" w:eastAsia="Arial" w:hAnsi="Arial"/>
                <w:sz w:val="14"/>
                <w:szCs w:val="14"/>
                <w:color w:val="auto"/>
              </w:rPr>
              <w:t>March 31, 2012</w:t>
            </w:r>
          </w:p>
        </w:tc>
        <w:tc>
          <w:tcPr>
            <w:tcW w:w="2080" w:type="dxa"/>
            <w:vAlign w:val="bottom"/>
            <w:tcBorders>
              <w:bottom w:val="single" w:sz="8" w:color="auto"/>
            </w:tcBorders>
          </w:tcPr>
          <w:p>
            <w:pPr>
              <w:jc w:val="right"/>
              <w:ind w:right="737"/>
              <w:spacing w:after="0"/>
              <w:rPr>
                <w:sz w:val="20"/>
                <w:szCs w:val="20"/>
                <w:color w:val="auto"/>
              </w:rPr>
            </w:pPr>
            <w:r>
              <w:rPr>
                <w:rFonts w:ascii="Arial" w:cs="Arial" w:eastAsia="Arial" w:hAnsi="Arial"/>
                <w:sz w:val="14"/>
                <w:szCs w:val="14"/>
                <w:color w:val="auto"/>
              </w:rPr>
              <w:t>March 31, 2011</w:t>
            </w:r>
          </w:p>
        </w:tc>
        <w:tc>
          <w:tcPr>
            <w:tcW w:w="2320" w:type="dxa"/>
            <w:vAlign w:val="bottom"/>
            <w:tcBorders>
              <w:bottom w:val="single" w:sz="8" w:color="auto"/>
            </w:tcBorders>
          </w:tcPr>
          <w:p>
            <w:pPr>
              <w:jc w:val="center"/>
              <w:ind w:left="622"/>
              <w:spacing w:after="0"/>
              <w:rPr>
                <w:sz w:val="20"/>
                <w:szCs w:val="20"/>
                <w:color w:val="auto"/>
              </w:rPr>
            </w:pPr>
            <w:r>
              <w:rPr>
                <w:rFonts w:ascii="Arial" w:cs="Arial" w:eastAsia="Arial" w:hAnsi="Arial"/>
                <w:sz w:val="14"/>
                <w:szCs w:val="14"/>
                <w:color w:val="auto"/>
                <w:w w:val="88"/>
              </w:rPr>
              <w:t>March 31, 2012</w:t>
            </w:r>
          </w:p>
        </w:tc>
      </w:tr>
      <w:tr>
        <w:trPr>
          <w:trHeight w:val="210"/>
        </w:trPr>
        <w:tc>
          <w:tcPr>
            <w:tcW w:w="5040" w:type="dxa"/>
            <w:vAlign w:val="bottom"/>
            <w:shd w:val="clear" w:color="auto" w:fill="E5E5E5"/>
          </w:tcPr>
          <w:p>
            <w:pPr>
              <w:spacing w:after="0"/>
              <w:rPr>
                <w:sz w:val="20"/>
                <w:szCs w:val="20"/>
                <w:color w:val="auto"/>
              </w:rPr>
            </w:pPr>
            <w:r>
              <w:rPr>
                <w:rFonts w:ascii="Arial" w:cs="Arial" w:eastAsia="Arial" w:hAnsi="Arial"/>
                <w:sz w:val="18"/>
                <w:szCs w:val="18"/>
                <w:color w:val="auto"/>
              </w:rPr>
              <w:t>Video customers</w:t>
            </w:r>
          </w:p>
        </w:tc>
        <w:tc>
          <w:tcPr>
            <w:tcW w:w="1980" w:type="dxa"/>
            <w:vAlign w:val="bottom"/>
            <w:shd w:val="clear" w:color="auto" w:fill="E5E5E5"/>
          </w:tcPr>
          <w:p>
            <w:pPr>
              <w:jc w:val="right"/>
              <w:ind w:right="320"/>
              <w:spacing w:after="0"/>
              <w:rPr>
                <w:sz w:val="20"/>
                <w:szCs w:val="20"/>
                <w:color w:val="auto"/>
              </w:rPr>
            </w:pPr>
            <w:r>
              <w:rPr>
                <w:rFonts w:ascii="Arial" w:cs="Arial" w:eastAsia="Arial" w:hAnsi="Arial"/>
                <w:sz w:val="18"/>
                <w:szCs w:val="18"/>
                <w:color w:val="auto"/>
              </w:rPr>
              <w:t>22,294</w:t>
            </w:r>
          </w:p>
        </w:tc>
        <w:tc>
          <w:tcPr>
            <w:tcW w:w="2080" w:type="dxa"/>
            <w:vAlign w:val="bottom"/>
            <w:shd w:val="clear" w:color="auto" w:fill="E5E5E5"/>
          </w:tcPr>
          <w:p>
            <w:pPr>
              <w:jc w:val="right"/>
              <w:ind w:right="737"/>
              <w:spacing w:after="0"/>
              <w:rPr>
                <w:sz w:val="20"/>
                <w:szCs w:val="20"/>
                <w:color w:val="auto"/>
              </w:rPr>
            </w:pPr>
            <w:r>
              <w:rPr>
                <w:rFonts w:ascii="Arial" w:cs="Arial" w:eastAsia="Arial" w:hAnsi="Arial"/>
                <w:sz w:val="18"/>
                <w:szCs w:val="18"/>
                <w:color w:val="auto"/>
              </w:rPr>
              <w:t>22,751</w:t>
            </w:r>
          </w:p>
        </w:tc>
        <w:tc>
          <w:tcPr>
            <w:tcW w:w="2320" w:type="dxa"/>
            <w:vAlign w:val="bottom"/>
            <w:shd w:val="clear" w:color="auto" w:fill="E5E5E5"/>
          </w:tcPr>
          <w:p>
            <w:pPr>
              <w:ind w:left="1940"/>
              <w:spacing w:after="0"/>
              <w:rPr>
                <w:sz w:val="20"/>
                <w:szCs w:val="20"/>
                <w:color w:val="auto"/>
              </w:rPr>
            </w:pPr>
            <w:r>
              <w:rPr>
                <w:rFonts w:ascii="Arial" w:cs="Arial" w:eastAsia="Arial" w:hAnsi="Arial"/>
                <w:sz w:val="18"/>
                <w:szCs w:val="18"/>
                <w:color w:val="auto"/>
              </w:rPr>
              <w:t>(37)</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High-speed Internet customers</w:t>
            </w:r>
          </w:p>
        </w:tc>
        <w:tc>
          <w:tcPr>
            <w:tcW w:w="1980" w:type="dxa"/>
            <w:vAlign w:val="bottom"/>
          </w:tcPr>
          <w:p>
            <w:pPr>
              <w:jc w:val="right"/>
              <w:ind w:right="320"/>
              <w:spacing w:after="0"/>
              <w:rPr>
                <w:sz w:val="20"/>
                <w:szCs w:val="20"/>
                <w:color w:val="auto"/>
              </w:rPr>
            </w:pPr>
            <w:r>
              <w:rPr>
                <w:rFonts w:ascii="Arial" w:cs="Arial" w:eastAsia="Arial" w:hAnsi="Arial"/>
                <w:sz w:val="18"/>
                <w:szCs w:val="18"/>
                <w:color w:val="auto"/>
              </w:rPr>
              <w:t>18,582</w:t>
            </w:r>
          </w:p>
        </w:tc>
        <w:tc>
          <w:tcPr>
            <w:tcW w:w="2080" w:type="dxa"/>
            <w:vAlign w:val="bottom"/>
          </w:tcPr>
          <w:p>
            <w:pPr>
              <w:jc w:val="right"/>
              <w:ind w:right="737"/>
              <w:spacing w:after="0"/>
              <w:rPr>
                <w:sz w:val="20"/>
                <w:szCs w:val="20"/>
                <w:color w:val="auto"/>
              </w:rPr>
            </w:pPr>
            <w:r>
              <w:rPr>
                <w:rFonts w:ascii="Arial" w:cs="Arial" w:eastAsia="Arial" w:hAnsi="Arial"/>
                <w:sz w:val="18"/>
                <w:szCs w:val="18"/>
                <w:color w:val="auto"/>
              </w:rPr>
              <w:t>17,403</w:t>
            </w:r>
          </w:p>
        </w:tc>
        <w:tc>
          <w:tcPr>
            <w:tcW w:w="2320" w:type="dxa"/>
            <w:vAlign w:val="bottom"/>
          </w:tcPr>
          <w:p>
            <w:pPr>
              <w:ind w:left="1920"/>
              <w:spacing w:after="0"/>
              <w:rPr>
                <w:sz w:val="20"/>
                <w:szCs w:val="20"/>
                <w:color w:val="auto"/>
              </w:rPr>
            </w:pPr>
            <w:r>
              <w:rPr>
                <w:rFonts w:ascii="Arial" w:cs="Arial" w:eastAsia="Arial" w:hAnsi="Arial"/>
                <w:sz w:val="18"/>
                <w:szCs w:val="18"/>
                <w:color w:val="auto"/>
              </w:rPr>
              <w:t>439</w:t>
            </w:r>
          </w:p>
        </w:tc>
      </w:tr>
      <w:tr>
        <w:trPr>
          <w:trHeight w:val="216"/>
        </w:trPr>
        <w:tc>
          <w:tcPr>
            <w:tcW w:w="5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Voice customers</w:t>
            </w:r>
          </w:p>
        </w:tc>
        <w:tc>
          <w:tcPr>
            <w:tcW w:w="1980" w:type="dxa"/>
            <w:vAlign w:val="bottom"/>
            <w:tcBorders>
              <w:bottom w:val="single" w:sz="8" w:color="auto"/>
            </w:tcBorders>
            <w:shd w:val="clear" w:color="auto" w:fill="E5E5E5"/>
          </w:tcPr>
          <w:p>
            <w:pPr>
              <w:jc w:val="right"/>
              <w:ind w:right="320"/>
              <w:spacing w:after="0"/>
              <w:rPr>
                <w:sz w:val="20"/>
                <w:szCs w:val="20"/>
                <w:color w:val="auto"/>
              </w:rPr>
            </w:pPr>
            <w:r>
              <w:rPr>
                <w:rFonts w:ascii="Arial" w:cs="Arial" w:eastAsia="Arial" w:hAnsi="Arial"/>
                <w:sz w:val="18"/>
                <w:szCs w:val="18"/>
                <w:color w:val="auto"/>
              </w:rPr>
              <w:t>9,506</w:t>
            </w:r>
          </w:p>
        </w:tc>
        <w:tc>
          <w:tcPr>
            <w:tcW w:w="2080" w:type="dxa"/>
            <w:vAlign w:val="bottom"/>
            <w:tcBorders>
              <w:bottom w:val="single" w:sz="8" w:color="auto"/>
            </w:tcBorders>
            <w:shd w:val="clear" w:color="auto" w:fill="E5E5E5"/>
          </w:tcPr>
          <w:p>
            <w:pPr>
              <w:jc w:val="right"/>
              <w:ind w:right="737"/>
              <w:spacing w:after="0"/>
              <w:rPr>
                <w:sz w:val="20"/>
                <w:szCs w:val="20"/>
                <w:color w:val="auto"/>
              </w:rPr>
            </w:pPr>
            <w:r>
              <w:rPr>
                <w:rFonts w:ascii="Arial" w:cs="Arial" w:eastAsia="Arial" w:hAnsi="Arial"/>
                <w:sz w:val="18"/>
                <w:szCs w:val="18"/>
                <w:color w:val="auto"/>
              </w:rPr>
              <w:t>8,870</w:t>
            </w:r>
          </w:p>
        </w:tc>
        <w:tc>
          <w:tcPr>
            <w:tcW w:w="2320" w:type="dxa"/>
            <w:vAlign w:val="bottom"/>
            <w:tcBorders>
              <w:bottom w:val="single" w:sz="8" w:color="auto"/>
            </w:tcBorders>
            <w:shd w:val="clear" w:color="auto" w:fill="E5E5E5"/>
          </w:tcPr>
          <w:p>
            <w:pPr>
              <w:ind w:left="1920"/>
              <w:spacing w:after="0"/>
              <w:rPr>
                <w:sz w:val="20"/>
                <w:szCs w:val="20"/>
                <w:color w:val="auto"/>
              </w:rPr>
            </w:pPr>
            <w:r>
              <w:rPr>
                <w:rFonts w:ascii="Arial" w:cs="Arial" w:eastAsia="Arial" w:hAnsi="Arial"/>
                <w:sz w:val="18"/>
                <w:szCs w:val="18"/>
                <w:color w:val="auto"/>
              </w:rPr>
              <w:t>164</w:t>
            </w:r>
          </w:p>
        </w:tc>
      </w:tr>
    </w:tbl>
    <w:p>
      <w:pPr>
        <w:spacing w:after="0" w:line="57" w:lineRule="exact"/>
        <w:rPr>
          <w:sz w:val="20"/>
          <w:szCs w:val="20"/>
          <w:color w:val="auto"/>
        </w:rPr>
      </w:pPr>
    </w:p>
    <w:p>
      <w:pPr>
        <w:spacing w:after="0"/>
        <w:rPr>
          <w:sz w:val="20"/>
          <w:szCs w:val="20"/>
          <w:color w:val="auto"/>
        </w:rPr>
      </w:pPr>
      <w:r>
        <w:rPr>
          <w:rFonts w:ascii="Arial" w:cs="Arial" w:eastAsia="Arial" w:hAnsi="Arial"/>
          <w:sz w:val="14"/>
          <w:szCs w:val="14"/>
          <w:color w:val="auto"/>
        </w:rPr>
        <w:t>Customer data include residential and business customers.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Segment—Revenue</w:t>
      </w:r>
    </w:p>
    <w:p>
      <w:pPr>
        <w:spacing w:after="0" w:line="7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average monthly total revenue per video customer for the three months ended March 31, 2012 increased to $143 from $133 for the three months ended March 31, 2011. The increase in average monthly total revenue per video customer was primarily due to increases in the number of residential customers receiving multiple services, rate adjustments, higher contributions from business services and declines in the total number of video customers.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video revenue increased for the three months ended March 31, 2012 compared to the same period in 2011 primarily due to rate adjustments, offset by declines in the number of residential video customers. For the three months ended March 31, 2012, the number of video customers decreased primarily due to competitive pressures in our service areas. We expect further declines in the number of residential video customers during the remainder of 2012. As of March 31, 2012, 54% of our digital video customers subscribed to at least one of our high-definition television (“HDTV”) and digital video recorder (“DVR”) services.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High-Speed Internet</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high-speed Internet revenue increased for the three months ended March 31, 2012 compared to the same period in 2011 primarily due to increases in the number of residential customers, rate adjustments and additional customers receiving higher levels of service.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Voice</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voice revenue increased for the three months ended March 31, 2012 compared to the same period in 2011 primarily due to increases in the number of residential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Services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business services revenue increased for the three months ended March 31, 2012 compared to the same period in 2011 primarily due to increases in the number of customers.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advertising revenue increased for the three months ended March 31, 2012 compared to the same period in 2011 primarily due to improvements in the local advertising market.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other revenue increased for the three months ended March 31, 2012 compared to the same period in 2011 primarily due to an increase in franchise and other regulatory fees.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Communications Segment—Operating Costs and Expenses</w:t>
      </w:r>
    </w:p>
    <w:p>
      <w:pPr>
        <w:spacing w:after="0" w:line="7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Programming expenses increased for the three months ended March 31, 2012 compared to the same period in 2011 primarily due to increases in rates and additional programming options offered to our customers. Technical labor expenses remained relatively flat for the three months ended March 31, 2012 compared to the same period in 2011. Customer service expenses increased for the three months ended March 31, 2012 compared to the same period in 2011 primarily due to an increase in personnel costs associated with higher levels of customer service activity. Marketing expenses increased for the three months ended March 31, 2012 compared to the same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 in 2011 primarily due to increases in sales employees and media spending for residential and business services. Other operating costs and expenses increased for the three months ended March 31, 2012 compared to the same period in 2011 primarily due to an increase in activity related to business services and an increase in franchise and other regulatory fees.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NBCUniversal Segments Overview</w:t>
      </w:r>
    </w:p>
    <w:p>
      <w:pPr>
        <w:spacing w:after="0" w:line="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discussion below compares the NBCUniversal segments’ actual results for the three months ended March 31, 2012 to pro forma combined results for the three months ended March 31, 2011. Management believes reviewing our operating results by combining actual and pro forma results for the NBCUniversal segments for 2011 is more useful in identifying trends in, or reaching conclusions regarding, the overall operating performance of these segments for the current period. Our pro forma amounts presented in the tables below include adjustments as if the NBCUniversal and Universal Orlando transactions had occurred on January 1, 2010. Our pro forma data was also adjusted for the effects of acquisition accounting and the elimination of costs and expenses directly related to the transactions but does not include adjustments for costs related to integration activities, cost savings or synergies that have been or may be achieved by the combined businesses. Pro forma amounts are not necessarily indicative of what our results would have been had we operated the NBCUniversal contributed businesses or Universal Orlando since January 1, 2010, nor of our future results.</w:t>
      </w:r>
    </w:p>
    <w:p>
      <w:pPr>
        <w:spacing w:after="0" w:line="24" w:lineRule="exact"/>
        <w:rPr>
          <w:sz w:val="20"/>
          <w:szCs w:val="20"/>
          <w:color w:val="auto"/>
        </w:rPr>
      </w:pPr>
    </w:p>
    <w:p>
      <w:pPr>
        <w:spacing w:after="0"/>
        <w:rPr>
          <w:sz w:val="20"/>
          <w:szCs w:val="20"/>
          <w:color w:val="auto"/>
        </w:rPr>
      </w:pPr>
      <w:r>
        <w:rPr>
          <w:rFonts w:ascii="Arial" w:cs="Arial" w:eastAsia="Arial" w:hAnsi="Arial"/>
          <w:sz w:val="18"/>
          <w:szCs w:val="18"/>
          <w:color w:val="auto"/>
        </w:rPr>
        <w:t>The operating results of the NBCUniversal segments for the three months ended March 31, 2012 and 2011 are presented in the table below.</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4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16"/>
              <w:spacing w:after="0"/>
              <w:rPr>
                <w:sz w:val="20"/>
                <w:szCs w:val="20"/>
                <w:color w:val="auto"/>
              </w:rPr>
            </w:pPr>
            <w:r>
              <w:rPr>
                <w:rFonts w:ascii="Arial" w:cs="Arial" w:eastAsia="Arial" w:hAnsi="Arial"/>
                <w:sz w:val="14"/>
                <w:szCs w:val="14"/>
                <w:color w:val="auto"/>
                <w:w w:val="89"/>
              </w:rPr>
              <w:t>2012</w:t>
            </w:r>
          </w:p>
        </w:tc>
        <w:tc>
          <w:tcPr>
            <w:tcW w:w="32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35"/>
              <w:spacing w:after="0"/>
              <w:rPr>
                <w:sz w:val="20"/>
                <w:szCs w:val="20"/>
                <w:color w:val="auto"/>
              </w:rPr>
            </w:pPr>
            <w:r>
              <w:rPr>
                <w:rFonts w:ascii="Arial" w:cs="Arial" w:eastAsia="Arial" w:hAnsi="Arial"/>
                <w:sz w:val="14"/>
                <w:szCs w:val="14"/>
                <w:color w:val="auto"/>
                <w:w w:val="83"/>
              </w:rPr>
              <w:t>2011</w:t>
            </w: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vMerge w:val="restart"/>
          </w:tcPr>
          <w:p>
            <w:pPr>
              <w:jc w:val="right"/>
              <w:ind w:right="554"/>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80" w:type="dxa"/>
            <w:vAlign w:val="bottom"/>
            <w:gridSpan w:val="2"/>
            <w:vMerge w:val="restart"/>
          </w:tcPr>
          <w:p>
            <w:pPr>
              <w:jc w:val="center"/>
              <w:ind w:right="62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460" w:type="dxa"/>
            <w:vAlign w:val="bottom"/>
          </w:tcPr>
          <w:p>
            <w:pPr>
              <w:spacing w:after="0"/>
              <w:rPr>
                <w:sz w:val="11"/>
                <w:szCs w:val="11"/>
                <w:color w:val="auto"/>
              </w:rPr>
            </w:pPr>
          </w:p>
        </w:tc>
        <w:tc>
          <w:tcPr>
            <w:tcW w:w="1160" w:type="dxa"/>
            <w:vAlign w:val="bottom"/>
            <w:vMerge w:val="restart"/>
          </w:tcPr>
          <w:p>
            <w:pPr>
              <w:jc w:val="right"/>
              <w:ind w:right="455"/>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340" w:type="dxa"/>
            <w:vAlign w:val="bottom"/>
          </w:tcPr>
          <w:p>
            <w:pPr>
              <w:spacing w:after="0"/>
              <w:rPr>
                <w:sz w:val="11"/>
                <w:szCs w:val="11"/>
                <w:color w:val="auto"/>
              </w:rPr>
            </w:pPr>
          </w:p>
        </w:tc>
        <w:tc>
          <w:tcPr>
            <w:tcW w:w="1080" w:type="dxa"/>
            <w:vAlign w:val="bottom"/>
          </w:tcPr>
          <w:p>
            <w:pPr>
              <w:jc w:val="center"/>
              <w:ind w:right="216"/>
              <w:spacing w:after="0" w:line="131" w:lineRule="exact"/>
              <w:rPr>
                <w:sz w:val="20"/>
                <w:szCs w:val="20"/>
                <w:color w:val="auto"/>
              </w:rPr>
            </w:pPr>
            <w:r>
              <w:rPr>
                <w:rFonts w:ascii="Arial" w:cs="Arial" w:eastAsia="Arial" w:hAnsi="Arial"/>
                <w:sz w:val="14"/>
                <w:szCs w:val="14"/>
                <w:color w:val="auto"/>
                <w:w w:val="87"/>
              </w:rPr>
              <w:t>Pro Forma</w:t>
            </w:r>
          </w:p>
        </w:tc>
        <w:tc>
          <w:tcPr>
            <w:tcW w:w="30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460" w:type="dxa"/>
            <w:vAlign w:val="bottom"/>
          </w:tcPr>
          <w:p>
            <w:pPr>
              <w:spacing w:after="0"/>
              <w:rPr>
                <w:sz w:val="13"/>
                <w:szCs w:val="13"/>
                <w:color w:val="auto"/>
              </w:rPr>
            </w:pPr>
          </w:p>
        </w:tc>
        <w:tc>
          <w:tcPr>
            <w:tcW w:w="116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90"/>
              </w:rPr>
              <w:t>Combined</w:t>
            </w:r>
          </w:p>
        </w:tc>
        <w:tc>
          <w:tcPr>
            <w:tcW w:w="1800" w:type="dxa"/>
            <w:vAlign w:val="bottom"/>
            <w:gridSpan w:val="2"/>
          </w:tcPr>
          <w:p>
            <w:pPr>
              <w:jc w:val="right"/>
              <w:ind w:right="514"/>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3240" w:type="dxa"/>
            <w:vAlign w:val="bottom"/>
          </w:tcPr>
          <w:p>
            <w:pPr>
              <w:spacing w:after="0"/>
              <w:rPr>
                <w:sz w:val="11"/>
                <w:szCs w:val="11"/>
                <w:color w:val="auto"/>
              </w:rPr>
            </w:pPr>
          </w:p>
        </w:tc>
        <w:tc>
          <w:tcPr>
            <w:tcW w:w="1520" w:type="dxa"/>
            <w:vAlign w:val="bottom"/>
            <w:tcBorders>
              <w:top w:val="single" w:sz="8" w:color="auto"/>
            </w:tcBorders>
            <w:gridSpan w:val="2"/>
          </w:tcPr>
          <w:p>
            <w:pPr>
              <w:ind w:left="260"/>
              <w:spacing w:after="0" w:line="131" w:lineRule="exact"/>
              <w:rPr>
                <w:sz w:val="20"/>
                <w:szCs w:val="20"/>
                <w:color w:val="auto"/>
              </w:rPr>
            </w:pPr>
            <w:r>
              <w:rPr>
                <w:rFonts w:ascii="Arial" w:cs="Arial" w:eastAsia="Arial" w:hAnsi="Arial"/>
                <w:sz w:val="14"/>
                <w:szCs w:val="14"/>
                <w:color w:val="auto"/>
                <w:w w:val="94"/>
              </w:rPr>
              <w:t>Three Months Ended</w:t>
            </w:r>
          </w:p>
        </w:tc>
        <w:tc>
          <w:tcPr>
            <w:tcW w:w="320" w:type="dxa"/>
            <w:vAlign w:val="bottom"/>
          </w:tcPr>
          <w:p>
            <w:pPr>
              <w:spacing w:after="0"/>
              <w:rPr>
                <w:sz w:val="11"/>
                <w:szCs w:val="11"/>
                <w:color w:val="auto"/>
              </w:rPr>
            </w:pPr>
          </w:p>
        </w:tc>
        <w:tc>
          <w:tcPr>
            <w:tcW w:w="1620" w:type="dxa"/>
            <w:vAlign w:val="bottom"/>
            <w:tcBorders>
              <w:top w:val="single" w:sz="8" w:color="auto"/>
            </w:tcBorders>
            <w:gridSpan w:val="2"/>
          </w:tcPr>
          <w:p>
            <w:pPr>
              <w:ind w:left="260"/>
              <w:spacing w:after="0" w:line="131" w:lineRule="exact"/>
              <w:rPr>
                <w:sz w:val="20"/>
                <w:szCs w:val="20"/>
                <w:color w:val="auto"/>
              </w:rPr>
            </w:pPr>
            <w:r>
              <w:rPr>
                <w:rFonts w:ascii="Arial" w:cs="Arial" w:eastAsia="Arial" w:hAnsi="Arial"/>
                <w:sz w:val="14"/>
                <w:szCs w:val="14"/>
                <w:color w:val="auto"/>
              </w:rPr>
              <w:t>Three Months Ended</w:t>
            </w:r>
          </w:p>
        </w:tc>
        <w:tc>
          <w:tcPr>
            <w:tcW w:w="1200" w:type="dxa"/>
            <w:vAlign w:val="bottom"/>
            <w:tcBorders>
              <w:top w:val="single" w:sz="8" w:color="auto"/>
            </w:tcBorders>
            <w:gridSpan w:val="2"/>
          </w:tcPr>
          <w:p>
            <w:pPr>
              <w:ind w:left="180"/>
              <w:spacing w:after="0" w:line="131" w:lineRule="exact"/>
              <w:rPr>
                <w:sz w:val="20"/>
                <w:szCs w:val="20"/>
                <w:color w:val="auto"/>
              </w:rPr>
            </w:pPr>
            <w:r>
              <w:rPr>
                <w:rFonts w:ascii="Arial" w:cs="Arial" w:eastAsia="Arial" w:hAnsi="Arial"/>
                <w:sz w:val="14"/>
                <w:szCs w:val="14"/>
                <w:color w:val="auto"/>
              </w:rPr>
              <w:t>NBCUniversal</w:t>
            </w:r>
          </w:p>
        </w:tc>
        <w:tc>
          <w:tcPr>
            <w:tcW w:w="1420" w:type="dxa"/>
            <w:vAlign w:val="bottom"/>
            <w:tcBorders>
              <w:top w:val="single" w:sz="8" w:color="auto"/>
            </w:tcBorders>
            <w:gridSpan w:val="2"/>
          </w:tcPr>
          <w:p>
            <w:pPr>
              <w:ind w:left="160"/>
              <w:spacing w:after="0" w:line="131" w:lineRule="exact"/>
              <w:rPr>
                <w:sz w:val="20"/>
                <w:szCs w:val="20"/>
                <w:color w:val="auto"/>
              </w:rPr>
            </w:pPr>
            <w:r>
              <w:rPr>
                <w:rFonts w:ascii="Arial" w:cs="Arial" w:eastAsia="Arial" w:hAnsi="Arial"/>
                <w:sz w:val="14"/>
                <w:szCs w:val="14"/>
                <w:color w:val="auto"/>
                <w:w w:val="94"/>
              </w:rPr>
              <w:t>Three Months Ended</w:t>
            </w:r>
          </w:p>
        </w:tc>
        <w:tc>
          <w:tcPr>
            <w:tcW w:w="300" w:type="dxa"/>
            <w:vAlign w:val="bottom"/>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4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460" w:type="dxa"/>
            <w:vAlign w:val="bottom"/>
          </w:tcPr>
          <w:p>
            <w:pPr>
              <w:spacing w:after="0"/>
              <w:rPr>
                <w:sz w:val="13"/>
                <w:szCs w:val="13"/>
                <w:color w:val="auto"/>
              </w:rPr>
            </w:pPr>
          </w:p>
        </w:tc>
        <w:tc>
          <w:tcPr>
            <w:tcW w:w="138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89"/>
              </w:rPr>
              <w:t>March 31</w:t>
            </w:r>
          </w:p>
        </w:tc>
        <w:tc>
          <w:tcPr>
            <w:tcW w:w="460" w:type="dxa"/>
            <w:vAlign w:val="bottom"/>
          </w:tcPr>
          <w:p>
            <w:pPr>
              <w:spacing w:after="0"/>
              <w:rPr>
                <w:sz w:val="13"/>
                <w:szCs w:val="13"/>
                <w:color w:val="auto"/>
              </w:rPr>
            </w:pPr>
          </w:p>
        </w:tc>
        <w:tc>
          <w:tcPr>
            <w:tcW w:w="1160" w:type="dxa"/>
            <w:vAlign w:val="bottom"/>
          </w:tcPr>
          <w:p>
            <w:pPr>
              <w:jc w:val="right"/>
              <w:ind w:right="435"/>
              <w:spacing w:after="0" w:line="159" w:lineRule="exact"/>
              <w:rPr>
                <w:sz w:val="20"/>
                <w:szCs w:val="20"/>
                <w:color w:val="auto"/>
              </w:rPr>
            </w:pPr>
            <w:r>
              <w:rPr>
                <w:rFonts w:ascii="Arial" w:cs="Arial" w:eastAsia="Arial" w:hAnsi="Arial"/>
                <w:sz w:val="14"/>
                <w:szCs w:val="14"/>
                <w:color w:val="auto"/>
              </w:rPr>
              <w:t>March 31</w:t>
            </w:r>
          </w:p>
        </w:tc>
        <w:tc>
          <w:tcPr>
            <w:tcW w:w="260" w:type="dxa"/>
            <w:vAlign w:val="bottom"/>
          </w:tcPr>
          <w:p>
            <w:pPr>
              <w:spacing w:after="0"/>
              <w:rPr>
                <w:sz w:val="13"/>
                <w:szCs w:val="13"/>
                <w:color w:val="auto"/>
              </w:rPr>
            </w:pPr>
          </w:p>
        </w:tc>
        <w:tc>
          <w:tcPr>
            <w:tcW w:w="940" w:type="dxa"/>
            <w:vAlign w:val="bottom"/>
          </w:tcPr>
          <w:p>
            <w:pPr>
              <w:jc w:val="center"/>
              <w:ind w:right="215"/>
              <w:spacing w:after="0" w:line="159" w:lineRule="exact"/>
              <w:rPr>
                <w:sz w:val="20"/>
                <w:szCs w:val="20"/>
                <w:color w:val="auto"/>
              </w:rPr>
            </w:pPr>
            <w:r>
              <w:rPr>
                <w:rFonts w:ascii="Arial" w:cs="Arial" w:eastAsia="Arial" w:hAnsi="Arial"/>
                <w:sz w:val="14"/>
                <w:szCs w:val="14"/>
                <w:color w:val="auto"/>
                <w:w w:val="83"/>
              </w:rPr>
              <w:t>Businesses</w:t>
            </w:r>
          </w:p>
        </w:tc>
        <w:tc>
          <w:tcPr>
            <w:tcW w:w="340" w:type="dxa"/>
            <w:vAlign w:val="bottom"/>
          </w:tcPr>
          <w:p>
            <w:pPr>
              <w:spacing w:after="0"/>
              <w:rPr>
                <w:sz w:val="13"/>
                <w:szCs w:val="13"/>
                <w:color w:val="auto"/>
              </w:rPr>
            </w:pPr>
          </w:p>
        </w:tc>
        <w:tc>
          <w:tcPr>
            <w:tcW w:w="138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9"/>
              </w:rPr>
              <w:t>March 31</w:t>
            </w:r>
          </w:p>
        </w:tc>
        <w:tc>
          <w:tcPr>
            <w:tcW w:w="900" w:type="dxa"/>
            <w:vAlign w:val="bottom"/>
          </w:tcPr>
          <w:p>
            <w:pPr>
              <w:jc w:val="right"/>
              <w:ind w:right="316"/>
              <w:spacing w:after="0" w:line="159" w:lineRule="exact"/>
              <w:rPr>
                <w:sz w:val="20"/>
                <w:szCs w:val="20"/>
                <w:color w:val="auto"/>
              </w:rPr>
            </w:pPr>
            <w:r>
              <w:rPr>
                <w:rFonts w:ascii="Arial" w:cs="Arial" w:eastAsia="Arial" w:hAnsi="Arial"/>
                <w:sz w:val="14"/>
                <w:szCs w:val="14"/>
                <w:color w:val="auto"/>
              </w:rPr>
              <w:t>$</w:t>
            </w:r>
          </w:p>
        </w:tc>
        <w:tc>
          <w:tcPr>
            <w:tcW w:w="900" w:type="dxa"/>
            <w:vAlign w:val="bottom"/>
          </w:tcPr>
          <w:p>
            <w:pPr>
              <w:jc w:val="right"/>
              <w:ind w:right="374"/>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4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6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460" w:type="dxa"/>
            <w:vAlign w:val="bottom"/>
            <w:tcBorders>
              <w:top w:val="single" w:sz="8" w:color="auto"/>
            </w:tcBorders>
            <w:shd w:val="clear" w:color="auto" w:fill="E5E5E5"/>
          </w:tcPr>
          <w:p>
            <w:pPr>
              <w:spacing w:after="0"/>
              <w:rPr>
                <w:sz w:val="18"/>
                <w:szCs w:val="18"/>
                <w:color w:val="auto"/>
              </w:rPr>
            </w:pPr>
          </w:p>
        </w:tc>
        <w:tc>
          <w:tcPr>
            <w:tcW w:w="116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340" w:type="dxa"/>
            <w:vAlign w:val="bottom"/>
            <w:tcBorders>
              <w:top w:val="single" w:sz="8" w:color="auto"/>
            </w:tcBorders>
            <w:shd w:val="clear" w:color="auto" w:fill="E5E5E5"/>
          </w:tcPr>
          <w:p>
            <w:pPr>
              <w:spacing w:after="0"/>
              <w:rPr>
                <w:sz w:val="18"/>
                <w:szCs w:val="18"/>
                <w:color w:val="auto"/>
              </w:rPr>
            </w:pPr>
          </w:p>
        </w:tc>
        <w:tc>
          <w:tcPr>
            <w:tcW w:w="108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2,138</w:t>
            </w:r>
          </w:p>
        </w:tc>
        <w:tc>
          <w:tcPr>
            <w:tcW w:w="320" w:type="dxa"/>
            <w:vAlign w:val="bottom"/>
          </w:tcPr>
          <w:p>
            <w:pPr>
              <w:spacing w:after="0"/>
              <w:rPr>
                <w:sz w:val="18"/>
                <w:szCs w:val="18"/>
                <w:color w:val="auto"/>
              </w:rPr>
            </w:pPr>
          </w:p>
        </w:tc>
        <w:tc>
          <w:tcPr>
            <w:tcW w:w="460" w:type="dxa"/>
            <w:vAlign w:val="bottom"/>
          </w:tcPr>
          <w:p>
            <w:pPr>
              <w:ind w:left="26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1,632</w:t>
            </w:r>
          </w:p>
        </w:tc>
        <w:tc>
          <w:tcPr>
            <w:tcW w:w="260" w:type="dxa"/>
            <w:vAlign w:val="bottom"/>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388</w:t>
            </w:r>
          </w:p>
        </w:tc>
        <w:tc>
          <w:tcPr>
            <w:tcW w:w="34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$ 118</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1,851</w:t>
            </w:r>
          </w:p>
        </w:tc>
        <w:tc>
          <w:tcPr>
            <w:tcW w:w="3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464</w:t>
            </w:r>
          </w:p>
        </w:tc>
        <w:tc>
          <w:tcPr>
            <w:tcW w:w="3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1,352</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499</w:t>
            </w:r>
          </w:p>
        </w:tc>
        <w:tc>
          <w:tcPr>
            <w:tcW w:w="9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1,192</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622</w:t>
            </w:r>
          </w:p>
        </w:tc>
        <w:tc>
          <w:tcPr>
            <w:tcW w:w="26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353</w:t>
            </w:r>
          </w:p>
        </w:tc>
        <w:tc>
          <w:tcPr>
            <w:tcW w:w="3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975</w:t>
            </w:r>
          </w:p>
        </w:tc>
        <w:tc>
          <w:tcPr>
            <w:tcW w:w="3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217</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412</w:t>
            </w:r>
          </w:p>
        </w:tc>
        <w:tc>
          <w:tcPr>
            <w:tcW w:w="3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275</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115</w:t>
            </w:r>
          </w:p>
        </w:tc>
        <w:tc>
          <w:tcPr>
            <w:tcW w:w="340" w:type="dxa"/>
            <w:vAlign w:val="bottom"/>
            <w:shd w:val="clear" w:color="auto" w:fill="E5E5E5"/>
          </w:tcPr>
          <w:p>
            <w:pPr>
              <w:spacing w:after="0"/>
              <w:rPr>
                <w:sz w:val="18"/>
                <w:szCs w:val="18"/>
                <w:color w:val="auto"/>
              </w:rPr>
            </w:pPr>
          </w:p>
        </w:tc>
        <w:tc>
          <w:tcPr>
            <w:tcW w:w="10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390</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22</w:t>
            </w:r>
          </w:p>
        </w:tc>
        <w:tc>
          <w:tcPr>
            <w:tcW w:w="9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w w:val="94"/>
              </w:rPr>
              <w:t>Headquarters, other and eliminations</w:t>
            </w:r>
          </w:p>
        </w:tc>
        <w:tc>
          <w:tcPr>
            <w:tcW w:w="4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320" w:type="dxa"/>
            <w:vAlign w:val="bottom"/>
            <w:tcBorders>
              <w:bottom w:val="single" w:sz="8" w:color="E5E5E5"/>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8"/>
                <w:szCs w:val="18"/>
                <w:color w:val="auto"/>
              </w:rPr>
              <w:t>(274)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176</w:t>
            </w: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300" w:type="dxa"/>
            <w:vAlign w:val="bottom"/>
            <w:tcBorders>
              <w:bottom w:val="single" w:sz="8" w:color="E5E5E5"/>
            </w:tcBorders>
          </w:tcPr>
          <w:p>
            <w:pPr>
              <w:spacing w:after="0"/>
              <w:rPr>
                <w:sz w:val="18"/>
                <w:szCs w:val="18"/>
                <w:color w:val="auto"/>
              </w:rPr>
            </w:pPr>
          </w:p>
        </w:tc>
        <w:tc>
          <w:tcPr>
            <w:tcW w:w="900" w:type="dxa"/>
            <w:vAlign w:val="bottom"/>
            <w:tcBorders>
              <w:bottom w:val="single" w:sz="8" w:color="auto"/>
            </w:tcBorders>
          </w:tcPr>
          <w:p>
            <w:pPr>
              <w:jc w:val="right"/>
              <w:ind w:right="116"/>
              <w:spacing w:after="0"/>
              <w:rPr>
                <w:sz w:val="20"/>
                <w:szCs w:val="20"/>
                <w:color w:val="auto"/>
              </w:rPr>
            </w:pPr>
            <w:r>
              <w:rPr>
                <w:rFonts w:ascii="Arial" w:cs="Arial" w:eastAsia="Arial" w:hAnsi="Arial"/>
                <w:sz w:val="18"/>
                <w:szCs w:val="18"/>
                <w:color w:val="auto"/>
              </w:rPr>
              <w:t>(23)</w:t>
            </w:r>
          </w:p>
        </w:tc>
        <w:tc>
          <w:tcPr>
            <w:tcW w:w="900" w:type="dxa"/>
            <w:vAlign w:val="bottom"/>
            <w:tcBorders>
              <w:bottom w:val="single" w:sz="8" w:color="auto"/>
            </w:tcBorders>
          </w:tcPr>
          <w:p>
            <w:pPr>
              <w:jc w:val="right"/>
              <w:ind w:right="114"/>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7"/>
        </w:trPr>
        <w:tc>
          <w:tcPr>
            <w:tcW w:w="32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4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E5E5E5"/>
          </w:tcPr>
          <w:p>
            <w:pPr>
              <w:jc w:val="right"/>
              <w:ind w:right="16"/>
              <w:spacing w:after="0"/>
              <w:rPr>
                <w:sz w:val="20"/>
                <w:szCs w:val="20"/>
                <w:color w:val="auto"/>
              </w:rPr>
            </w:pPr>
            <w:r>
              <w:rPr>
                <w:rFonts w:ascii="Arial" w:cs="Arial" w:eastAsia="Arial" w:hAnsi="Arial"/>
                <w:sz w:val="18"/>
                <w:szCs w:val="18"/>
                <w:b w:val="1"/>
                <w:bCs w:val="1"/>
                <w:color w:val="auto"/>
              </w:rPr>
              <w:t>5,472</w:t>
            </w:r>
          </w:p>
        </w:tc>
        <w:tc>
          <w:tcPr>
            <w:tcW w:w="32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ind w:lef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shd w:val="clear" w:color="auto" w:fill="E5E5E5"/>
          </w:tcPr>
          <w:p>
            <w:pPr>
              <w:jc w:val="right"/>
              <w:ind w:right="115"/>
              <w:spacing w:after="0"/>
              <w:rPr>
                <w:sz w:val="20"/>
                <w:szCs w:val="20"/>
                <w:color w:val="auto"/>
              </w:rPr>
            </w:pPr>
            <w:r>
              <w:rPr>
                <w:rFonts w:ascii="Arial" w:cs="Arial" w:eastAsia="Arial" w:hAnsi="Arial"/>
                <w:sz w:val="18"/>
                <w:szCs w:val="18"/>
                <w:b w:val="1"/>
                <w:bCs w:val="1"/>
                <w:color w:val="auto"/>
              </w:rPr>
              <w:t>3,143</w:t>
            </w:r>
          </w:p>
        </w:tc>
        <w:tc>
          <w:tcPr>
            <w:tcW w:w="26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E5E5E5"/>
          </w:tcPr>
          <w:p>
            <w:pPr>
              <w:jc w:val="right"/>
              <w:ind w:right="135"/>
              <w:spacing w:after="0"/>
              <w:rPr>
                <w:sz w:val="20"/>
                <w:szCs w:val="20"/>
                <w:color w:val="auto"/>
              </w:rPr>
            </w:pPr>
            <w:r>
              <w:rPr>
                <w:rFonts w:ascii="Arial" w:cs="Arial" w:eastAsia="Arial" w:hAnsi="Arial"/>
                <w:sz w:val="18"/>
                <w:szCs w:val="18"/>
                <w:b w:val="1"/>
                <w:bCs w:val="1"/>
                <w:color w:val="auto"/>
              </w:rPr>
              <w:t>1,496</w:t>
            </w:r>
          </w:p>
        </w:tc>
        <w:tc>
          <w:tcPr>
            <w:tcW w:w="340" w:type="dxa"/>
            <w:vAlign w:val="bottom"/>
            <w:tcBorders>
              <w:bottom w:val="single" w:sz="8" w:color="auto"/>
            </w:tcBorders>
            <w:shd w:val="clear" w:color="auto" w:fill="E5E5E5"/>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shd w:val="clear" w:color="auto" w:fill="E5E5E5"/>
          </w:tcPr>
          <w:p>
            <w:pPr>
              <w:jc w:val="right"/>
              <w:ind w:right="36"/>
              <w:spacing w:after="0"/>
              <w:rPr>
                <w:sz w:val="20"/>
                <w:szCs w:val="20"/>
                <w:color w:val="auto"/>
              </w:rPr>
            </w:pPr>
            <w:r>
              <w:rPr>
                <w:rFonts w:ascii="Arial" w:cs="Arial" w:eastAsia="Arial" w:hAnsi="Arial"/>
                <w:sz w:val="18"/>
                <w:szCs w:val="18"/>
                <w:b w:val="1"/>
                <w:bCs w:val="1"/>
                <w:color w:val="auto"/>
              </w:rPr>
              <w:t>4,639</w:t>
            </w:r>
          </w:p>
        </w:tc>
        <w:tc>
          <w:tcPr>
            <w:tcW w:w="300" w:type="dxa"/>
            <w:vAlign w:val="bottom"/>
            <w:tcBorders>
              <w:bottom w:val="single" w:sz="8" w:color="E5E5E5"/>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b w:val="1"/>
                <w:bCs w:val="1"/>
                <w:color w:val="auto"/>
              </w:rPr>
              <w:t>$833</w:t>
            </w:r>
          </w:p>
        </w:tc>
        <w:tc>
          <w:tcPr>
            <w:tcW w:w="9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18.0%</w:t>
            </w:r>
          </w:p>
        </w:tc>
        <w:tc>
          <w:tcPr>
            <w:tcW w:w="0" w:type="dxa"/>
            <w:vAlign w:val="bottom"/>
          </w:tcPr>
          <w:p>
            <w:pPr>
              <w:spacing w:after="0"/>
              <w:rPr>
                <w:sz w:val="1"/>
                <w:szCs w:val="1"/>
                <w:color w:val="auto"/>
              </w:rPr>
            </w:pPr>
          </w:p>
        </w:tc>
      </w:tr>
      <w:tr>
        <w:trPr>
          <w:trHeight w:val="202"/>
        </w:trPr>
        <w:tc>
          <w:tcPr>
            <w:tcW w:w="3240" w:type="dxa"/>
            <w:vAlign w:val="bottom"/>
          </w:tcPr>
          <w:p>
            <w:pPr>
              <w:spacing w:after="0" w:line="201" w:lineRule="exact"/>
              <w:rPr>
                <w:sz w:val="20"/>
                <w:szCs w:val="20"/>
                <w:color w:val="auto"/>
              </w:rPr>
            </w:pPr>
            <w:r>
              <w:rPr>
                <w:rFonts w:ascii="Arial" w:cs="Arial" w:eastAsia="Arial" w:hAnsi="Arial"/>
                <w:sz w:val="18"/>
                <w:szCs w:val="18"/>
                <w:b w:val="1"/>
                <w:bCs w:val="1"/>
                <w:color w:val="auto"/>
                <w:w w:val="97"/>
              </w:rPr>
              <w:t>Operating Income Before Depreciation</w:t>
            </w:r>
          </w:p>
        </w:tc>
        <w:tc>
          <w:tcPr>
            <w:tcW w:w="4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220"/>
              <w:spacing w:after="0"/>
              <w:rPr>
                <w:sz w:val="20"/>
                <w:szCs w:val="20"/>
                <w:color w:val="auto"/>
              </w:rPr>
            </w:pPr>
            <w:r>
              <w:rPr>
                <w:rFonts w:ascii="Arial" w:cs="Arial" w:eastAsia="Arial" w:hAnsi="Arial"/>
                <w:sz w:val="18"/>
                <w:szCs w:val="18"/>
                <w:b w:val="1"/>
                <w:bCs w:val="1"/>
                <w:color w:val="auto"/>
              </w:rPr>
              <w:t>and Amortization</w:t>
            </w:r>
          </w:p>
        </w:tc>
        <w:tc>
          <w:tcPr>
            <w:tcW w:w="4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Cable Networks</w:t>
            </w: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0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805</w:t>
            </w:r>
          </w:p>
        </w:tc>
        <w:tc>
          <w:tcPr>
            <w:tcW w:w="320" w:type="dxa"/>
            <w:vAlign w:val="bottom"/>
            <w:shd w:val="clear" w:color="auto" w:fill="E5E5E5"/>
          </w:tcPr>
          <w:p>
            <w:pPr>
              <w:spacing w:after="0"/>
              <w:rPr>
                <w:sz w:val="18"/>
                <w:szCs w:val="18"/>
                <w:color w:val="auto"/>
              </w:rPr>
            </w:pPr>
          </w:p>
        </w:tc>
        <w:tc>
          <w:tcPr>
            <w:tcW w:w="460" w:type="dxa"/>
            <w:vAlign w:val="bottom"/>
            <w:shd w:val="clear" w:color="auto" w:fill="E5E5E5"/>
          </w:tcPr>
          <w:p>
            <w:pPr>
              <w:ind w:left="2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E5E5E5"/>
          </w:tcPr>
          <w:p>
            <w:pPr>
              <w:jc w:val="right"/>
              <w:ind w:right="115"/>
              <w:spacing w:after="0"/>
              <w:rPr>
                <w:sz w:val="20"/>
                <w:szCs w:val="20"/>
                <w:color w:val="auto"/>
              </w:rPr>
            </w:pPr>
            <w:r>
              <w:rPr>
                <w:rFonts w:ascii="Arial" w:cs="Arial" w:eastAsia="Arial" w:hAnsi="Arial"/>
                <w:sz w:val="18"/>
                <w:szCs w:val="18"/>
                <w:color w:val="auto"/>
              </w:rPr>
              <w:t>665</w:t>
            </w:r>
          </w:p>
        </w:tc>
        <w:tc>
          <w:tcPr>
            <w:tcW w:w="260" w:type="dxa"/>
            <w:vAlign w:val="bottom"/>
            <w:shd w:val="clear" w:color="auto" w:fill="E5E5E5"/>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E5E5E5"/>
          </w:tcPr>
          <w:p>
            <w:pPr>
              <w:jc w:val="right"/>
              <w:ind w:right="135"/>
              <w:spacing w:after="0"/>
              <w:rPr>
                <w:sz w:val="20"/>
                <w:szCs w:val="20"/>
                <w:color w:val="auto"/>
              </w:rPr>
            </w:pPr>
            <w:r>
              <w:rPr>
                <w:rFonts w:ascii="Arial" w:cs="Arial" w:eastAsia="Arial" w:hAnsi="Arial"/>
                <w:sz w:val="18"/>
                <w:szCs w:val="18"/>
                <w:color w:val="auto"/>
              </w:rPr>
              <w:t>152</w:t>
            </w:r>
          </w:p>
        </w:tc>
        <w:tc>
          <w:tcPr>
            <w:tcW w:w="340" w:type="dxa"/>
            <w:vAlign w:val="bottom"/>
            <w:shd w:val="clear" w:color="auto" w:fill="E5E5E5"/>
          </w:tcPr>
          <w:p>
            <w:pPr>
              <w:ind w:left="1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E5E5E5"/>
          </w:tcPr>
          <w:p>
            <w:pPr>
              <w:jc w:val="right"/>
              <w:ind w:right="36"/>
              <w:spacing w:after="0"/>
              <w:rPr>
                <w:sz w:val="20"/>
                <w:szCs w:val="20"/>
                <w:color w:val="auto"/>
              </w:rPr>
            </w:pPr>
            <w:r>
              <w:rPr>
                <w:rFonts w:ascii="Arial" w:cs="Arial" w:eastAsia="Arial" w:hAnsi="Arial"/>
                <w:sz w:val="18"/>
                <w:szCs w:val="18"/>
                <w:color w:val="auto"/>
              </w:rPr>
              <w:t>817</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16"/>
              <w:spacing w:after="0"/>
              <w:rPr>
                <w:sz w:val="20"/>
                <w:szCs w:val="20"/>
                <w:color w:val="auto"/>
              </w:rPr>
            </w:pPr>
            <w:r>
              <w:rPr>
                <w:rFonts w:ascii="Arial" w:cs="Arial" w:eastAsia="Arial" w:hAnsi="Arial"/>
                <w:sz w:val="18"/>
                <w:szCs w:val="18"/>
                <w:color w:val="auto"/>
              </w:rPr>
              <w:t>$ (12)</w:t>
            </w:r>
          </w:p>
        </w:tc>
        <w:tc>
          <w:tcPr>
            <w:tcW w:w="9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Broadcast Television</w:t>
            </w:r>
          </w:p>
        </w:tc>
        <w:tc>
          <w:tcPr>
            <w:tcW w:w="4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940" w:type="dxa"/>
            <w:vAlign w:val="bottom"/>
          </w:tcPr>
          <w:p>
            <w:pPr>
              <w:jc w:val="right"/>
              <w:ind w:right="75"/>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20</w:t>
            </w:r>
          </w:p>
        </w:tc>
        <w:tc>
          <w:tcPr>
            <w:tcW w:w="300" w:type="dxa"/>
            <w:vAlign w:val="bottom"/>
          </w:tcPr>
          <w:p>
            <w:pPr>
              <w:spacing w:after="0"/>
              <w:rPr>
                <w:sz w:val="18"/>
                <w:szCs w:val="18"/>
                <w:color w:val="auto"/>
              </w:rPr>
            </w:pPr>
          </w:p>
        </w:tc>
        <w:tc>
          <w:tcPr>
            <w:tcW w:w="900" w:type="dxa"/>
            <w:vAlign w:val="bottom"/>
          </w:tcPr>
          <w:p>
            <w:pPr>
              <w:jc w:val="right"/>
              <w:ind w:right="116"/>
              <w:spacing w:after="0"/>
              <w:rPr>
                <w:sz w:val="20"/>
                <w:szCs w:val="20"/>
                <w:color w:val="auto"/>
              </w:rPr>
            </w:pPr>
            <w:r>
              <w:rPr>
                <w:rFonts w:ascii="Arial" w:cs="Arial" w:eastAsia="Arial" w:hAnsi="Arial"/>
                <w:sz w:val="18"/>
                <w:szCs w:val="18"/>
                <w:color w:val="auto"/>
              </w:rPr>
              <w:t>(30)</w:t>
            </w:r>
          </w:p>
        </w:tc>
        <w:tc>
          <w:tcPr>
            <w:tcW w:w="900" w:type="dxa"/>
            <w:vAlign w:val="bottom"/>
          </w:tcPr>
          <w:p>
            <w:pPr>
              <w:jc w:val="right"/>
              <w:ind w:right="114"/>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3240" w:type="dxa"/>
            <w:vAlign w:val="bottom"/>
            <w:shd w:val="clear" w:color="auto" w:fill="E5E5E5"/>
          </w:tcPr>
          <w:p>
            <w:pPr>
              <w:ind w:left="440"/>
              <w:spacing w:after="0"/>
              <w:rPr>
                <w:sz w:val="20"/>
                <w:szCs w:val="20"/>
                <w:color w:val="auto"/>
              </w:rPr>
            </w:pPr>
            <w:r>
              <w:rPr>
                <w:rFonts w:ascii="Arial" w:cs="Arial" w:eastAsia="Arial" w:hAnsi="Arial"/>
                <w:sz w:val="18"/>
                <w:szCs w:val="18"/>
                <w:color w:val="auto"/>
              </w:rPr>
              <w:t>Filmed Entertainment</w:t>
            </w:r>
          </w:p>
        </w:tc>
        <w:tc>
          <w:tcPr>
            <w:tcW w:w="46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6"/>
              <w:spacing w:after="0"/>
              <w:rPr>
                <w:sz w:val="20"/>
                <w:szCs w:val="20"/>
                <w:color w:val="auto"/>
              </w:rPr>
            </w:pPr>
            <w:r>
              <w:rPr>
                <w:rFonts w:ascii="Arial" w:cs="Arial" w:eastAsia="Arial" w:hAnsi="Arial"/>
                <w:sz w:val="18"/>
                <w:szCs w:val="18"/>
                <w:color w:val="auto"/>
              </w:rPr>
              <w:t>6</w:t>
            </w:r>
          </w:p>
        </w:tc>
        <w:tc>
          <w:tcPr>
            <w:tcW w:w="320" w:type="dxa"/>
            <w:vAlign w:val="bottom"/>
            <w:shd w:val="clear" w:color="auto" w:fill="E5E5E5"/>
          </w:tcPr>
          <w:p>
            <w:pPr>
              <w:spacing w:after="0"/>
              <w:rPr>
                <w:sz w:val="18"/>
                <w:szCs w:val="18"/>
                <w:color w:val="auto"/>
              </w:rPr>
            </w:pPr>
          </w:p>
        </w:tc>
        <w:tc>
          <w:tcPr>
            <w:tcW w:w="460" w:type="dxa"/>
            <w:vAlign w:val="bottom"/>
            <w:shd w:val="clear" w:color="auto" w:fill="E5E5E5"/>
          </w:tcPr>
          <w:p>
            <w:pPr>
              <w:spacing w:after="0"/>
              <w:rPr>
                <w:sz w:val="18"/>
                <w:szCs w:val="18"/>
                <w:color w:val="auto"/>
              </w:rPr>
            </w:pPr>
          </w:p>
        </w:tc>
        <w:tc>
          <w:tcPr>
            <w:tcW w:w="116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75"/>
              <w:spacing w:after="0"/>
              <w:rPr>
                <w:sz w:val="20"/>
                <w:szCs w:val="20"/>
                <w:color w:val="auto"/>
              </w:rPr>
            </w:pPr>
            <w:r>
              <w:rPr>
                <w:rFonts w:ascii="Arial" w:cs="Arial" w:eastAsia="Arial" w:hAnsi="Arial"/>
                <w:sz w:val="18"/>
                <w:szCs w:val="18"/>
                <w:color w:val="auto"/>
              </w:rPr>
              <w:t>(3)</w:t>
            </w:r>
          </w:p>
        </w:tc>
        <w:tc>
          <w:tcPr>
            <w:tcW w:w="340" w:type="dxa"/>
            <w:vAlign w:val="bottom"/>
            <w:shd w:val="clear" w:color="auto" w:fill="E5E5E5"/>
          </w:tcPr>
          <w:p>
            <w:pPr>
              <w:spacing w:after="0"/>
              <w:rPr>
                <w:sz w:val="18"/>
                <w:szCs w:val="18"/>
                <w:color w:val="auto"/>
              </w:rPr>
            </w:pPr>
          </w:p>
        </w:tc>
        <w:tc>
          <w:tcPr>
            <w:tcW w:w="10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176"/>
              <w:spacing w:after="0"/>
              <w:rPr>
                <w:sz w:val="20"/>
                <w:szCs w:val="20"/>
                <w:color w:val="auto"/>
              </w:rPr>
            </w:pPr>
            <w:r>
              <w:rPr>
                <w:rFonts w:ascii="Arial" w:cs="Arial" w:eastAsia="Arial" w:hAnsi="Arial"/>
                <w:sz w:val="18"/>
                <w:szCs w:val="18"/>
                <w:color w:val="auto"/>
              </w:rPr>
              <w:t>152</w:t>
            </w:r>
          </w:p>
        </w:tc>
        <w:tc>
          <w:tcPr>
            <w:tcW w:w="900" w:type="dxa"/>
            <w:vAlign w:val="bottom"/>
            <w:shd w:val="clear" w:color="auto" w:fill="E5E5E5"/>
          </w:tcPr>
          <w:p>
            <w:pPr>
              <w:jc w:val="right"/>
              <w:ind w:right="174"/>
              <w:spacing w:after="0"/>
              <w:rPr>
                <w:sz w:val="20"/>
                <w:szCs w:val="20"/>
                <w:color w:val="auto"/>
              </w:rPr>
            </w:pPr>
            <w:r>
              <w:rPr>
                <w:rFonts w:ascii="Arial" w:cs="Arial" w:eastAsia="Arial" w:hAnsi="Arial"/>
                <w:sz w:val="18"/>
                <w:szCs w:val="18"/>
                <w:color w:val="auto"/>
              </w:rPr>
              <w:t>104.3</w:t>
            </w:r>
          </w:p>
        </w:tc>
        <w:tc>
          <w:tcPr>
            <w:tcW w:w="0" w:type="dxa"/>
            <w:vAlign w:val="bottom"/>
          </w:tcPr>
          <w:p>
            <w:pPr>
              <w:spacing w:after="0"/>
              <w:rPr>
                <w:sz w:val="1"/>
                <w:szCs w:val="1"/>
                <w:color w:val="auto"/>
              </w:rPr>
            </w:pPr>
          </w:p>
        </w:tc>
      </w:tr>
      <w:tr>
        <w:trPr>
          <w:trHeight w:val="216"/>
        </w:trPr>
        <w:tc>
          <w:tcPr>
            <w:tcW w:w="3240" w:type="dxa"/>
            <w:vAlign w:val="bottom"/>
          </w:tcPr>
          <w:p>
            <w:pPr>
              <w:ind w:left="440"/>
              <w:spacing w:after="0"/>
              <w:rPr>
                <w:sz w:val="20"/>
                <w:szCs w:val="20"/>
                <w:color w:val="auto"/>
              </w:rPr>
            </w:pPr>
            <w:r>
              <w:rPr>
                <w:rFonts w:ascii="Arial" w:cs="Arial" w:eastAsia="Arial" w:hAnsi="Arial"/>
                <w:sz w:val="18"/>
                <w:szCs w:val="18"/>
                <w:color w:val="auto"/>
              </w:rPr>
              <w:t>Theme Parks</w:t>
            </w:r>
          </w:p>
        </w:tc>
        <w:tc>
          <w:tcPr>
            <w:tcW w:w="460" w:type="dxa"/>
            <w:vAlign w:val="bottom"/>
          </w:tcPr>
          <w:p>
            <w:pPr>
              <w:spacing w:after="0"/>
              <w:rPr>
                <w:sz w:val="18"/>
                <w:szCs w:val="18"/>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157</w:t>
            </w: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160" w:type="dxa"/>
            <w:vAlign w:val="bottom"/>
          </w:tcPr>
          <w:p>
            <w:pPr>
              <w:jc w:val="right"/>
              <w:ind w:right="115"/>
              <w:spacing w:after="0"/>
              <w:rPr>
                <w:sz w:val="20"/>
                <w:szCs w:val="20"/>
                <w:color w:val="auto"/>
              </w:rPr>
            </w:pPr>
            <w:r>
              <w:rPr>
                <w:rFonts w:ascii="Arial" w:cs="Arial" w:eastAsia="Arial" w:hAnsi="Arial"/>
                <w:sz w:val="18"/>
                <w:szCs w:val="18"/>
                <w:color w:val="auto"/>
              </w:rPr>
              <w:t>97</w:t>
            </w:r>
          </w:p>
        </w:tc>
        <w:tc>
          <w:tcPr>
            <w:tcW w:w="260" w:type="dxa"/>
            <w:vAlign w:val="bottom"/>
          </w:tcPr>
          <w:p>
            <w:pPr>
              <w:spacing w:after="0"/>
              <w:rPr>
                <w:sz w:val="18"/>
                <w:szCs w:val="18"/>
                <w:color w:val="auto"/>
              </w:rPr>
            </w:pPr>
          </w:p>
        </w:tc>
        <w:tc>
          <w:tcPr>
            <w:tcW w:w="940" w:type="dxa"/>
            <w:vAlign w:val="bottom"/>
          </w:tcPr>
          <w:p>
            <w:pPr>
              <w:jc w:val="right"/>
              <w:ind w:right="135"/>
              <w:spacing w:after="0"/>
              <w:rPr>
                <w:sz w:val="20"/>
                <w:szCs w:val="20"/>
                <w:color w:val="auto"/>
              </w:rPr>
            </w:pPr>
            <w:r>
              <w:rPr>
                <w:rFonts w:ascii="Arial" w:cs="Arial" w:eastAsia="Arial" w:hAnsi="Arial"/>
                <w:sz w:val="18"/>
                <w:szCs w:val="18"/>
                <w:color w:val="auto"/>
              </w:rPr>
              <w:t>37</w:t>
            </w:r>
          </w:p>
        </w:tc>
        <w:tc>
          <w:tcPr>
            <w:tcW w:w="340" w:type="dxa"/>
            <w:vAlign w:val="bottom"/>
          </w:tcPr>
          <w:p>
            <w:pPr>
              <w:spacing w:after="0"/>
              <w:rPr>
                <w:sz w:val="18"/>
                <w:szCs w:val="18"/>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18"/>
                <w:szCs w:val="18"/>
                <w:color w:val="auto"/>
              </w:rPr>
            </w:pPr>
          </w:p>
        </w:tc>
        <w:tc>
          <w:tcPr>
            <w:tcW w:w="900" w:type="dxa"/>
            <w:vAlign w:val="bottom"/>
          </w:tcPr>
          <w:p>
            <w:pPr>
              <w:jc w:val="right"/>
              <w:ind w:right="176"/>
              <w:spacing w:after="0"/>
              <w:rPr>
                <w:sz w:val="20"/>
                <w:szCs w:val="20"/>
                <w:color w:val="auto"/>
              </w:rPr>
            </w:pPr>
            <w:r>
              <w:rPr>
                <w:rFonts w:ascii="Arial" w:cs="Arial" w:eastAsia="Arial" w:hAnsi="Arial"/>
                <w:sz w:val="18"/>
                <w:szCs w:val="18"/>
                <w:color w:val="auto"/>
              </w:rPr>
              <w:t>23</w:t>
            </w: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324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w w:val="94"/>
              </w:rPr>
              <w:t>Headquarters, other and eliminations</w:t>
            </w:r>
          </w:p>
        </w:tc>
        <w:tc>
          <w:tcPr>
            <w:tcW w:w="460" w:type="dxa"/>
            <w:vAlign w:val="bottom"/>
            <w:tcBorders>
              <w:bottom w:val="single" w:sz="8" w:color="auto"/>
            </w:tcBorders>
            <w:shd w:val="clear" w:color="auto" w:fill="E5E5E5"/>
          </w:tcPr>
          <w:p>
            <w:pPr>
              <w:spacing w:after="0"/>
              <w:rPr>
                <w:sz w:val="18"/>
                <w:szCs w:val="18"/>
                <w:color w:val="auto"/>
              </w:rPr>
            </w:pPr>
          </w:p>
        </w:tc>
        <w:tc>
          <w:tcPr>
            <w:tcW w:w="10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(145)</w:t>
            </w:r>
          </w:p>
        </w:tc>
        <w:tc>
          <w:tcPr>
            <w:tcW w:w="320" w:type="dxa"/>
            <w:vAlign w:val="bottom"/>
            <w:tcBorders>
              <w:bottom w:val="single" w:sz="8" w:color="E5E5E5"/>
            </w:tcBorders>
            <w:shd w:val="clear" w:color="auto" w:fill="E5E5E5"/>
          </w:tcPr>
          <w:p>
            <w:pPr>
              <w:spacing w:after="0"/>
              <w:rPr>
                <w:sz w:val="18"/>
                <w:szCs w:val="18"/>
                <w:color w:val="auto"/>
              </w:rPr>
            </w:pPr>
          </w:p>
        </w:tc>
        <w:tc>
          <w:tcPr>
            <w:tcW w:w="460" w:type="dxa"/>
            <w:vAlign w:val="bottom"/>
            <w:tcBorders>
              <w:bottom w:val="single" w:sz="8" w:color="auto"/>
            </w:tcBorders>
            <w:shd w:val="clear" w:color="auto" w:fill="E5E5E5"/>
          </w:tcPr>
          <w:p>
            <w:pPr>
              <w:spacing w:after="0"/>
              <w:rPr>
                <w:sz w:val="18"/>
                <w:szCs w:val="18"/>
                <w:color w:val="auto"/>
              </w:rPr>
            </w:pPr>
          </w:p>
        </w:tc>
        <w:tc>
          <w:tcPr>
            <w:tcW w:w="116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(196)</w:t>
            </w:r>
          </w:p>
        </w:tc>
        <w:tc>
          <w:tcPr>
            <w:tcW w:w="26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75"/>
              <w:spacing w:after="0"/>
              <w:rPr>
                <w:sz w:val="20"/>
                <w:szCs w:val="20"/>
                <w:color w:val="auto"/>
              </w:rPr>
            </w:pPr>
            <w:r>
              <w:rPr>
                <w:rFonts w:ascii="Arial" w:cs="Arial" w:eastAsia="Arial" w:hAnsi="Arial"/>
                <w:sz w:val="18"/>
                <w:szCs w:val="18"/>
                <w:color w:val="auto"/>
              </w:rPr>
              <w:t>(24)</w:t>
            </w:r>
          </w:p>
        </w:tc>
        <w:tc>
          <w:tcPr>
            <w:tcW w:w="340" w:type="dxa"/>
            <w:vAlign w:val="bottom"/>
            <w:tcBorders>
              <w:bottom w:val="single" w:sz="8" w:color="auto"/>
            </w:tcBorders>
            <w:shd w:val="clear" w:color="auto" w:fill="E5E5E5"/>
          </w:tcPr>
          <w:p>
            <w:pPr>
              <w:spacing w:after="0"/>
              <w:rPr>
                <w:sz w:val="18"/>
                <w:szCs w:val="18"/>
                <w:color w:val="auto"/>
              </w:rPr>
            </w:pPr>
          </w:p>
        </w:tc>
        <w:tc>
          <w:tcPr>
            <w:tcW w:w="10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(220)</w:t>
            </w:r>
          </w:p>
        </w:tc>
        <w:tc>
          <w:tcPr>
            <w:tcW w:w="300" w:type="dxa"/>
            <w:vAlign w:val="bottom"/>
            <w:tcBorders>
              <w:bottom w:val="single" w:sz="8" w:color="E5E5E5"/>
            </w:tcBorders>
            <w:shd w:val="clear" w:color="auto" w:fill="E5E5E5"/>
          </w:tcPr>
          <w:p>
            <w:pPr>
              <w:spacing w:after="0"/>
              <w:rPr>
                <w:sz w:val="18"/>
                <w:szCs w:val="18"/>
                <w:color w:val="auto"/>
              </w:rPr>
            </w:pPr>
          </w:p>
        </w:tc>
        <w:tc>
          <w:tcPr>
            <w:tcW w:w="900" w:type="dxa"/>
            <w:vAlign w:val="bottom"/>
            <w:tcBorders>
              <w:bottom w:val="single" w:sz="8" w:color="auto"/>
            </w:tcBorders>
            <w:shd w:val="clear" w:color="auto" w:fill="E5E5E5"/>
          </w:tcPr>
          <w:p>
            <w:pPr>
              <w:jc w:val="right"/>
              <w:ind w:right="176"/>
              <w:spacing w:after="0"/>
              <w:rPr>
                <w:sz w:val="20"/>
                <w:szCs w:val="20"/>
                <w:color w:val="auto"/>
              </w:rPr>
            </w:pPr>
            <w:r>
              <w:rPr>
                <w:rFonts w:ascii="Arial" w:cs="Arial" w:eastAsia="Arial" w:hAnsi="Arial"/>
                <w:sz w:val="18"/>
                <w:szCs w:val="18"/>
                <w:color w:val="auto"/>
              </w:rPr>
              <w:t>75</w:t>
            </w:r>
          </w:p>
        </w:tc>
        <w:tc>
          <w:tcPr>
            <w:tcW w:w="900" w:type="dxa"/>
            <w:vAlign w:val="bottom"/>
            <w:tcBorders>
              <w:bottom w:val="single" w:sz="8" w:color="auto"/>
            </w:tcBorders>
            <w:shd w:val="clear" w:color="auto" w:fill="E5E5E5"/>
          </w:tcPr>
          <w:p>
            <w:pPr>
              <w:jc w:val="right"/>
              <w:ind w:right="174"/>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195"/>
        </w:trPr>
        <w:tc>
          <w:tcPr>
            <w:tcW w:w="3240" w:type="dxa"/>
            <w:vAlign w:val="bottom"/>
          </w:tcPr>
          <w:p>
            <w:pPr>
              <w:spacing w:after="0" w:line="195" w:lineRule="exact"/>
              <w:rPr>
                <w:sz w:val="20"/>
                <w:szCs w:val="20"/>
                <w:color w:val="auto"/>
              </w:rPr>
            </w:pPr>
            <w:r>
              <w:rPr>
                <w:rFonts w:ascii="Arial" w:cs="Arial" w:eastAsia="Arial" w:hAnsi="Arial"/>
                <w:sz w:val="18"/>
                <w:szCs w:val="18"/>
                <w:b w:val="1"/>
                <w:bCs w:val="1"/>
                <w:color w:val="auto"/>
                <w:w w:val="86"/>
              </w:rPr>
              <w:t>Total operating income before depreciation</w:t>
            </w:r>
          </w:p>
        </w:tc>
        <w:tc>
          <w:tcPr>
            <w:tcW w:w="4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4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and amortization</w:t>
            </w: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813</w:t>
            </w:r>
          </w:p>
        </w:tc>
        <w:tc>
          <w:tcPr>
            <w:tcW w:w="320" w:type="dxa"/>
            <w:vAlign w:val="bottom"/>
          </w:tcPr>
          <w:p>
            <w:pPr>
              <w:spacing w:after="0"/>
              <w:rPr>
                <w:sz w:val="20"/>
                <w:szCs w:val="20"/>
                <w:color w:val="auto"/>
              </w:rPr>
            </w:pPr>
          </w:p>
        </w:tc>
        <w:tc>
          <w:tcPr>
            <w:tcW w:w="4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115"/>
              <w:spacing w:after="0"/>
              <w:rPr>
                <w:sz w:val="20"/>
                <w:szCs w:val="20"/>
                <w:color w:val="auto"/>
              </w:rPr>
            </w:pPr>
            <w:r>
              <w:rPr>
                <w:rFonts w:ascii="Arial" w:cs="Arial" w:eastAsia="Arial" w:hAnsi="Arial"/>
                <w:sz w:val="18"/>
                <w:szCs w:val="18"/>
                <w:b w:val="1"/>
                <w:bCs w:val="1"/>
                <w:color w:val="auto"/>
              </w:rPr>
              <w:t>458</w:t>
            </w:r>
          </w:p>
        </w:tc>
        <w:tc>
          <w:tcPr>
            <w:tcW w:w="26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b w:val="1"/>
                <w:bCs w:val="1"/>
                <w:color w:val="auto"/>
              </w:rPr>
              <w:t>147</w:t>
            </w:r>
          </w:p>
        </w:tc>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w:t>
            </w:r>
          </w:p>
        </w:tc>
        <w:tc>
          <w:tcPr>
            <w:tcW w:w="10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605</w:t>
            </w:r>
          </w:p>
        </w:tc>
        <w:tc>
          <w:tcPr>
            <w:tcW w:w="300" w:type="dxa"/>
            <w:vAlign w:val="bottom"/>
          </w:tcPr>
          <w:p>
            <w:pPr>
              <w:spacing w:after="0"/>
              <w:rPr>
                <w:sz w:val="20"/>
                <w:szCs w:val="20"/>
                <w:color w:val="auto"/>
              </w:rPr>
            </w:pPr>
          </w:p>
        </w:tc>
        <w:tc>
          <w:tcPr>
            <w:tcW w:w="900" w:type="dxa"/>
            <w:vAlign w:val="bottom"/>
            <w:tcBorders>
              <w:bottom w:val="single" w:sz="8" w:color="auto"/>
            </w:tcBorders>
          </w:tcPr>
          <w:p>
            <w:pPr>
              <w:jc w:val="right"/>
              <w:ind w:right="176"/>
              <w:spacing w:after="0"/>
              <w:rPr>
                <w:sz w:val="20"/>
                <w:szCs w:val="20"/>
                <w:color w:val="auto"/>
              </w:rPr>
            </w:pPr>
            <w:r>
              <w:rPr>
                <w:rFonts w:ascii="Arial" w:cs="Arial" w:eastAsia="Arial" w:hAnsi="Arial"/>
                <w:sz w:val="18"/>
                <w:szCs w:val="18"/>
                <w:b w:val="1"/>
                <w:bCs w:val="1"/>
                <w:color w:val="auto"/>
              </w:rPr>
              <w:t>$208</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34.3%</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0"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Actual amounts include the results of operations of the businesses we contributed to NBCUniversal for the three months ended March 31, 2012 and 2011, as well as the results of operations for the NBCUniversal acquired businesses and Universal Orlando for the three months ended March 31, 2012 and for the period January 29, 2011 through March 31, 2011. Headquarters, other and eliminations includes the elimination of the results of operations for Universal Orlando for the period January 29, 2011 through March 31, 2011 in order to reconcile to our condensed consolidated financial statements because Universal Orlando was recorded as an equity method investment during that period.</w:t>
      </w:r>
    </w:p>
    <w:p>
      <w:pPr>
        <w:spacing w:after="0" w:line="44"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other pro forma adjustments that include the effects of acquisition accounting.</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Networks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color w:val="auto"/>
                <w:w w:val="83"/>
              </w:rPr>
              <w:t>2012</w:t>
            </w:r>
          </w:p>
        </w:tc>
        <w:tc>
          <w:tcPr>
            <w:tcW w:w="32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color w:val="auto"/>
                <w:w w:val="83"/>
              </w:rPr>
              <w:t>2011</w:t>
            </w:r>
          </w:p>
        </w:tc>
        <w:tc>
          <w:tcPr>
            <w:tcW w:w="3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Increase/</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60" w:type="dxa"/>
            <w:vAlign w:val="bottom"/>
            <w:gridSpan w:val="2"/>
            <w:vMerge w:val="restart"/>
          </w:tcPr>
          <w:p>
            <w:pPr>
              <w:jc w:val="center"/>
              <w:ind w:right="64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480" w:type="dxa"/>
            <w:vAlign w:val="bottom"/>
          </w:tcPr>
          <w:p>
            <w:pPr>
              <w:spacing w:after="0"/>
              <w:rPr>
                <w:sz w:val="11"/>
                <w:szCs w:val="11"/>
                <w:color w:val="auto"/>
              </w:rPr>
            </w:pPr>
          </w:p>
        </w:tc>
        <w:tc>
          <w:tcPr>
            <w:tcW w:w="1140" w:type="dxa"/>
            <w:vAlign w:val="bottom"/>
            <w:vMerge w:val="restart"/>
          </w:tcPr>
          <w:p>
            <w:pPr>
              <w:jc w:val="right"/>
              <w:ind w:right="437"/>
              <w:spacing w:after="0"/>
              <w:rPr>
                <w:sz w:val="20"/>
                <w:szCs w:val="20"/>
                <w:color w:val="auto"/>
              </w:rPr>
            </w:pPr>
            <w:r>
              <w:rPr>
                <w:rFonts w:ascii="Arial" w:cs="Arial" w:eastAsia="Arial" w:hAnsi="Arial"/>
                <w:sz w:val="14"/>
                <w:szCs w:val="14"/>
                <w:color w:val="auto"/>
              </w:rPr>
              <w:t>Actual</w:t>
            </w:r>
            <w:r>
              <w:rPr>
                <w:rFonts w:ascii="Arial" w:cs="Arial" w:eastAsia="Arial" w:hAnsi="Arial"/>
                <w:sz w:val="22"/>
                <w:szCs w:val="22"/>
                <w:color w:val="auto"/>
                <w:vertAlign w:val="superscript"/>
              </w:rPr>
              <w:t>(a)</w:t>
            </w:r>
          </w:p>
        </w:tc>
        <w:tc>
          <w:tcPr>
            <w:tcW w:w="118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380" w:type="dxa"/>
            <w:vAlign w:val="bottom"/>
          </w:tcPr>
          <w:p>
            <w:pPr>
              <w:spacing w:after="0"/>
              <w:rPr>
                <w:sz w:val="11"/>
                <w:szCs w:val="11"/>
                <w:color w:val="auto"/>
              </w:rPr>
            </w:pPr>
          </w:p>
        </w:tc>
        <w:tc>
          <w:tcPr>
            <w:tcW w:w="1060" w:type="dxa"/>
            <w:vAlign w:val="bottom"/>
          </w:tcPr>
          <w:p>
            <w:pPr>
              <w:jc w:val="center"/>
              <w:ind w:right="199"/>
              <w:spacing w:after="0" w:line="131" w:lineRule="exact"/>
              <w:rPr>
                <w:sz w:val="20"/>
                <w:szCs w:val="20"/>
                <w:color w:val="auto"/>
              </w:rPr>
            </w:pPr>
            <w:r>
              <w:rPr>
                <w:rFonts w:ascii="Arial" w:cs="Arial" w:eastAsia="Arial" w:hAnsi="Arial"/>
                <w:sz w:val="14"/>
                <w:szCs w:val="14"/>
                <w:color w:val="auto"/>
                <w:w w:val="87"/>
              </w:rPr>
              <w:t>Pro Forma</w:t>
            </w:r>
          </w:p>
        </w:tc>
        <w:tc>
          <w:tcPr>
            <w:tcW w:w="3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60" w:type="dxa"/>
            <w:vAlign w:val="bottom"/>
            <w:gridSpan w:val="2"/>
            <w:vMerge w:val="continue"/>
          </w:tcPr>
          <w:p>
            <w:pPr>
              <w:spacing w:after="0"/>
              <w:rPr>
                <w:sz w:val="13"/>
                <w:szCs w:val="13"/>
                <w:color w:val="auto"/>
              </w:rPr>
            </w:pPr>
          </w:p>
        </w:tc>
        <w:tc>
          <w:tcPr>
            <w:tcW w:w="48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7"/>
              </w:rPr>
              <w:t>Combined</w:t>
            </w:r>
          </w:p>
        </w:tc>
        <w:tc>
          <w:tcPr>
            <w:tcW w:w="1720" w:type="dxa"/>
            <w:vAlign w:val="bottom"/>
            <w:gridSpan w:val="2"/>
          </w:tcPr>
          <w:p>
            <w:pPr>
              <w:jc w:val="right"/>
              <w:ind w:right="475"/>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3280" w:type="dxa"/>
            <w:vAlign w:val="bottom"/>
          </w:tcPr>
          <w:p>
            <w:pPr>
              <w:spacing w:after="0"/>
              <w:rPr>
                <w:sz w:val="11"/>
                <w:szCs w:val="11"/>
                <w:color w:val="auto"/>
              </w:rPr>
            </w:pPr>
          </w:p>
        </w:tc>
        <w:tc>
          <w:tcPr>
            <w:tcW w:w="1540" w:type="dxa"/>
            <w:vAlign w:val="bottom"/>
            <w:tcBorders>
              <w:top w:val="single" w:sz="8" w:color="auto"/>
            </w:tcBorders>
            <w:gridSpan w:val="2"/>
          </w:tcPr>
          <w:p>
            <w:pPr>
              <w:jc w:val="center"/>
              <w:ind w:left="119"/>
              <w:spacing w:after="0" w:line="131" w:lineRule="exact"/>
              <w:rPr>
                <w:sz w:val="20"/>
                <w:szCs w:val="20"/>
                <w:color w:val="auto"/>
              </w:rPr>
            </w:pPr>
            <w:r>
              <w:rPr>
                <w:rFonts w:ascii="Arial" w:cs="Arial" w:eastAsia="Arial" w:hAnsi="Arial"/>
                <w:sz w:val="14"/>
                <w:szCs w:val="14"/>
                <w:color w:val="auto"/>
                <w:w w:val="87"/>
              </w:rPr>
              <w:t>Three Months Ended</w:t>
            </w:r>
          </w:p>
        </w:tc>
        <w:tc>
          <w:tcPr>
            <w:tcW w:w="320" w:type="dxa"/>
            <w:vAlign w:val="bottom"/>
          </w:tcPr>
          <w:p>
            <w:pPr>
              <w:spacing w:after="0"/>
              <w:rPr>
                <w:sz w:val="11"/>
                <w:szCs w:val="11"/>
                <w:color w:val="auto"/>
              </w:rPr>
            </w:pPr>
          </w:p>
        </w:tc>
        <w:tc>
          <w:tcPr>
            <w:tcW w:w="1620" w:type="dxa"/>
            <w:vAlign w:val="bottom"/>
            <w:tcBorders>
              <w:top w:val="single" w:sz="8" w:color="auto"/>
            </w:tcBorders>
            <w:gridSpan w:val="2"/>
          </w:tcPr>
          <w:p>
            <w:pPr>
              <w:ind w:left="280"/>
              <w:spacing w:after="0" w:line="131" w:lineRule="exact"/>
              <w:rPr>
                <w:sz w:val="20"/>
                <w:szCs w:val="20"/>
                <w:color w:val="auto"/>
              </w:rPr>
            </w:pPr>
            <w:r>
              <w:rPr>
                <w:rFonts w:ascii="Arial" w:cs="Arial" w:eastAsia="Arial" w:hAnsi="Arial"/>
                <w:sz w:val="14"/>
                <w:szCs w:val="14"/>
                <w:color w:val="auto"/>
              </w:rPr>
              <w:t>Three Months Ended</w:t>
            </w:r>
          </w:p>
        </w:tc>
        <w:tc>
          <w:tcPr>
            <w:tcW w:w="1180" w:type="dxa"/>
            <w:vAlign w:val="bottom"/>
            <w:tcBorders>
              <w:top w:val="single" w:sz="8" w:color="auto"/>
            </w:tcBorders>
            <w:gridSpan w:val="2"/>
          </w:tcPr>
          <w:p>
            <w:pPr>
              <w:jc w:val="center"/>
              <w:spacing w:after="0" w:line="131" w:lineRule="exact"/>
              <w:rPr>
                <w:sz w:val="20"/>
                <w:szCs w:val="20"/>
                <w:color w:val="auto"/>
              </w:rPr>
            </w:pPr>
            <w:r>
              <w:rPr>
                <w:rFonts w:ascii="Arial" w:cs="Arial" w:eastAsia="Arial" w:hAnsi="Arial"/>
                <w:sz w:val="14"/>
                <w:szCs w:val="14"/>
                <w:color w:val="auto"/>
                <w:w w:val="90"/>
              </w:rPr>
              <w:t>NBCUniversal</w:t>
            </w:r>
          </w:p>
        </w:tc>
        <w:tc>
          <w:tcPr>
            <w:tcW w:w="1440" w:type="dxa"/>
            <w:vAlign w:val="bottom"/>
            <w:tcBorders>
              <w:top w:val="single" w:sz="8" w:color="auto"/>
            </w:tcBorders>
            <w:gridSpan w:val="2"/>
          </w:tcPr>
          <w:p>
            <w:pPr>
              <w:jc w:val="center"/>
              <w:ind w:left="19"/>
              <w:spacing w:after="0" w:line="131" w:lineRule="exact"/>
              <w:rPr>
                <w:sz w:val="20"/>
                <w:szCs w:val="20"/>
                <w:color w:val="auto"/>
              </w:rPr>
            </w:pPr>
            <w:r>
              <w:rPr>
                <w:rFonts w:ascii="Arial" w:cs="Arial" w:eastAsia="Arial" w:hAnsi="Arial"/>
                <w:sz w:val="14"/>
                <w:szCs w:val="14"/>
                <w:color w:val="auto"/>
                <w:w w:val="87"/>
              </w:rPr>
              <w:t>Three Months Ended</w:t>
            </w:r>
          </w:p>
        </w:tc>
        <w:tc>
          <w:tcPr>
            <w:tcW w:w="32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28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3"/>
                <w:szCs w:val="13"/>
                <w:color w:val="auto"/>
              </w:rPr>
            </w:pPr>
          </w:p>
        </w:tc>
        <w:tc>
          <w:tcPr>
            <w:tcW w:w="136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9"/>
              </w:rPr>
              <w:t>March 31</w:t>
            </w:r>
          </w:p>
        </w:tc>
        <w:tc>
          <w:tcPr>
            <w:tcW w:w="480" w:type="dxa"/>
            <w:vAlign w:val="bottom"/>
          </w:tcPr>
          <w:p>
            <w:pPr>
              <w:spacing w:after="0"/>
              <w:rPr>
                <w:sz w:val="13"/>
                <w:szCs w:val="13"/>
                <w:color w:val="auto"/>
              </w:rPr>
            </w:pPr>
          </w:p>
        </w:tc>
        <w:tc>
          <w:tcPr>
            <w:tcW w:w="1140" w:type="dxa"/>
            <w:vAlign w:val="bottom"/>
          </w:tcPr>
          <w:p>
            <w:pPr>
              <w:jc w:val="right"/>
              <w:ind w:right="417"/>
              <w:spacing w:after="0" w:line="159" w:lineRule="exact"/>
              <w:rPr>
                <w:sz w:val="20"/>
                <w:szCs w:val="20"/>
                <w:color w:val="auto"/>
              </w:rPr>
            </w:pPr>
            <w:r>
              <w:rPr>
                <w:rFonts w:ascii="Arial" w:cs="Arial" w:eastAsia="Arial" w:hAnsi="Arial"/>
                <w:sz w:val="14"/>
                <w:szCs w:val="14"/>
                <w:color w:val="auto"/>
              </w:rPr>
              <w:t>March 31</w:t>
            </w:r>
          </w:p>
        </w:tc>
        <w:tc>
          <w:tcPr>
            <w:tcW w:w="280" w:type="dxa"/>
            <w:vAlign w:val="bottom"/>
          </w:tcPr>
          <w:p>
            <w:pPr>
              <w:spacing w:after="0"/>
              <w:rPr>
                <w:sz w:val="13"/>
                <w:szCs w:val="13"/>
                <w:color w:val="auto"/>
              </w:rPr>
            </w:pPr>
          </w:p>
        </w:tc>
        <w:tc>
          <w:tcPr>
            <w:tcW w:w="900" w:type="dxa"/>
            <w:vAlign w:val="bottom"/>
          </w:tcPr>
          <w:p>
            <w:pPr>
              <w:jc w:val="center"/>
              <w:ind w:right="177"/>
              <w:spacing w:after="0" w:line="159" w:lineRule="exact"/>
              <w:rPr>
                <w:sz w:val="20"/>
                <w:szCs w:val="20"/>
                <w:color w:val="auto"/>
              </w:rPr>
            </w:pPr>
            <w:r>
              <w:rPr>
                <w:rFonts w:ascii="Arial" w:cs="Arial" w:eastAsia="Arial" w:hAnsi="Arial"/>
                <w:sz w:val="14"/>
                <w:szCs w:val="14"/>
                <w:color w:val="auto"/>
                <w:w w:val="83"/>
              </w:rPr>
              <w:t>Businesses</w:t>
            </w:r>
          </w:p>
        </w:tc>
        <w:tc>
          <w:tcPr>
            <w:tcW w:w="380" w:type="dxa"/>
            <w:vAlign w:val="bottom"/>
          </w:tcPr>
          <w:p>
            <w:pPr>
              <w:spacing w:after="0"/>
              <w:rPr>
                <w:sz w:val="13"/>
                <w:szCs w:val="13"/>
                <w:color w:val="auto"/>
              </w:rPr>
            </w:pPr>
          </w:p>
        </w:tc>
        <w:tc>
          <w:tcPr>
            <w:tcW w:w="1380" w:type="dxa"/>
            <w:vAlign w:val="bottom"/>
            <w:gridSpan w:val="2"/>
          </w:tcPr>
          <w:p>
            <w:pPr>
              <w:jc w:val="center"/>
              <w:ind w:right="580"/>
              <w:spacing w:after="0" w:line="159" w:lineRule="exact"/>
              <w:rPr>
                <w:sz w:val="20"/>
                <w:szCs w:val="20"/>
                <w:color w:val="auto"/>
              </w:rPr>
            </w:pPr>
            <w:r>
              <w:rPr>
                <w:rFonts w:ascii="Arial" w:cs="Arial" w:eastAsia="Arial" w:hAnsi="Arial"/>
                <w:sz w:val="14"/>
                <w:szCs w:val="14"/>
                <w:color w:val="auto"/>
                <w:w w:val="89"/>
              </w:rPr>
              <w:t>March 31</w:t>
            </w:r>
          </w:p>
        </w:tc>
        <w:tc>
          <w:tcPr>
            <w:tcW w:w="1120" w:type="dxa"/>
            <w:vAlign w:val="bottom"/>
          </w:tcPr>
          <w:p>
            <w:pPr>
              <w:jc w:val="right"/>
              <w:ind w:right="539"/>
              <w:spacing w:after="0" w:line="15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33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500" w:type="dxa"/>
            <w:vAlign w:val="bottom"/>
            <w:tcBorders>
              <w:top w:val="single" w:sz="8" w:color="auto"/>
            </w:tcBorders>
            <w:shd w:val="clear" w:color="auto" w:fill="E5E5E5"/>
          </w:tcPr>
          <w:p>
            <w:pPr>
              <w:spacing w:after="0"/>
              <w:rPr>
                <w:sz w:val="18"/>
                <w:szCs w:val="18"/>
                <w:color w:val="auto"/>
              </w:rPr>
            </w:pPr>
          </w:p>
        </w:tc>
        <w:tc>
          <w:tcPr>
            <w:tcW w:w="104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480" w:type="dxa"/>
            <w:vAlign w:val="bottom"/>
            <w:tcBorders>
              <w:top w:val="single" w:sz="8" w:color="auto"/>
            </w:tcBorders>
            <w:shd w:val="clear" w:color="auto" w:fill="E5E5E5"/>
          </w:tcPr>
          <w:p>
            <w:pPr>
              <w:spacing w:after="0"/>
              <w:rPr>
                <w:sz w:val="18"/>
                <w:szCs w:val="18"/>
                <w:color w:val="auto"/>
              </w:rPr>
            </w:pPr>
          </w:p>
        </w:tc>
        <w:tc>
          <w:tcPr>
            <w:tcW w:w="11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90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auto"/>
            </w:tcBorders>
            <w:shd w:val="clear" w:color="auto" w:fill="E5E5E5"/>
          </w:tcPr>
          <w:p>
            <w:pPr>
              <w:spacing w:after="0"/>
              <w:rPr>
                <w:sz w:val="18"/>
                <w:szCs w:val="18"/>
                <w:color w:val="auto"/>
              </w:rPr>
            </w:pPr>
          </w:p>
        </w:tc>
        <w:tc>
          <w:tcPr>
            <w:tcW w:w="106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1120" w:type="dxa"/>
            <w:vAlign w:val="bottom"/>
            <w:tcBorders>
              <w:top w:val="single" w:sz="8" w:color="auto"/>
            </w:tcBorders>
            <w:shd w:val="clear" w:color="auto" w:fill="E5E5E5"/>
          </w:tcPr>
          <w:p>
            <w:pPr>
              <w:spacing w:after="0"/>
              <w:rPr>
                <w:sz w:val="18"/>
                <w:szCs w:val="18"/>
                <w:color w:val="auto"/>
              </w:rPr>
            </w:pPr>
          </w:p>
        </w:tc>
        <w:tc>
          <w:tcPr>
            <w:tcW w:w="60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440"/>
              <w:spacing w:after="0"/>
              <w:rPr>
                <w:sz w:val="20"/>
                <w:szCs w:val="20"/>
                <w:color w:val="auto"/>
              </w:rPr>
            </w:pPr>
            <w:r>
              <w:rPr>
                <w:rFonts w:ascii="Arial" w:cs="Arial" w:eastAsia="Arial" w:hAnsi="Arial"/>
                <w:sz w:val="18"/>
                <w:szCs w:val="18"/>
                <w:color w:val="auto"/>
              </w:rPr>
              <w:t>Distribution</w:t>
            </w:r>
          </w:p>
        </w:tc>
        <w:tc>
          <w:tcPr>
            <w:tcW w:w="500" w:type="dxa"/>
            <w:vAlign w:val="bottom"/>
          </w:tcPr>
          <w:p>
            <w:pPr>
              <w:jc w:val="right"/>
              <w:ind w:right="39"/>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1,143</w:t>
            </w:r>
          </w:p>
        </w:tc>
        <w:tc>
          <w:tcPr>
            <w:tcW w:w="320" w:type="dxa"/>
            <w:vAlign w:val="bottom"/>
          </w:tcPr>
          <w:p>
            <w:pPr>
              <w:spacing w:after="0"/>
              <w:rPr>
                <w:sz w:val="18"/>
                <w:szCs w:val="18"/>
                <w:color w:val="auto"/>
              </w:rPr>
            </w:pPr>
          </w:p>
        </w:tc>
        <w:tc>
          <w:tcPr>
            <w:tcW w:w="480" w:type="dxa"/>
            <w:vAlign w:val="bottom"/>
          </w:tcPr>
          <w:p>
            <w:pPr>
              <w:ind w:left="2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97"/>
              <w:spacing w:after="0"/>
              <w:rPr>
                <w:sz w:val="20"/>
                <w:szCs w:val="20"/>
                <w:color w:val="auto"/>
              </w:rPr>
            </w:pPr>
            <w:r>
              <w:rPr>
                <w:rFonts w:ascii="Arial" w:cs="Arial" w:eastAsia="Arial" w:hAnsi="Arial"/>
                <w:sz w:val="18"/>
                <w:szCs w:val="18"/>
                <w:color w:val="auto"/>
              </w:rPr>
              <w:t>913</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97"/>
              <w:spacing w:after="0"/>
              <w:rPr>
                <w:sz w:val="20"/>
                <w:szCs w:val="20"/>
                <w:color w:val="auto"/>
              </w:rPr>
            </w:pPr>
            <w:r>
              <w:rPr>
                <w:rFonts w:ascii="Arial" w:cs="Arial" w:eastAsia="Arial" w:hAnsi="Arial"/>
                <w:sz w:val="18"/>
                <w:szCs w:val="18"/>
                <w:color w:val="auto"/>
              </w:rPr>
              <w:t>188</w:t>
            </w:r>
          </w:p>
        </w:tc>
        <w:tc>
          <w:tcPr>
            <w:tcW w:w="380" w:type="dxa"/>
            <w:vAlign w:val="bottom"/>
          </w:tcPr>
          <w:p>
            <w:pPr>
              <w:jc w:val="right"/>
              <w:ind w:right="19"/>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1,101</w:t>
            </w:r>
          </w:p>
        </w:tc>
        <w:tc>
          <w:tcPr>
            <w:tcW w:w="320" w:type="dxa"/>
            <w:vAlign w:val="bottom"/>
          </w:tcPr>
          <w:p>
            <w:pPr>
              <w:spacing w:after="0"/>
              <w:rPr>
                <w:sz w:val="18"/>
                <w:szCs w:val="18"/>
                <w:color w:val="auto"/>
              </w:rPr>
            </w:pPr>
          </w:p>
        </w:tc>
        <w:tc>
          <w:tcPr>
            <w:tcW w:w="1120" w:type="dxa"/>
            <w:vAlign w:val="bottom"/>
          </w:tcPr>
          <w:p>
            <w:pPr>
              <w:jc w:val="right"/>
              <w:ind w:right="379"/>
              <w:spacing w:after="0"/>
              <w:rPr>
                <w:sz w:val="20"/>
                <w:szCs w:val="20"/>
                <w:color w:val="auto"/>
              </w:rPr>
            </w:pPr>
            <w:r>
              <w:rPr>
                <w:rFonts w:ascii="Arial" w:cs="Arial" w:eastAsia="Arial" w:hAnsi="Arial"/>
                <w:sz w:val="18"/>
                <w:szCs w:val="18"/>
                <w:color w:val="auto"/>
              </w:rPr>
              <w:t>$ 42</w:t>
            </w:r>
          </w:p>
        </w:tc>
        <w:tc>
          <w:tcPr>
            <w:tcW w:w="600" w:type="dxa"/>
            <w:vAlign w:val="bottom"/>
          </w:tcPr>
          <w:p>
            <w:pPr>
              <w:jc w:val="right"/>
              <w:ind w:right="55"/>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3280" w:type="dxa"/>
            <w:vAlign w:val="bottom"/>
            <w:shd w:val="clear" w:color="auto" w:fill="E5E5E5"/>
          </w:tcPr>
          <w:p>
            <w:pPr>
              <w:ind w:left="440"/>
              <w:spacing w:after="0"/>
              <w:rPr>
                <w:sz w:val="20"/>
                <w:szCs w:val="20"/>
                <w:color w:val="auto"/>
              </w:rPr>
            </w:pPr>
            <w:r>
              <w:rPr>
                <w:rFonts w:ascii="Arial" w:cs="Arial" w:eastAsia="Arial" w:hAnsi="Arial"/>
                <w:sz w:val="18"/>
                <w:szCs w:val="18"/>
                <w:color w:val="auto"/>
              </w:rPr>
              <w:t>Advertising</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814</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607</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162</w:t>
            </w:r>
          </w:p>
        </w:tc>
        <w:tc>
          <w:tcPr>
            <w:tcW w:w="3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769</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379"/>
              <w:spacing w:after="0"/>
              <w:rPr>
                <w:sz w:val="20"/>
                <w:szCs w:val="20"/>
                <w:color w:val="auto"/>
              </w:rPr>
            </w:pPr>
            <w:r>
              <w:rPr>
                <w:rFonts w:ascii="Arial" w:cs="Arial" w:eastAsia="Arial" w:hAnsi="Arial"/>
                <w:sz w:val="18"/>
                <w:szCs w:val="18"/>
                <w:color w:val="auto"/>
              </w:rPr>
              <w:t>45</w:t>
            </w:r>
          </w:p>
        </w:tc>
        <w:tc>
          <w:tcPr>
            <w:tcW w:w="6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E5E5E5"/>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112</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38</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150</w:t>
            </w:r>
          </w:p>
        </w:tc>
        <w:tc>
          <w:tcPr>
            <w:tcW w:w="320" w:type="dxa"/>
            <w:vAlign w:val="bottom"/>
            <w:tcBorders>
              <w:bottom w:val="single" w:sz="8" w:color="E5E5E5"/>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31</w:t>
            </w: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5"/>
              </w:rPr>
              <w:t>20.5</w:t>
            </w:r>
          </w:p>
        </w:tc>
        <w:tc>
          <w:tcPr>
            <w:tcW w:w="0" w:type="dxa"/>
            <w:vAlign w:val="bottom"/>
          </w:tcPr>
          <w:p>
            <w:pPr>
              <w:spacing w:after="0"/>
              <w:rPr>
                <w:sz w:val="1"/>
                <w:szCs w:val="1"/>
                <w:color w:val="auto"/>
              </w:rPr>
            </w:pPr>
          </w:p>
        </w:tc>
      </w:tr>
      <w:tr>
        <w:trPr>
          <w:trHeight w:val="210"/>
        </w:trPr>
        <w:tc>
          <w:tcPr>
            <w:tcW w:w="328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500" w:type="dxa"/>
            <w:vAlign w:val="bottom"/>
            <w:shd w:val="clear" w:color="auto" w:fill="E5E5E5"/>
          </w:tcPr>
          <w:p>
            <w:pPr>
              <w:spacing w:after="0"/>
              <w:rPr>
                <w:sz w:val="18"/>
                <w:szCs w:val="18"/>
                <w:color w:val="auto"/>
              </w:rPr>
            </w:pPr>
          </w:p>
        </w:tc>
        <w:tc>
          <w:tcPr>
            <w:tcW w:w="104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2,138</w:t>
            </w:r>
          </w:p>
        </w:tc>
        <w:tc>
          <w:tcPr>
            <w:tcW w:w="320" w:type="dxa"/>
            <w:vAlign w:val="bottom"/>
            <w:shd w:val="clear" w:color="auto" w:fill="E5E5E5"/>
          </w:tcPr>
          <w:p>
            <w:pPr>
              <w:spacing w:after="0"/>
              <w:rPr>
                <w:sz w:val="18"/>
                <w:szCs w:val="18"/>
                <w:color w:val="auto"/>
              </w:rPr>
            </w:pPr>
          </w:p>
        </w:tc>
        <w:tc>
          <w:tcPr>
            <w:tcW w:w="480" w:type="dxa"/>
            <w:vAlign w:val="bottom"/>
            <w:shd w:val="clear" w:color="auto" w:fill="E5E5E5"/>
          </w:tcPr>
          <w:p>
            <w:pPr>
              <w:spacing w:after="0"/>
              <w:rPr>
                <w:sz w:val="18"/>
                <w:szCs w:val="18"/>
                <w:color w:val="auto"/>
              </w:rPr>
            </w:pPr>
          </w:p>
        </w:tc>
        <w:tc>
          <w:tcPr>
            <w:tcW w:w="114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E5E5E5"/>
          </w:tcPr>
          <w:p>
            <w:pPr>
              <w:spacing w:after="0"/>
              <w:rPr>
                <w:sz w:val="18"/>
                <w:szCs w:val="18"/>
                <w:color w:val="auto"/>
              </w:rPr>
            </w:pPr>
          </w:p>
        </w:tc>
        <w:tc>
          <w:tcPr>
            <w:tcW w:w="900" w:type="dxa"/>
            <w:vAlign w:val="bottom"/>
            <w:shd w:val="clear" w:color="auto" w:fill="E5E5E5"/>
          </w:tcPr>
          <w:p>
            <w:pPr>
              <w:jc w:val="right"/>
              <w:ind w:right="97"/>
              <w:spacing w:after="0"/>
              <w:rPr>
                <w:sz w:val="20"/>
                <w:szCs w:val="20"/>
                <w:color w:val="auto"/>
              </w:rPr>
            </w:pPr>
            <w:r>
              <w:rPr>
                <w:rFonts w:ascii="Arial" w:cs="Arial" w:eastAsia="Arial" w:hAnsi="Arial"/>
                <w:sz w:val="18"/>
                <w:szCs w:val="18"/>
                <w:color w:val="auto"/>
              </w:rPr>
              <w:t>388</w:t>
            </w:r>
          </w:p>
        </w:tc>
        <w:tc>
          <w:tcPr>
            <w:tcW w:w="380" w:type="dxa"/>
            <w:vAlign w:val="bottom"/>
            <w:shd w:val="clear" w:color="auto" w:fill="E5E5E5"/>
          </w:tcPr>
          <w:p>
            <w:pPr>
              <w:spacing w:after="0"/>
              <w:rPr>
                <w:sz w:val="18"/>
                <w:szCs w:val="18"/>
                <w:color w:val="auto"/>
              </w:rPr>
            </w:pPr>
          </w:p>
        </w:tc>
        <w:tc>
          <w:tcPr>
            <w:tcW w:w="1060" w:type="dxa"/>
            <w:vAlign w:val="bottom"/>
            <w:shd w:val="clear" w:color="auto" w:fill="E5E5E5"/>
          </w:tcPr>
          <w:p>
            <w:pPr>
              <w:jc w:val="right"/>
              <w:ind w:right="19"/>
              <w:spacing w:after="0"/>
              <w:rPr>
                <w:sz w:val="20"/>
                <w:szCs w:val="20"/>
                <w:color w:val="auto"/>
              </w:rPr>
            </w:pPr>
            <w:r>
              <w:rPr>
                <w:rFonts w:ascii="Arial" w:cs="Arial" w:eastAsia="Arial" w:hAnsi="Arial"/>
                <w:sz w:val="18"/>
                <w:szCs w:val="18"/>
                <w:color w:val="auto"/>
              </w:rPr>
              <w:t>2,020</w:t>
            </w:r>
          </w:p>
        </w:tc>
        <w:tc>
          <w:tcPr>
            <w:tcW w:w="320" w:type="dxa"/>
            <w:vAlign w:val="bottom"/>
            <w:shd w:val="clear" w:color="auto" w:fill="E5E5E5"/>
          </w:tcPr>
          <w:p>
            <w:pPr>
              <w:spacing w:after="0"/>
              <w:rPr>
                <w:sz w:val="18"/>
                <w:szCs w:val="18"/>
                <w:color w:val="auto"/>
              </w:rPr>
            </w:pPr>
          </w:p>
        </w:tc>
        <w:tc>
          <w:tcPr>
            <w:tcW w:w="1120" w:type="dxa"/>
            <w:vAlign w:val="bottom"/>
            <w:shd w:val="clear" w:color="auto" w:fill="E5E5E5"/>
          </w:tcPr>
          <w:p>
            <w:pPr>
              <w:jc w:val="right"/>
              <w:ind w:right="379"/>
              <w:spacing w:after="0"/>
              <w:rPr>
                <w:sz w:val="20"/>
                <w:szCs w:val="20"/>
                <w:color w:val="auto"/>
              </w:rPr>
            </w:pPr>
            <w:r>
              <w:rPr>
                <w:rFonts w:ascii="Arial" w:cs="Arial" w:eastAsia="Arial" w:hAnsi="Arial"/>
                <w:sz w:val="18"/>
                <w:szCs w:val="18"/>
                <w:color w:val="auto"/>
              </w:rPr>
              <w:t>118</w:t>
            </w:r>
          </w:p>
        </w:tc>
        <w:tc>
          <w:tcPr>
            <w:tcW w:w="60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5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1,333</w:t>
            </w:r>
          </w:p>
        </w:tc>
        <w:tc>
          <w:tcPr>
            <w:tcW w:w="320" w:type="dxa"/>
            <w:vAlign w:val="bottom"/>
            <w:tcBorders>
              <w:bottom w:val="single" w:sz="8" w:color="E5E5E5"/>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967</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rPr>
              <w:t>236</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1,203</w:t>
            </w:r>
          </w:p>
        </w:tc>
        <w:tc>
          <w:tcPr>
            <w:tcW w:w="320" w:type="dxa"/>
            <w:vAlign w:val="bottom"/>
            <w:tcBorders>
              <w:bottom w:val="single" w:sz="8" w:color="E5E5E5"/>
            </w:tcBorders>
          </w:tcPr>
          <w:p>
            <w:pPr>
              <w:spacing w:after="0"/>
              <w:rPr>
                <w:sz w:val="18"/>
                <w:szCs w:val="18"/>
                <w:color w:val="auto"/>
              </w:rPr>
            </w:pPr>
          </w:p>
        </w:tc>
        <w:tc>
          <w:tcPr>
            <w:tcW w:w="1120" w:type="dxa"/>
            <w:vAlign w:val="bottom"/>
            <w:tcBorders>
              <w:bottom w:val="single" w:sz="8" w:color="auto"/>
            </w:tcBorders>
          </w:tcPr>
          <w:p>
            <w:pPr>
              <w:jc w:val="right"/>
              <w:ind w:right="379"/>
              <w:spacing w:after="0"/>
              <w:rPr>
                <w:sz w:val="20"/>
                <w:szCs w:val="20"/>
                <w:color w:val="auto"/>
              </w:rPr>
            </w:pPr>
            <w:r>
              <w:rPr>
                <w:rFonts w:ascii="Arial" w:cs="Arial" w:eastAsia="Arial" w:hAnsi="Arial"/>
                <w:sz w:val="18"/>
                <w:szCs w:val="18"/>
                <w:color w:val="auto"/>
              </w:rPr>
              <w:t>130</w:t>
            </w:r>
          </w:p>
        </w:tc>
        <w:tc>
          <w:tcPr>
            <w:tcW w:w="60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w w:val="85"/>
              </w:rPr>
              <w:t>10.7</w:t>
            </w:r>
          </w:p>
        </w:tc>
        <w:tc>
          <w:tcPr>
            <w:tcW w:w="0" w:type="dxa"/>
            <w:vAlign w:val="bottom"/>
          </w:tcPr>
          <w:p>
            <w:pPr>
              <w:spacing w:after="0"/>
              <w:rPr>
                <w:sz w:val="1"/>
                <w:szCs w:val="1"/>
                <w:color w:val="auto"/>
              </w:rPr>
            </w:pPr>
          </w:p>
        </w:tc>
      </w:tr>
      <w:tr>
        <w:trPr>
          <w:trHeight w:val="195"/>
        </w:trPr>
        <w:tc>
          <w:tcPr>
            <w:tcW w:w="328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w w:val="90"/>
              </w:rPr>
              <w:t>Operating income before depreciation and</w:t>
            </w:r>
          </w:p>
        </w:tc>
        <w:tc>
          <w:tcPr>
            <w:tcW w:w="500" w:type="dxa"/>
            <w:vAlign w:val="bottom"/>
            <w:shd w:val="clear" w:color="auto" w:fill="E5E5E5"/>
          </w:tcPr>
          <w:p>
            <w:pPr>
              <w:spacing w:after="0"/>
              <w:rPr>
                <w:sz w:val="16"/>
                <w:szCs w:val="16"/>
                <w:color w:val="auto"/>
              </w:rPr>
            </w:pPr>
          </w:p>
        </w:tc>
        <w:tc>
          <w:tcPr>
            <w:tcW w:w="104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480" w:type="dxa"/>
            <w:vAlign w:val="bottom"/>
            <w:shd w:val="clear" w:color="auto" w:fill="E5E5E5"/>
          </w:tcPr>
          <w:p>
            <w:pPr>
              <w:spacing w:after="0"/>
              <w:rPr>
                <w:sz w:val="16"/>
                <w:szCs w:val="16"/>
                <w:color w:val="auto"/>
              </w:rPr>
            </w:pPr>
          </w:p>
        </w:tc>
        <w:tc>
          <w:tcPr>
            <w:tcW w:w="1140" w:type="dxa"/>
            <w:vAlign w:val="bottom"/>
            <w:shd w:val="clear" w:color="auto" w:fill="E5E5E5"/>
          </w:tcPr>
          <w:p>
            <w:pPr>
              <w:spacing w:after="0"/>
              <w:rPr>
                <w:sz w:val="16"/>
                <w:szCs w:val="16"/>
                <w:color w:val="auto"/>
              </w:rPr>
            </w:pPr>
          </w:p>
        </w:tc>
        <w:tc>
          <w:tcPr>
            <w:tcW w:w="28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106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1120" w:type="dxa"/>
            <w:vAlign w:val="bottom"/>
            <w:shd w:val="clear" w:color="auto" w:fill="E5E5E5"/>
          </w:tcPr>
          <w:p>
            <w:pPr>
              <w:spacing w:after="0"/>
              <w:rPr>
                <w:sz w:val="16"/>
                <w:szCs w:val="16"/>
                <w:color w:val="auto"/>
              </w:rPr>
            </w:pPr>
          </w:p>
        </w:tc>
        <w:tc>
          <w:tcPr>
            <w:tcW w:w="60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28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500" w:type="dxa"/>
            <w:vAlign w:val="bottom"/>
            <w:tcBorders>
              <w:bottom w:val="single" w:sz="8" w:color="auto"/>
            </w:tcBorders>
            <w:shd w:val="clear" w:color="auto" w:fill="E5E5E5"/>
          </w:tcPr>
          <w:p>
            <w:pPr>
              <w:jc w:val="right"/>
              <w:ind w:right="39"/>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805</w:t>
            </w:r>
          </w:p>
        </w:tc>
        <w:tc>
          <w:tcPr>
            <w:tcW w:w="320" w:type="dxa"/>
            <w:vAlign w:val="bottom"/>
            <w:tcBorders>
              <w:bottom w:val="single" w:sz="8" w:color="E5E5E5"/>
            </w:tcBorders>
            <w:shd w:val="clear" w:color="auto" w:fill="E5E5E5"/>
          </w:tcPr>
          <w:p>
            <w:pPr>
              <w:spacing w:after="0"/>
              <w:rPr>
                <w:sz w:val="20"/>
                <w:szCs w:val="20"/>
                <w:color w:val="auto"/>
              </w:rPr>
            </w:pPr>
          </w:p>
        </w:tc>
        <w:tc>
          <w:tcPr>
            <w:tcW w:w="480" w:type="dxa"/>
            <w:vAlign w:val="bottom"/>
            <w:tcBorders>
              <w:bottom w:val="single" w:sz="8" w:color="auto"/>
            </w:tcBorders>
            <w:shd w:val="clear" w:color="auto" w:fill="E5E5E5"/>
          </w:tcPr>
          <w:p>
            <w:pPr>
              <w:ind w:left="28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665</w:t>
            </w:r>
          </w:p>
        </w:tc>
        <w:tc>
          <w:tcPr>
            <w:tcW w:w="2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97"/>
              <w:spacing w:after="0"/>
              <w:rPr>
                <w:sz w:val="20"/>
                <w:szCs w:val="20"/>
                <w:color w:val="auto"/>
              </w:rPr>
            </w:pPr>
            <w:r>
              <w:rPr>
                <w:rFonts w:ascii="Arial" w:cs="Arial" w:eastAsia="Arial" w:hAnsi="Arial"/>
                <w:sz w:val="18"/>
                <w:szCs w:val="18"/>
                <w:b w:val="1"/>
                <w:bCs w:val="1"/>
                <w:color w:val="auto"/>
              </w:rPr>
              <w:t>152</w:t>
            </w:r>
          </w:p>
        </w:tc>
        <w:tc>
          <w:tcPr>
            <w:tcW w:w="38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auto"/>
            </w:tcBorders>
            <w:shd w:val="clear" w:color="auto" w:fill="E5E5E5"/>
          </w:tcPr>
          <w:p>
            <w:pPr>
              <w:jc w:val="right"/>
              <w:ind w:right="19"/>
              <w:spacing w:after="0"/>
              <w:rPr>
                <w:sz w:val="20"/>
                <w:szCs w:val="20"/>
                <w:color w:val="auto"/>
              </w:rPr>
            </w:pPr>
            <w:r>
              <w:rPr>
                <w:rFonts w:ascii="Arial" w:cs="Arial" w:eastAsia="Arial" w:hAnsi="Arial"/>
                <w:sz w:val="18"/>
                <w:szCs w:val="18"/>
                <w:b w:val="1"/>
                <w:bCs w:val="1"/>
                <w:color w:val="auto"/>
              </w:rPr>
              <w:t>817</w:t>
            </w:r>
          </w:p>
        </w:tc>
        <w:tc>
          <w:tcPr>
            <w:tcW w:w="320" w:type="dxa"/>
            <w:vAlign w:val="bottom"/>
            <w:tcBorders>
              <w:bottom w:val="single" w:sz="8" w:color="E5E5E5"/>
            </w:tcBorders>
            <w:shd w:val="clear" w:color="auto" w:fill="E5E5E5"/>
          </w:tcPr>
          <w:p>
            <w:pPr>
              <w:spacing w:after="0"/>
              <w:rPr>
                <w:sz w:val="20"/>
                <w:szCs w:val="20"/>
                <w:color w:val="auto"/>
              </w:rPr>
            </w:pPr>
          </w:p>
        </w:tc>
        <w:tc>
          <w:tcPr>
            <w:tcW w:w="1120" w:type="dxa"/>
            <w:vAlign w:val="bottom"/>
            <w:tcBorders>
              <w:bottom w:val="single" w:sz="8" w:color="auto"/>
            </w:tcBorders>
            <w:shd w:val="clear" w:color="auto" w:fill="E5E5E5"/>
          </w:tcPr>
          <w:p>
            <w:pPr>
              <w:jc w:val="right"/>
              <w:ind w:right="319"/>
              <w:spacing w:after="0"/>
              <w:rPr>
                <w:sz w:val="20"/>
                <w:szCs w:val="20"/>
                <w:color w:val="auto"/>
              </w:rPr>
            </w:pPr>
            <w:r>
              <w:rPr>
                <w:rFonts w:ascii="Arial" w:cs="Arial" w:eastAsia="Arial" w:hAnsi="Arial"/>
                <w:sz w:val="18"/>
                <w:szCs w:val="18"/>
                <w:b w:val="1"/>
                <w:bCs w:val="1"/>
                <w:color w:val="auto"/>
              </w:rPr>
              <w:t>$ (12)</w:t>
            </w:r>
          </w:p>
        </w:tc>
        <w:tc>
          <w:tcPr>
            <w:tcW w:w="6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Comcast Content Business for the three months ended March 31, 2012 and 2011, and the results of operations for the NBCUniversal acquired businesses for the three months ended March 31, 2012 and for the period January 29, 2011 through March 31, 2011.</w:t>
      </w:r>
    </w:p>
    <w:p>
      <w:pPr>
        <w:spacing w:after="0" w:line="43" w:lineRule="exact"/>
        <w:rPr>
          <w:rFonts w:ascii="Arial" w:cs="Arial" w:eastAsia="Arial" w:hAnsi="Arial"/>
          <w:sz w:val="14"/>
          <w:szCs w:val="14"/>
          <w:color w:val="auto"/>
        </w:rPr>
      </w:pPr>
    </w:p>
    <w:p>
      <w:pPr>
        <w:ind w:left="340" w:hanging="332"/>
        <w:spacing w:after="0" w:line="239" w:lineRule="auto"/>
        <w:tabs>
          <w:tab w:leader="none" w:pos="340" w:val="left"/>
        </w:tabs>
        <w:numPr>
          <w:ilvl w:val="0"/>
          <w:numId w:val="13"/>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 and the elimination of operating costs and expenses directly related to the transaction.</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Segment—Revenue</w:t>
      </w:r>
    </w:p>
    <w:p>
      <w:pPr>
        <w:spacing w:after="0" w:line="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Cable Networks revenue increased for the three months ended March 31, 2012 compared to the same period in 2011 due to increases in distribution, advertising and other revenue. The increase in distribution revenue was primarily due to rate increases, and the increase in advertising revenue was primarily due to an increase in the price of advertising units sold. Other revenue increased primarily due to an increase in the licensing of our owned content from our cable production studio.</w:t>
      </w:r>
    </w:p>
    <w:p>
      <w:pPr>
        <w:spacing w:after="0" w:line="49"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For the three months ended March 31, 2012 and 2011, 13% and 14%, respectively, of our total Cable Networks segment revenue was generated from our Cable Communications segment. These amounts are eliminated in our condensed consolidated financial statements but are included in the amounts presented above.</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Networks Segment—Operating Costs and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costs and expenses increased for the three months ended March 31, 2012 compared to the same period in 2011 primarily due to higher programming and production expenses, including an increase in rights costs associated with additional NBA games in the current period compared to the prior year period, resulting from the condensed NBA schedule following the lockout at the beginning of the 2011-12 season.</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Broadcast Television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color w:val="auto"/>
                <w:w w:val="83"/>
              </w:rPr>
              <w:t>2012</w:t>
            </w:r>
          </w:p>
        </w:tc>
        <w:tc>
          <w:tcPr>
            <w:tcW w:w="3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7"/>
              <w:spacing w:after="0"/>
              <w:rPr>
                <w:sz w:val="20"/>
                <w:szCs w:val="20"/>
                <w:color w:val="auto"/>
              </w:rPr>
            </w:pPr>
            <w:r>
              <w:rPr>
                <w:rFonts w:ascii="Arial" w:cs="Arial" w:eastAsia="Arial" w:hAnsi="Arial"/>
                <w:sz w:val="14"/>
                <w:szCs w:val="14"/>
                <w:color w:val="auto"/>
                <w:w w:val="89"/>
              </w:rPr>
              <w:t>2011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2"/>
            <w:vMerge w:val="restart"/>
          </w:tcPr>
          <w:p>
            <w:pPr>
              <w:jc w:val="right"/>
              <w:ind w:right="575"/>
              <w:spacing w:after="0"/>
              <w:rPr>
                <w:sz w:val="20"/>
                <w:szCs w:val="20"/>
                <w:color w:val="auto"/>
              </w:rPr>
            </w:pPr>
            <w:r>
              <w:rPr>
                <w:rFonts w:ascii="Arial" w:cs="Arial" w:eastAsia="Arial" w:hAnsi="Arial"/>
                <w:sz w:val="14"/>
                <w:szCs w:val="14"/>
                <w:color w:val="auto"/>
              </w:rPr>
              <w:t>Increase/</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gridSpan w:val="2"/>
            <w:vMerge w:val="restart"/>
          </w:tcPr>
          <w:p>
            <w:pPr>
              <w:jc w:val="center"/>
              <w:ind w:right="50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360" w:type="dxa"/>
            <w:vAlign w:val="bottom"/>
          </w:tcPr>
          <w:p>
            <w:pPr>
              <w:spacing w:after="0"/>
              <w:rPr>
                <w:sz w:val="11"/>
                <w:szCs w:val="11"/>
                <w:color w:val="auto"/>
              </w:rPr>
            </w:pPr>
          </w:p>
        </w:tc>
        <w:tc>
          <w:tcPr>
            <w:tcW w:w="880" w:type="dxa"/>
            <w:vAlign w:val="bottom"/>
            <w:vMerge w:val="restart"/>
          </w:tcPr>
          <w:p>
            <w:pPr>
              <w:jc w:val="center"/>
              <w:ind w:right="20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0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40" w:type="dxa"/>
            <w:vAlign w:val="bottom"/>
          </w:tcPr>
          <w:p>
            <w:pPr>
              <w:spacing w:after="0"/>
              <w:rPr>
                <w:sz w:val="11"/>
                <w:szCs w:val="11"/>
                <w:color w:val="auto"/>
              </w:rPr>
            </w:pPr>
          </w:p>
        </w:tc>
        <w:tc>
          <w:tcPr>
            <w:tcW w:w="780" w:type="dxa"/>
            <w:vAlign w:val="bottom"/>
          </w:tcPr>
          <w:p>
            <w:pPr>
              <w:jc w:val="center"/>
              <w:ind w:right="100"/>
              <w:spacing w:after="0" w:line="131" w:lineRule="exact"/>
              <w:rPr>
                <w:sz w:val="20"/>
                <w:szCs w:val="20"/>
                <w:color w:val="auto"/>
              </w:rPr>
            </w:pPr>
            <w:r>
              <w:rPr>
                <w:rFonts w:ascii="Arial" w:cs="Arial" w:eastAsia="Arial" w:hAnsi="Arial"/>
                <w:sz w:val="14"/>
                <w:szCs w:val="14"/>
                <w:color w:val="auto"/>
                <w:w w:val="84"/>
              </w:rPr>
              <w:t>Pro Forma</w:t>
            </w:r>
          </w:p>
        </w:tc>
        <w:tc>
          <w:tcPr>
            <w:tcW w:w="320" w:type="dxa"/>
            <w:vAlign w:val="bottom"/>
          </w:tcPr>
          <w:p>
            <w:pPr>
              <w:spacing w:after="0"/>
              <w:rPr>
                <w:sz w:val="11"/>
                <w:szCs w:val="11"/>
                <w:color w:val="auto"/>
              </w:rPr>
            </w:pPr>
          </w:p>
        </w:tc>
        <w:tc>
          <w:tcPr>
            <w:tcW w:w="1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7"/>
              </w:rPr>
              <w:t>Combined</w:t>
            </w:r>
          </w:p>
        </w:tc>
        <w:tc>
          <w:tcPr>
            <w:tcW w:w="1800" w:type="dxa"/>
            <w:vAlign w:val="bottom"/>
            <w:gridSpan w:val="2"/>
          </w:tcPr>
          <w:p>
            <w:pPr>
              <w:jc w:val="right"/>
              <w:ind w:right="535"/>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tcBorders>
              <w:top w:val="single" w:sz="8" w:color="auto"/>
            </w:tcBorders>
            <w:gridSpan w:val="2"/>
          </w:tcPr>
          <w:p>
            <w:pPr>
              <w:jc w:val="center"/>
              <w:ind w:left="19"/>
              <w:spacing w:after="0" w:line="131" w:lineRule="exact"/>
              <w:rPr>
                <w:sz w:val="20"/>
                <w:szCs w:val="20"/>
                <w:color w:val="auto"/>
              </w:rPr>
            </w:pPr>
            <w:r>
              <w:rPr>
                <w:rFonts w:ascii="Arial" w:cs="Arial" w:eastAsia="Arial" w:hAnsi="Arial"/>
                <w:sz w:val="14"/>
                <w:szCs w:val="14"/>
                <w:color w:val="auto"/>
                <w:w w:val="87"/>
              </w:rPr>
              <w:t>For the Period</w:t>
            </w:r>
          </w:p>
        </w:tc>
        <w:tc>
          <w:tcPr>
            <w:tcW w:w="2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9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1420" w:type="dxa"/>
            <w:vAlign w:val="bottom"/>
            <w:gridSpan w:val="3"/>
          </w:tcPr>
          <w:p>
            <w:pPr>
              <w:jc w:val="center"/>
              <w:ind w:right="140"/>
              <w:spacing w:after="0" w:line="149" w:lineRule="exact"/>
              <w:rPr>
                <w:sz w:val="20"/>
                <w:szCs w:val="20"/>
                <w:color w:val="auto"/>
              </w:rPr>
            </w:pPr>
            <w:r>
              <w:rPr>
                <w:rFonts w:ascii="Arial" w:cs="Arial" w:eastAsia="Arial" w:hAnsi="Arial"/>
                <w:sz w:val="14"/>
                <w:szCs w:val="14"/>
                <w:color w:val="auto"/>
                <w:w w:val="87"/>
              </w:rPr>
              <w:t>Three Months</w:t>
            </w:r>
          </w:p>
        </w:tc>
        <w:tc>
          <w:tcPr>
            <w:tcW w:w="360" w:type="dxa"/>
            <w:vAlign w:val="bottom"/>
          </w:tcPr>
          <w:p>
            <w:pPr>
              <w:spacing w:after="0"/>
              <w:rPr>
                <w:sz w:val="12"/>
                <w:szCs w:val="12"/>
                <w:color w:val="auto"/>
              </w:rPr>
            </w:pPr>
          </w:p>
        </w:tc>
        <w:tc>
          <w:tcPr>
            <w:tcW w:w="880" w:type="dxa"/>
            <w:vAlign w:val="bottom"/>
          </w:tcPr>
          <w:p>
            <w:pPr>
              <w:jc w:val="center"/>
              <w:ind w:right="200"/>
              <w:spacing w:after="0" w:line="149" w:lineRule="exact"/>
              <w:rPr>
                <w:sz w:val="20"/>
                <w:szCs w:val="20"/>
                <w:color w:val="auto"/>
              </w:rPr>
            </w:pPr>
            <w:r>
              <w:rPr>
                <w:rFonts w:ascii="Arial" w:cs="Arial" w:eastAsia="Arial" w:hAnsi="Arial"/>
                <w:sz w:val="14"/>
                <w:szCs w:val="14"/>
                <w:color w:val="auto"/>
                <w:w w:val="86"/>
              </w:rPr>
              <w:t>January 29</w:t>
            </w:r>
          </w:p>
        </w:tc>
        <w:tc>
          <w:tcPr>
            <w:tcW w:w="2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340" w:type="dxa"/>
            <w:vAlign w:val="bottom"/>
            <w:gridSpan w:val="3"/>
          </w:tcPr>
          <w:p>
            <w:pPr>
              <w:jc w:val="center"/>
              <w:ind w:right="260"/>
              <w:spacing w:after="0" w:line="149" w:lineRule="exact"/>
              <w:rPr>
                <w:sz w:val="20"/>
                <w:szCs w:val="20"/>
                <w:color w:val="auto"/>
              </w:rPr>
            </w:pPr>
            <w:r>
              <w:rPr>
                <w:rFonts w:ascii="Arial" w:cs="Arial" w:eastAsia="Arial" w:hAnsi="Arial"/>
                <w:sz w:val="14"/>
                <w:szCs w:val="14"/>
                <w:color w:val="auto"/>
                <w:w w:val="87"/>
              </w:rPr>
              <w:t>Three Months</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60" w:type="dxa"/>
            <w:vAlign w:val="bottom"/>
            <w:gridSpan w:val="2"/>
          </w:tcPr>
          <w:p>
            <w:pPr>
              <w:jc w:val="center"/>
              <w:ind w:right="520"/>
              <w:spacing w:after="0" w:line="149" w:lineRule="exact"/>
              <w:rPr>
                <w:sz w:val="20"/>
                <w:szCs w:val="20"/>
                <w:color w:val="auto"/>
              </w:rPr>
            </w:pPr>
            <w:r>
              <w:rPr>
                <w:rFonts w:ascii="Arial" w:cs="Arial" w:eastAsia="Arial" w:hAnsi="Arial"/>
                <w:sz w:val="14"/>
                <w:szCs w:val="14"/>
                <w:color w:val="auto"/>
                <w:w w:val="83"/>
              </w:rPr>
              <w:t>Ended</w:t>
            </w:r>
          </w:p>
        </w:tc>
        <w:tc>
          <w:tcPr>
            <w:tcW w:w="360" w:type="dxa"/>
            <w:vAlign w:val="bottom"/>
          </w:tcPr>
          <w:p>
            <w:pPr>
              <w:spacing w:after="0"/>
              <w:rPr>
                <w:sz w:val="12"/>
                <w:szCs w:val="12"/>
                <w:color w:val="auto"/>
              </w:rPr>
            </w:pPr>
          </w:p>
        </w:tc>
        <w:tc>
          <w:tcPr>
            <w:tcW w:w="880" w:type="dxa"/>
            <w:vAlign w:val="bottom"/>
          </w:tcPr>
          <w:p>
            <w:pPr>
              <w:jc w:val="center"/>
              <w:ind w:right="180"/>
              <w:spacing w:after="0" w:line="149" w:lineRule="exact"/>
              <w:rPr>
                <w:sz w:val="20"/>
                <w:szCs w:val="20"/>
                <w:color w:val="auto"/>
              </w:rPr>
            </w:pPr>
            <w:r>
              <w:rPr>
                <w:rFonts w:ascii="Arial" w:cs="Arial" w:eastAsia="Arial" w:hAnsi="Arial"/>
                <w:sz w:val="14"/>
                <w:szCs w:val="14"/>
                <w:color w:val="auto"/>
                <w:w w:val="88"/>
              </w:rPr>
              <w:t>through</w:t>
            </w:r>
          </w:p>
        </w:tc>
        <w:tc>
          <w:tcPr>
            <w:tcW w:w="12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240" w:type="dxa"/>
            <w:vAlign w:val="bottom"/>
          </w:tcPr>
          <w:p>
            <w:pPr>
              <w:spacing w:after="0"/>
              <w:rPr>
                <w:sz w:val="12"/>
                <w:szCs w:val="12"/>
                <w:color w:val="auto"/>
              </w:rPr>
            </w:pPr>
          </w:p>
        </w:tc>
        <w:tc>
          <w:tcPr>
            <w:tcW w:w="1100" w:type="dxa"/>
            <w:vAlign w:val="bottom"/>
            <w:gridSpan w:val="2"/>
          </w:tcPr>
          <w:p>
            <w:pPr>
              <w:jc w:val="center"/>
              <w:ind w:right="500"/>
              <w:spacing w:after="0" w:line="149" w:lineRule="exact"/>
              <w:rPr>
                <w:sz w:val="20"/>
                <w:szCs w:val="20"/>
                <w:color w:val="auto"/>
              </w:rPr>
            </w:pPr>
            <w:r>
              <w:rPr>
                <w:rFonts w:ascii="Arial" w:cs="Arial" w:eastAsia="Arial" w:hAnsi="Arial"/>
                <w:sz w:val="14"/>
                <w:szCs w:val="14"/>
                <w:color w:val="auto"/>
                <w:w w:val="88"/>
              </w:rPr>
              <w:t>Ended</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4420" w:type="dxa"/>
            <w:vAlign w:val="bottom"/>
          </w:tcPr>
          <w:p>
            <w:pPr>
              <w:spacing w:after="0" w:line="159" w:lineRule="exact"/>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3"/>
                <w:szCs w:val="13"/>
                <w:color w:val="auto"/>
              </w:rPr>
            </w:pPr>
          </w:p>
        </w:tc>
        <w:tc>
          <w:tcPr>
            <w:tcW w:w="106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9"/>
              </w:rPr>
              <w:t>March 31</w:t>
            </w:r>
          </w:p>
        </w:tc>
        <w:tc>
          <w:tcPr>
            <w:tcW w:w="360" w:type="dxa"/>
            <w:vAlign w:val="bottom"/>
          </w:tcPr>
          <w:p>
            <w:pPr>
              <w:spacing w:after="0"/>
              <w:rPr>
                <w:sz w:val="13"/>
                <w:szCs w:val="13"/>
                <w:color w:val="auto"/>
              </w:rPr>
            </w:pPr>
          </w:p>
        </w:tc>
        <w:tc>
          <w:tcPr>
            <w:tcW w:w="880" w:type="dxa"/>
            <w:vAlign w:val="bottom"/>
          </w:tcPr>
          <w:p>
            <w:pPr>
              <w:jc w:val="center"/>
              <w:ind w:right="200"/>
              <w:spacing w:after="0" w:line="159" w:lineRule="exact"/>
              <w:rPr>
                <w:sz w:val="20"/>
                <w:szCs w:val="20"/>
                <w:color w:val="auto"/>
              </w:rPr>
            </w:pPr>
            <w:r>
              <w:rPr>
                <w:rFonts w:ascii="Arial" w:cs="Arial" w:eastAsia="Arial" w:hAnsi="Arial"/>
                <w:sz w:val="14"/>
                <w:szCs w:val="14"/>
                <w:color w:val="auto"/>
                <w:w w:val="89"/>
              </w:rPr>
              <w:t>March 31</w:t>
            </w:r>
          </w:p>
        </w:tc>
        <w:tc>
          <w:tcPr>
            <w:tcW w:w="260" w:type="dxa"/>
            <w:vAlign w:val="bottom"/>
          </w:tcPr>
          <w:p>
            <w:pPr>
              <w:spacing w:after="0"/>
              <w:rPr>
                <w:sz w:val="13"/>
                <w:szCs w:val="13"/>
                <w:color w:val="auto"/>
              </w:rPr>
            </w:pPr>
          </w:p>
        </w:tc>
        <w:tc>
          <w:tcPr>
            <w:tcW w:w="940" w:type="dxa"/>
            <w:vAlign w:val="bottom"/>
          </w:tcPr>
          <w:p>
            <w:pPr>
              <w:jc w:val="center"/>
              <w:ind w:right="237"/>
              <w:spacing w:after="0" w:line="159" w:lineRule="exact"/>
              <w:rPr>
                <w:sz w:val="20"/>
                <w:szCs w:val="20"/>
                <w:color w:val="auto"/>
              </w:rPr>
            </w:pPr>
            <w:r>
              <w:rPr>
                <w:rFonts w:ascii="Arial" w:cs="Arial" w:eastAsia="Arial" w:hAnsi="Arial"/>
                <w:sz w:val="14"/>
                <w:szCs w:val="14"/>
                <w:color w:val="auto"/>
                <w:w w:val="80"/>
              </w:rPr>
              <w:t>Businesses</w:t>
            </w:r>
          </w:p>
        </w:tc>
        <w:tc>
          <w:tcPr>
            <w:tcW w:w="240" w:type="dxa"/>
            <w:vAlign w:val="bottom"/>
          </w:tcPr>
          <w:p>
            <w:pPr>
              <w:spacing w:after="0"/>
              <w:rPr>
                <w:sz w:val="13"/>
                <w:szCs w:val="13"/>
                <w:color w:val="auto"/>
              </w:rPr>
            </w:pPr>
          </w:p>
        </w:tc>
        <w:tc>
          <w:tcPr>
            <w:tcW w:w="1100" w:type="dxa"/>
            <w:vAlign w:val="bottom"/>
            <w:gridSpan w:val="2"/>
          </w:tcPr>
          <w:p>
            <w:pPr>
              <w:jc w:val="center"/>
              <w:ind w:right="500"/>
              <w:spacing w:after="0" w:line="159" w:lineRule="exact"/>
              <w:rPr>
                <w:sz w:val="20"/>
                <w:szCs w:val="20"/>
                <w:color w:val="auto"/>
              </w:rPr>
            </w:pPr>
            <w:r>
              <w:rPr>
                <w:rFonts w:ascii="Arial" w:cs="Arial" w:eastAsia="Arial" w:hAnsi="Arial"/>
                <w:sz w:val="14"/>
                <w:szCs w:val="14"/>
                <w:color w:val="auto"/>
                <w:w w:val="89"/>
              </w:rPr>
              <w:t>March 31</w:t>
            </w:r>
          </w:p>
        </w:tc>
        <w:tc>
          <w:tcPr>
            <w:tcW w:w="880" w:type="dxa"/>
            <w:vAlign w:val="bottom"/>
          </w:tcPr>
          <w:p>
            <w:pPr>
              <w:jc w:val="right"/>
              <w:ind w:right="319"/>
              <w:spacing w:after="0" w:line="159" w:lineRule="exact"/>
              <w:rPr>
                <w:sz w:val="20"/>
                <w:szCs w:val="20"/>
                <w:color w:val="auto"/>
              </w:rPr>
            </w:pPr>
            <w:r>
              <w:rPr>
                <w:rFonts w:ascii="Arial" w:cs="Arial" w:eastAsia="Arial" w:hAnsi="Arial"/>
                <w:sz w:val="14"/>
                <w:szCs w:val="14"/>
                <w:color w:val="auto"/>
              </w:rPr>
              <w:t>$</w:t>
            </w:r>
          </w:p>
        </w:tc>
        <w:tc>
          <w:tcPr>
            <w:tcW w:w="920" w:type="dxa"/>
            <w:vAlign w:val="bottom"/>
          </w:tcPr>
          <w:p>
            <w:pPr>
              <w:jc w:val="right"/>
              <w:ind w:right="395"/>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4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36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00" w:type="dxa"/>
            <w:vAlign w:val="bottom"/>
            <w:tcBorders>
              <w:top w:val="single" w:sz="8" w:color="E5E5E5"/>
            </w:tcBorders>
            <w:shd w:val="clear" w:color="auto" w:fill="E5E5E5"/>
          </w:tcPr>
          <w:p>
            <w:pPr>
              <w:spacing w:after="0"/>
              <w:rPr>
                <w:sz w:val="18"/>
                <w:szCs w:val="18"/>
                <w:color w:val="auto"/>
              </w:rPr>
            </w:pPr>
          </w:p>
        </w:tc>
        <w:tc>
          <w:tcPr>
            <w:tcW w:w="360" w:type="dxa"/>
            <w:vAlign w:val="bottom"/>
            <w:tcBorders>
              <w:top w:val="single" w:sz="8" w:color="auto"/>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26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4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20" w:type="dxa"/>
            <w:vAlign w:val="bottom"/>
            <w:tcBorders>
              <w:top w:val="single" w:sz="8" w:color="E5E5E5"/>
            </w:tcBorders>
            <w:shd w:val="clear" w:color="auto" w:fill="E5E5E5"/>
          </w:tcPr>
          <w:p>
            <w:pPr>
              <w:spacing w:after="0"/>
              <w:rPr>
                <w:sz w:val="18"/>
                <w:szCs w:val="18"/>
                <w:color w:val="auto"/>
              </w:rPr>
            </w:pPr>
          </w:p>
        </w:tc>
        <w:tc>
          <w:tcPr>
            <w:tcW w:w="880" w:type="dxa"/>
            <w:vAlign w:val="bottom"/>
            <w:tcBorders>
              <w:top w:val="single" w:sz="8" w:color="auto"/>
            </w:tcBorders>
            <w:shd w:val="clear" w:color="auto" w:fill="E5E5E5"/>
          </w:tcPr>
          <w:p>
            <w:pPr>
              <w:spacing w:after="0"/>
              <w:rPr>
                <w:sz w:val="18"/>
                <w:szCs w:val="18"/>
                <w:color w:val="auto"/>
              </w:rPr>
            </w:pPr>
          </w:p>
        </w:tc>
        <w:tc>
          <w:tcPr>
            <w:tcW w:w="9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ind w:left="440"/>
              <w:spacing w:after="0"/>
              <w:rPr>
                <w:sz w:val="20"/>
                <w:szCs w:val="20"/>
                <w:color w:val="auto"/>
              </w:rPr>
            </w:pPr>
            <w:r>
              <w:rPr>
                <w:rFonts w:ascii="Arial" w:cs="Arial" w:eastAsia="Arial" w:hAnsi="Arial"/>
                <w:sz w:val="18"/>
                <w:szCs w:val="18"/>
                <w:color w:val="auto"/>
              </w:rPr>
              <w:t>Advertising</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0"/>
              <w:spacing w:after="0"/>
              <w:rPr>
                <w:sz w:val="20"/>
                <w:szCs w:val="20"/>
                <w:color w:val="auto"/>
              </w:rPr>
            </w:pPr>
            <w:r>
              <w:rPr>
                <w:rFonts w:ascii="Arial" w:cs="Arial" w:eastAsia="Arial" w:hAnsi="Arial"/>
                <w:sz w:val="18"/>
                <w:szCs w:val="18"/>
                <w:color w:val="auto"/>
              </w:rPr>
              <w:t>1,266</w:t>
            </w:r>
          </w:p>
        </w:tc>
        <w:tc>
          <w:tcPr>
            <w:tcW w:w="3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0"/>
              <w:spacing w:after="0"/>
              <w:rPr>
                <w:sz w:val="20"/>
                <w:szCs w:val="20"/>
                <w:color w:val="auto"/>
              </w:rPr>
            </w:pPr>
            <w:r>
              <w:rPr>
                <w:rFonts w:ascii="Arial" w:cs="Arial" w:eastAsia="Arial" w:hAnsi="Arial"/>
                <w:sz w:val="18"/>
                <w:szCs w:val="18"/>
                <w:color w:val="auto"/>
              </w:rPr>
              <w:t>595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37"/>
              <w:spacing w:after="0"/>
              <w:rPr>
                <w:sz w:val="20"/>
                <w:szCs w:val="20"/>
                <w:color w:val="auto"/>
              </w:rPr>
            </w:pPr>
            <w:r>
              <w:rPr>
                <w:rFonts w:ascii="Arial" w:cs="Arial" w:eastAsia="Arial" w:hAnsi="Arial"/>
                <w:sz w:val="18"/>
                <w:szCs w:val="18"/>
                <w:color w:val="auto"/>
              </w:rPr>
              <w:t>315</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910</w:t>
            </w:r>
          </w:p>
        </w:tc>
        <w:tc>
          <w:tcPr>
            <w:tcW w:w="320" w:type="dxa"/>
            <w:vAlign w:val="bottom"/>
          </w:tcPr>
          <w:p>
            <w:pPr>
              <w:spacing w:after="0"/>
              <w:rPr>
                <w:sz w:val="18"/>
                <w:szCs w:val="18"/>
                <w:color w:val="auto"/>
              </w:rPr>
            </w:pPr>
          </w:p>
        </w:tc>
        <w:tc>
          <w:tcPr>
            <w:tcW w:w="880" w:type="dxa"/>
            <w:vAlign w:val="bottom"/>
          </w:tcPr>
          <w:p>
            <w:pPr>
              <w:jc w:val="right"/>
              <w:ind w:right="179"/>
              <w:spacing w:after="0"/>
              <w:rPr>
                <w:sz w:val="20"/>
                <w:szCs w:val="20"/>
                <w:color w:val="auto"/>
              </w:rPr>
            </w:pPr>
            <w:r>
              <w:rPr>
                <w:rFonts w:ascii="Arial" w:cs="Arial" w:eastAsia="Arial" w:hAnsi="Arial"/>
                <w:sz w:val="18"/>
                <w:szCs w:val="18"/>
                <w:color w:val="auto"/>
              </w:rPr>
              <w:t>$356</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44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457</w:t>
            </w:r>
          </w:p>
        </w:tc>
        <w:tc>
          <w:tcPr>
            <w:tcW w:w="3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8"/>
                <w:szCs w:val="18"/>
                <w:color w:val="auto"/>
              </w:rPr>
              <w:t>219</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111</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330</w:t>
            </w: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127</w:t>
            </w:r>
          </w:p>
        </w:tc>
        <w:tc>
          <w:tcPr>
            <w:tcW w:w="9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128</w:t>
            </w:r>
          </w:p>
        </w:tc>
        <w:tc>
          <w:tcPr>
            <w:tcW w:w="30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74</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112</w:t>
            </w:r>
          </w:p>
        </w:tc>
        <w:tc>
          <w:tcPr>
            <w:tcW w:w="320" w:type="dxa"/>
            <w:vAlign w:val="bottom"/>
            <w:tcBorders>
              <w:bottom w:val="single" w:sz="8" w:color="E5E5E5"/>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16</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10"/>
        </w:trPr>
        <w:tc>
          <w:tcPr>
            <w:tcW w:w="4420" w:type="dxa"/>
            <w:vAlign w:val="bottom"/>
            <w:shd w:val="clear" w:color="auto" w:fill="E5E5E5"/>
          </w:tcPr>
          <w:p>
            <w:pPr>
              <w:spacing w:after="0"/>
              <w:rPr>
                <w:sz w:val="20"/>
                <w:szCs w:val="20"/>
                <w:color w:val="auto"/>
              </w:rPr>
            </w:pPr>
            <w:r>
              <w:rPr>
                <w:rFonts w:ascii="Arial" w:cs="Arial" w:eastAsia="Arial" w:hAnsi="Arial"/>
                <w:sz w:val="18"/>
                <w:szCs w:val="18"/>
                <w:b w:val="1"/>
                <w:bCs w:val="1"/>
                <w:color w:val="auto"/>
              </w:rPr>
              <w:t>Total revenue</w:t>
            </w:r>
          </w:p>
        </w:tc>
        <w:tc>
          <w:tcPr>
            <w:tcW w:w="360" w:type="dxa"/>
            <w:vAlign w:val="bottom"/>
            <w:shd w:val="clear" w:color="auto" w:fill="E5E5E5"/>
          </w:tcPr>
          <w:p>
            <w:pPr>
              <w:spacing w:after="0"/>
              <w:rPr>
                <w:sz w:val="18"/>
                <w:szCs w:val="18"/>
                <w:color w:val="auto"/>
              </w:rPr>
            </w:pPr>
          </w:p>
        </w:tc>
        <w:tc>
          <w:tcPr>
            <w:tcW w:w="76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1,851</w:t>
            </w:r>
          </w:p>
        </w:tc>
        <w:tc>
          <w:tcPr>
            <w:tcW w:w="300" w:type="dxa"/>
            <w:vAlign w:val="bottom"/>
            <w:shd w:val="clear" w:color="auto" w:fill="E5E5E5"/>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00"/>
              <w:spacing w:after="0"/>
              <w:rPr>
                <w:sz w:val="20"/>
                <w:szCs w:val="20"/>
                <w:color w:val="auto"/>
              </w:rPr>
            </w:pPr>
            <w:r>
              <w:rPr>
                <w:rFonts w:ascii="Arial" w:cs="Arial" w:eastAsia="Arial" w:hAnsi="Arial"/>
                <w:sz w:val="18"/>
                <w:szCs w:val="18"/>
                <w:color w:val="auto"/>
              </w:rPr>
              <w:t>888</w:t>
            </w:r>
          </w:p>
        </w:tc>
        <w:tc>
          <w:tcPr>
            <w:tcW w:w="26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464</w:t>
            </w:r>
          </w:p>
        </w:tc>
        <w:tc>
          <w:tcPr>
            <w:tcW w:w="24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1,352</w:t>
            </w:r>
          </w:p>
        </w:tc>
        <w:tc>
          <w:tcPr>
            <w:tcW w:w="320" w:type="dxa"/>
            <w:vAlign w:val="bottom"/>
            <w:shd w:val="clear" w:color="auto" w:fill="E5E5E5"/>
          </w:tcPr>
          <w:p>
            <w:pPr>
              <w:spacing w:after="0"/>
              <w:rPr>
                <w:sz w:val="18"/>
                <w:szCs w:val="18"/>
                <w:color w:val="auto"/>
              </w:rPr>
            </w:pPr>
          </w:p>
        </w:tc>
        <w:tc>
          <w:tcPr>
            <w:tcW w:w="880" w:type="dxa"/>
            <w:vAlign w:val="bottom"/>
            <w:shd w:val="clear" w:color="auto" w:fill="E5E5E5"/>
          </w:tcPr>
          <w:p>
            <w:pPr>
              <w:jc w:val="right"/>
              <w:ind w:right="179"/>
              <w:spacing w:after="0"/>
              <w:rPr>
                <w:sz w:val="20"/>
                <w:szCs w:val="20"/>
                <w:color w:val="auto"/>
              </w:rPr>
            </w:pPr>
            <w:r>
              <w:rPr>
                <w:rFonts w:ascii="Arial" w:cs="Arial" w:eastAsia="Arial" w:hAnsi="Arial"/>
                <w:sz w:val="18"/>
                <w:szCs w:val="18"/>
                <w:color w:val="auto"/>
              </w:rPr>
              <w:t>499</w:t>
            </w:r>
          </w:p>
        </w:tc>
        <w:tc>
          <w:tcPr>
            <w:tcW w:w="920" w:type="dxa"/>
            <w:vAlign w:val="bottom"/>
            <w:shd w:val="clear" w:color="auto" w:fill="E5E5E5"/>
          </w:tcPr>
          <w:p>
            <w:pPr>
              <w:jc w:val="right"/>
              <w:ind w:right="195"/>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3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1,861</w:t>
            </w:r>
          </w:p>
        </w:tc>
        <w:tc>
          <w:tcPr>
            <w:tcW w:w="300" w:type="dxa"/>
            <w:vAlign w:val="bottom"/>
            <w:tcBorders>
              <w:bottom w:val="single" w:sz="8" w:color="E5E5E5"/>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0"/>
              <w:spacing w:after="0"/>
              <w:rPr>
                <w:sz w:val="20"/>
                <w:szCs w:val="20"/>
                <w:color w:val="auto"/>
              </w:rPr>
            </w:pPr>
            <w:r>
              <w:rPr>
                <w:rFonts w:ascii="Arial" w:cs="Arial" w:eastAsia="Arial" w:hAnsi="Arial"/>
                <w:sz w:val="18"/>
                <w:szCs w:val="18"/>
                <w:color w:val="auto"/>
              </w:rPr>
              <w:t>853</w:t>
            </w: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7"/>
              <w:spacing w:after="0"/>
              <w:rPr>
                <w:sz w:val="20"/>
                <w:szCs w:val="20"/>
                <w:color w:val="auto"/>
              </w:rPr>
            </w:pPr>
            <w:r>
              <w:rPr>
                <w:rFonts w:ascii="Arial" w:cs="Arial" w:eastAsia="Arial" w:hAnsi="Arial"/>
                <w:sz w:val="18"/>
                <w:szCs w:val="18"/>
                <w:color w:val="auto"/>
              </w:rPr>
              <w:t>479</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1,332</w:t>
            </w:r>
          </w:p>
        </w:tc>
        <w:tc>
          <w:tcPr>
            <w:tcW w:w="320" w:type="dxa"/>
            <w:vAlign w:val="bottom"/>
            <w:tcBorders>
              <w:bottom w:val="single" w:sz="8" w:color="E5E5E5"/>
            </w:tcBorders>
          </w:tcPr>
          <w:p>
            <w:pPr>
              <w:spacing w:after="0"/>
              <w:rPr>
                <w:sz w:val="18"/>
                <w:szCs w:val="18"/>
                <w:color w:val="auto"/>
              </w:rPr>
            </w:pPr>
          </w:p>
        </w:tc>
        <w:tc>
          <w:tcPr>
            <w:tcW w:w="880" w:type="dxa"/>
            <w:vAlign w:val="bottom"/>
            <w:tcBorders>
              <w:bottom w:val="single" w:sz="8" w:color="auto"/>
            </w:tcBorders>
          </w:tcPr>
          <w:p>
            <w:pPr>
              <w:jc w:val="right"/>
              <w:ind w:right="179"/>
              <w:spacing w:after="0"/>
              <w:rPr>
                <w:sz w:val="20"/>
                <w:szCs w:val="20"/>
                <w:color w:val="auto"/>
              </w:rPr>
            </w:pPr>
            <w:r>
              <w:rPr>
                <w:rFonts w:ascii="Arial" w:cs="Arial" w:eastAsia="Arial" w:hAnsi="Arial"/>
                <w:sz w:val="18"/>
                <w:szCs w:val="18"/>
                <w:color w:val="auto"/>
              </w:rPr>
              <w:t>529</w:t>
            </w:r>
          </w:p>
        </w:tc>
        <w:tc>
          <w:tcPr>
            <w:tcW w:w="920" w:type="dxa"/>
            <w:vAlign w:val="bottom"/>
            <w:tcBorders>
              <w:bottom w:val="single" w:sz="8" w:color="auto"/>
            </w:tcBorders>
          </w:tcPr>
          <w:p>
            <w:pPr>
              <w:jc w:val="right"/>
              <w:ind w:right="195"/>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195"/>
        </w:trPr>
        <w:tc>
          <w:tcPr>
            <w:tcW w:w="442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(loss) before depreciation and</w:t>
            </w:r>
          </w:p>
        </w:tc>
        <w:tc>
          <w:tcPr>
            <w:tcW w:w="36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36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26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24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880" w:type="dxa"/>
            <w:vAlign w:val="bottom"/>
            <w:shd w:val="clear" w:color="auto" w:fill="E5E5E5"/>
          </w:tcPr>
          <w:p>
            <w:pPr>
              <w:spacing w:after="0"/>
              <w:rPr>
                <w:sz w:val="16"/>
                <w:szCs w:val="16"/>
                <w:color w:val="auto"/>
              </w:rPr>
            </w:pPr>
          </w:p>
        </w:tc>
        <w:tc>
          <w:tcPr>
            <w:tcW w:w="92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42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(10)</w:t>
            </w:r>
          </w:p>
        </w:tc>
        <w:tc>
          <w:tcPr>
            <w:tcW w:w="300" w:type="dxa"/>
            <w:vAlign w:val="bottom"/>
            <w:tcBorders>
              <w:bottom w:val="single" w:sz="8" w:color="E5E5E5"/>
            </w:tcBorders>
            <w:shd w:val="clear" w:color="auto" w:fill="E5E5E5"/>
          </w:tcPr>
          <w:p>
            <w:pPr>
              <w:spacing w:after="0"/>
              <w:rPr>
                <w:sz w:val="20"/>
                <w:szCs w:val="20"/>
                <w:color w:val="auto"/>
              </w:rPr>
            </w:pP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auto"/>
            </w:tcBorders>
            <w:shd w:val="clear" w:color="auto" w:fill="E5E5E5"/>
          </w:tcPr>
          <w:p>
            <w:pPr>
              <w:jc w:val="right"/>
              <w:ind w:right="100"/>
              <w:spacing w:after="0"/>
              <w:rPr>
                <w:sz w:val="20"/>
                <w:szCs w:val="20"/>
                <w:color w:val="auto"/>
              </w:rPr>
            </w:pPr>
            <w:r>
              <w:rPr>
                <w:rFonts w:ascii="Arial" w:cs="Arial" w:eastAsia="Arial" w:hAnsi="Arial"/>
                <w:sz w:val="18"/>
                <w:szCs w:val="18"/>
                <w:b w:val="1"/>
                <w:bCs w:val="1"/>
                <w:color w:val="auto"/>
              </w:rPr>
              <w:t>35</w:t>
            </w:r>
          </w:p>
        </w:tc>
        <w:tc>
          <w:tcPr>
            <w:tcW w:w="2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77"/>
              <w:spacing w:after="0"/>
              <w:rPr>
                <w:sz w:val="20"/>
                <w:szCs w:val="20"/>
                <w:color w:val="auto"/>
              </w:rPr>
            </w:pPr>
            <w:r>
              <w:rPr>
                <w:rFonts w:ascii="Arial" w:cs="Arial" w:eastAsia="Arial" w:hAnsi="Arial"/>
                <w:sz w:val="18"/>
                <w:szCs w:val="18"/>
                <w:b w:val="1"/>
                <w:bCs w:val="1"/>
                <w:color w:val="auto"/>
              </w:rPr>
              <w:t>(15)</w:t>
            </w:r>
          </w:p>
        </w:tc>
        <w:tc>
          <w:tcPr>
            <w:tcW w:w="2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b w:val="1"/>
                <w:bCs w:val="1"/>
                <w:color w:val="auto"/>
              </w:rPr>
              <w:t>20</w:t>
            </w:r>
          </w:p>
        </w:tc>
        <w:tc>
          <w:tcPr>
            <w:tcW w:w="320" w:type="dxa"/>
            <w:vAlign w:val="bottom"/>
            <w:tcBorders>
              <w:bottom w:val="single" w:sz="8" w:color="E5E5E5"/>
            </w:tcBorders>
            <w:shd w:val="clear" w:color="auto" w:fill="E5E5E5"/>
          </w:tcPr>
          <w:p>
            <w:pPr>
              <w:spacing w:after="0"/>
              <w:rPr>
                <w:sz w:val="20"/>
                <w:szCs w:val="20"/>
                <w:color w:val="auto"/>
              </w:rPr>
            </w:pPr>
          </w:p>
        </w:tc>
        <w:tc>
          <w:tcPr>
            <w:tcW w:w="880" w:type="dxa"/>
            <w:vAlign w:val="bottom"/>
            <w:tcBorders>
              <w:bottom w:val="single" w:sz="8" w:color="auto"/>
            </w:tcBorders>
            <w:shd w:val="clear" w:color="auto" w:fill="E5E5E5"/>
          </w:tcPr>
          <w:p>
            <w:pPr>
              <w:jc w:val="right"/>
              <w:ind w:right="119"/>
              <w:spacing w:after="0"/>
              <w:rPr>
                <w:sz w:val="20"/>
                <w:szCs w:val="20"/>
                <w:color w:val="auto"/>
              </w:rPr>
            </w:pPr>
            <w:r>
              <w:rPr>
                <w:rFonts w:ascii="Arial" w:cs="Arial" w:eastAsia="Arial" w:hAnsi="Arial"/>
                <w:sz w:val="18"/>
                <w:szCs w:val="18"/>
                <w:b w:val="1"/>
                <w:bCs w:val="1"/>
                <w:color w:val="auto"/>
              </w:rPr>
              <w:t>$ (30)</w:t>
            </w:r>
          </w:p>
        </w:tc>
        <w:tc>
          <w:tcPr>
            <w:tcW w:w="9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(149.4)%</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March 31, 2012 and for the period January 29, 2011 through March 31, 2011.</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340" w:hanging="332"/>
        <w:spacing w:after="0" w:line="239"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Segment—Revenue</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Broadcast Television revenue increased for the three months ended March 31, 2012 compared to the same period in 2011 primarily due to increases in both advertising and content licensing revenue. The increase in advertising revenue was primarily due to $259 million associated with the broadcast of the 2012 Super Bowl, as well as increases in the price of advertising units sold and increases in our primetime ratings</w:t>
      </w:r>
      <w:r>
        <w:rPr>
          <w:rFonts w:ascii="Arial" w:cs="Arial" w:eastAsia="Arial" w:hAnsi="Arial"/>
          <w:sz w:val="16"/>
          <w:szCs w:val="16"/>
          <w:i w:val="1"/>
          <w:iCs w:val="1"/>
          <w:color w:val="auto"/>
        </w:rPr>
        <w:t>.</w:t>
      </w:r>
      <w:r>
        <w:rPr>
          <w:rFonts w:ascii="Arial" w:cs="Arial" w:eastAsia="Arial" w:hAnsi="Arial"/>
          <w:sz w:val="16"/>
          <w:szCs w:val="16"/>
          <w:color w:val="auto"/>
        </w:rPr>
        <w:t xml:space="preserve"> The increase in content licensing revenue was primarily due to content made available under licensing agreements that were not in effect in the prior year period.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Broadcast Television Segment—Operating Costs and Expenses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operating costs and expenses increased for the three months ended March 31, 2012 compared to the same period in 2011 primarily due to higher programming and production expenses associated with our broadcast of the 2012 Super Bowl. We also incurred higher programming, production and advertising costs associated with our mid-season primetime schedule.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Filmed Entertainment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color w:val="auto"/>
                <w:w w:val="83"/>
              </w:rPr>
              <w:t>2012</w:t>
            </w: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color w:val="auto"/>
                <w:w w:val="83"/>
              </w:rPr>
              <w:t>2011</w:t>
            </w:r>
          </w:p>
        </w:tc>
        <w:tc>
          <w:tcPr>
            <w:tcW w:w="2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20" w:type="dxa"/>
            <w:vAlign w:val="bottom"/>
            <w:vMerge w:val="restart"/>
          </w:tcPr>
          <w:p>
            <w:pPr>
              <w:jc w:val="right"/>
              <w:ind w:right="537"/>
              <w:spacing w:after="0"/>
              <w:rPr>
                <w:sz w:val="20"/>
                <w:szCs w:val="20"/>
                <w:color w:val="auto"/>
              </w:rPr>
            </w:pPr>
            <w:r>
              <w:rPr>
                <w:rFonts w:ascii="Arial" w:cs="Arial" w:eastAsia="Arial" w:hAnsi="Arial"/>
                <w:sz w:val="14"/>
                <w:szCs w:val="14"/>
                <w:color w:val="auto"/>
                <w:w w:val="83"/>
              </w:rPr>
              <w:t>Increase/</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restart"/>
          </w:tcPr>
          <w:p>
            <w:pPr>
              <w:jc w:val="center"/>
              <w:ind w:right="12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38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vMerge w:val="restart"/>
          </w:tcPr>
          <w:p>
            <w:pPr>
              <w:jc w:val="center"/>
              <w:ind w:right="260"/>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280" w:type="dxa"/>
            <w:vAlign w:val="bottom"/>
          </w:tcPr>
          <w:p>
            <w:pPr>
              <w:spacing w:after="0"/>
              <w:rPr>
                <w:sz w:val="11"/>
                <w:szCs w:val="11"/>
                <w:color w:val="auto"/>
              </w:rPr>
            </w:pPr>
          </w:p>
        </w:tc>
        <w:tc>
          <w:tcPr>
            <w:tcW w:w="780" w:type="dxa"/>
            <w:vAlign w:val="bottom"/>
          </w:tcPr>
          <w:p>
            <w:pPr>
              <w:jc w:val="center"/>
              <w:ind w:right="120"/>
              <w:spacing w:after="0" w:line="131" w:lineRule="exact"/>
              <w:rPr>
                <w:sz w:val="20"/>
                <w:szCs w:val="20"/>
                <w:color w:val="auto"/>
              </w:rPr>
            </w:pPr>
            <w:r>
              <w:rPr>
                <w:rFonts w:ascii="Arial" w:cs="Arial" w:eastAsia="Arial" w:hAnsi="Arial"/>
                <w:sz w:val="14"/>
                <w:szCs w:val="14"/>
                <w:color w:val="auto"/>
                <w:w w:val="87"/>
              </w:rPr>
              <w:t>Pro Forma</w:t>
            </w: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2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0"/>
              <w:spacing w:after="0" w:line="159" w:lineRule="exact"/>
              <w:rPr>
                <w:sz w:val="20"/>
                <w:szCs w:val="20"/>
                <w:color w:val="auto"/>
              </w:rPr>
            </w:pPr>
            <w:r>
              <w:rPr>
                <w:rFonts w:ascii="Arial" w:cs="Arial" w:eastAsia="Arial" w:hAnsi="Arial"/>
                <w:sz w:val="14"/>
                <w:szCs w:val="14"/>
                <w:color w:val="auto"/>
                <w:w w:val="87"/>
              </w:rPr>
              <w:t>Combined</w:t>
            </w:r>
          </w:p>
        </w:tc>
        <w:tc>
          <w:tcPr>
            <w:tcW w:w="380" w:type="dxa"/>
            <w:vAlign w:val="bottom"/>
          </w:tcPr>
          <w:p>
            <w:pPr>
              <w:spacing w:after="0"/>
              <w:rPr>
                <w:sz w:val="13"/>
                <w:szCs w:val="13"/>
                <w:color w:val="auto"/>
              </w:rPr>
            </w:pPr>
          </w:p>
        </w:tc>
        <w:tc>
          <w:tcPr>
            <w:tcW w:w="1840" w:type="dxa"/>
            <w:vAlign w:val="bottom"/>
            <w:tcBorders>
              <w:bottom w:val="single" w:sz="8" w:color="auto"/>
            </w:tcBorders>
            <w:gridSpan w:val="2"/>
          </w:tcPr>
          <w:p>
            <w:pPr>
              <w:jc w:val="right"/>
              <w:ind w:right="49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3920" w:type="dxa"/>
            <w:vAlign w:val="bottom"/>
          </w:tcPr>
          <w:p>
            <w:pPr>
              <w:spacing w:after="0"/>
              <w:rPr>
                <w:sz w:val="11"/>
                <w:szCs w:val="11"/>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87"/>
              </w:rPr>
              <w:t>Three Months</w:t>
            </w:r>
          </w:p>
        </w:tc>
        <w:tc>
          <w:tcPr>
            <w:tcW w:w="138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7"/>
              </w:rPr>
              <w:t>For the Period</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2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940" w:type="dxa"/>
            <w:vAlign w:val="bottom"/>
          </w:tcPr>
          <w:p>
            <w:pPr>
              <w:jc w:val="center"/>
              <w:ind w:right="280"/>
              <w:spacing w:after="0" w:line="135" w:lineRule="exact"/>
              <w:rPr>
                <w:sz w:val="20"/>
                <w:szCs w:val="20"/>
                <w:color w:val="auto"/>
              </w:rPr>
            </w:pPr>
            <w:r>
              <w:rPr>
                <w:rFonts w:ascii="Arial" w:cs="Arial" w:eastAsia="Arial" w:hAnsi="Arial"/>
                <w:sz w:val="14"/>
                <w:szCs w:val="14"/>
                <w:color w:val="auto"/>
                <w:w w:val="83"/>
              </w:rPr>
              <w:t>January 29</w:t>
            </w:r>
          </w:p>
        </w:tc>
        <w:tc>
          <w:tcPr>
            <w:tcW w:w="2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440" w:type="dxa"/>
            <w:vAlign w:val="bottom"/>
            <w:gridSpan w:val="3"/>
          </w:tcPr>
          <w:p>
            <w:pPr>
              <w:jc w:val="center"/>
              <w:ind w:right="280"/>
              <w:spacing w:after="0" w:line="135" w:lineRule="exact"/>
              <w:rPr>
                <w:sz w:val="20"/>
                <w:szCs w:val="20"/>
                <w:color w:val="auto"/>
              </w:rPr>
            </w:pPr>
            <w:r>
              <w:rPr>
                <w:rFonts w:ascii="Arial" w:cs="Arial" w:eastAsia="Arial" w:hAnsi="Arial"/>
                <w:sz w:val="14"/>
                <w:szCs w:val="14"/>
                <w:color w:val="auto"/>
                <w:w w:val="87"/>
              </w:rPr>
              <w:t>Three Months</w:t>
            </w:r>
          </w:p>
        </w:tc>
        <w:tc>
          <w:tcPr>
            <w:tcW w:w="7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560"/>
              <w:spacing w:after="0" w:line="149" w:lineRule="exact"/>
              <w:rPr>
                <w:sz w:val="20"/>
                <w:szCs w:val="20"/>
                <w:color w:val="auto"/>
              </w:rPr>
            </w:pPr>
            <w:r>
              <w:rPr>
                <w:rFonts w:ascii="Arial" w:cs="Arial" w:eastAsia="Arial" w:hAnsi="Arial"/>
                <w:sz w:val="14"/>
                <w:szCs w:val="14"/>
                <w:color w:val="auto"/>
                <w:w w:val="83"/>
              </w:rPr>
              <w:t>Ended</w:t>
            </w:r>
          </w:p>
        </w:tc>
        <w:tc>
          <w:tcPr>
            <w:tcW w:w="440" w:type="dxa"/>
            <w:vAlign w:val="bottom"/>
          </w:tcPr>
          <w:p>
            <w:pPr>
              <w:spacing w:after="0"/>
              <w:rPr>
                <w:sz w:val="12"/>
                <w:szCs w:val="12"/>
                <w:color w:val="auto"/>
              </w:rPr>
            </w:pPr>
          </w:p>
        </w:tc>
        <w:tc>
          <w:tcPr>
            <w:tcW w:w="940" w:type="dxa"/>
            <w:vAlign w:val="bottom"/>
          </w:tcPr>
          <w:p>
            <w:pPr>
              <w:jc w:val="center"/>
              <w:ind w:right="280"/>
              <w:spacing w:after="0" w:line="149" w:lineRule="exact"/>
              <w:rPr>
                <w:sz w:val="20"/>
                <w:szCs w:val="20"/>
                <w:color w:val="auto"/>
              </w:rPr>
            </w:pPr>
            <w:r>
              <w:rPr>
                <w:rFonts w:ascii="Arial" w:cs="Arial" w:eastAsia="Arial" w:hAnsi="Arial"/>
                <w:sz w:val="14"/>
                <w:szCs w:val="14"/>
                <w:color w:val="auto"/>
                <w:w w:val="88"/>
              </w:rPr>
              <w:t>through</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280" w:type="dxa"/>
            <w:vAlign w:val="bottom"/>
          </w:tcPr>
          <w:p>
            <w:pPr>
              <w:spacing w:after="0"/>
              <w:rPr>
                <w:sz w:val="12"/>
                <w:szCs w:val="12"/>
                <w:color w:val="auto"/>
              </w:rPr>
            </w:pPr>
          </w:p>
        </w:tc>
        <w:tc>
          <w:tcPr>
            <w:tcW w:w="116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3"/>
              </w:rPr>
              <w:t>Ended</w:t>
            </w:r>
          </w:p>
        </w:tc>
        <w:tc>
          <w:tcPr>
            <w:tcW w:w="7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920" w:type="dxa"/>
            <w:vAlign w:val="bottom"/>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March 31</w:t>
            </w:r>
          </w:p>
        </w:tc>
        <w:tc>
          <w:tcPr>
            <w:tcW w:w="440" w:type="dxa"/>
            <w:vAlign w:val="bottom"/>
          </w:tcPr>
          <w:p>
            <w:pPr>
              <w:spacing w:after="0"/>
              <w:rPr>
                <w:sz w:val="15"/>
                <w:szCs w:val="15"/>
                <w:color w:val="auto"/>
              </w:rPr>
            </w:pPr>
          </w:p>
        </w:tc>
        <w:tc>
          <w:tcPr>
            <w:tcW w:w="940" w:type="dxa"/>
            <w:vAlign w:val="bottom"/>
          </w:tcPr>
          <w:p>
            <w:pPr>
              <w:jc w:val="center"/>
              <w:ind w:right="260"/>
              <w:spacing w:after="0"/>
              <w:rPr>
                <w:sz w:val="20"/>
                <w:szCs w:val="20"/>
                <w:color w:val="auto"/>
              </w:rPr>
            </w:pPr>
            <w:r>
              <w:rPr>
                <w:rFonts w:ascii="Arial" w:cs="Arial" w:eastAsia="Arial" w:hAnsi="Arial"/>
                <w:sz w:val="14"/>
                <w:szCs w:val="14"/>
                <w:color w:val="auto"/>
                <w:w w:val="89"/>
              </w:rPr>
              <w:t>March 31</w:t>
            </w:r>
          </w:p>
        </w:tc>
        <w:tc>
          <w:tcPr>
            <w:tcW w:w="280" w:type="dxa"/>
            <w:vAlign w:val="bottom"/>
          </w:tcPr>
          <w:p>
            <w:pPr>
              <w:spacing w:after="0"/>
              <w:rPr>
                <w:sz w:val="15"/>
                <w:szCs w:val="15"/>
                <w:color w:val="auto"/>
              </w:rPr>
            </w:pPr>
          </w:p>
        </w:tc>
        <w:tc>
          <w:tcPr>
            <w:tcW w:w="980" w:type="dxa"/>
            <w:vAlign w:val="bottom"/>
          </w:tcPr>
          <w:p>
            <w:pPr>
              <w:jc w:val="center"/>
              <w:ind w:right="257"/>
              <w:spacing w:after="0"/>
              <w:rPr>
                <w:sz w:val="20"/>
                <w:szCs w:val="20"/>
                <w:color w:val="auto"/>
              </w:rPr>
            </w:pPr>
            <w:r>
              <w:rPr>
                <w:rFonts w:ascii="Arial" w:cs="Arial" w:eastAsia="Arial" w:hAnsi="Arial"/>
                <w:sz w:val="14"/>
                <w:szCs w:val="14"/>
                <w:color w:val="auto"/>
                <w:w w:val="83"/>
              </w:rPr>
              <w:t>Businesses</w:t>
            </w:r>
          </w:p>
        </w:tc>
        <w:tc>
          <w:tcPr>
            <w:tcW w:w="280" w:type="dxa"/>
            <w:vAlign w:val="bottom"/>
          </w:tcPr>
          <w:p>
            <w:pPr>
              <w:spacing w:after="0"/>
              <w:rPr>
                <w:sz w:val="15"/>
                <w:szCs w:val="15"/>
                <w:color w:val="auto"/>
              </w:rPr>
            </w:pPr>
          </w:p>
        </w:tc>
        <w:tc>
          <w:tcPr>
            <w:tcW w:w="1160" w:type="dxa"/>
            <w:vAlign w:val="bottom"/>
            <w:gridSpan w:val="2"/>
          </w:tcPr>
          <w:p>
            <w:pPr>
              <w:jc w:val="center"/>
              <w:ind w:right="560"/>
              <w:spacing w:after="0"/>
              <w:rPr>
                <w:sz w:val="20"/>
                <w:szCs w:val="20"/>
                <w:color w:val="auto"/>
              </w:rPr>
            </w:pPr>
            <w:r>
              <w:rPr>
                <w:rFonts w:ascii="Arial" w:cs="Arial" w:eastAsia="Arial" w:hAnsi="Arial"/>
                <w:sz w:val="14"/>
                <w:szCs w:val="14"/>
                <w:color w:val="auto"/>
                <w:w w:val="89"/>
              </w:rPr>
              <w:t>March 31</w:t>
            </w:r>
          </w:p>
        </w:tc>
        <w:tc>
          <w:tcPr>
            <w:tcW w:w="720" w:type="dxa"/>
            <w:vAlign w:val="bottom"/>
          </w:tcPr>
          <w:p>
            <w:pPr>
              <w:jc w:val="right"/>
              <w:ind w:right="77"/>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31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392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spacing w:after="0"/>
              <w:rPr>
                <w:sz w:val="18"/>
                <w:szCs w:val="18"/>
                <w:color w:val="auto"/>
              </w:rPr>
            </w:pPr>
          </w:p>
        </w:tc>
        <w:tc>
          <w:tcPr>
            <w:tcW w:w="76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spacing w:after="0"/>
              <w:rPr>
                <w:sz w:val="18"/>
                <w:szCs w:val="18"/>
                <w:color w:val="auto"/>
              </w:rPr>
            </w:pPr>
          </w:p>
        </w:tc>
        <w:tc>
          <w:tcPr>
            <w:tcW w:w="94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980" w:type="dxa"/>
            <w:vAlign w:val="bottom"/>
            <w:tcBorders>
              <w:top w:val="single" w:sz="8" w:color="auto"/>
            </w:tcBorders>
            <w:shd w:val="clear" w:color="auto" w:fill="E5E5E5"/>
          </w:tcPr>
          <w:p>
            <w:pPr>
              <w:spacing w:after="0"/>
              <w:rPr>
                <w:sz w:val="18"/>
                <w:szCs w:val="18"/>
                <w:color w:val="auto"/>
              </w:rPr>
            </w:pPr>
          </w:p>
        </w:tc>
        <w:tc>
          <w:tcPr>
            <w:tcW w:w="280" w:type="dxa"/>
            <w:vAlign w:val="bottom"/>
            <w:tcBorders>
              <w:top w:val="single" w:sz="8" w:color="auto"/>
            </w:tcBorders>
            <w:shd w:val="clear" w:color="auto" w:fill="E5E5E5"/>
          </w:tcPr>
          <w:p>
            <w:pPr>
              <w:spacing w:after="0"/>
              <w:rPr>
                <w:sz w:val="18"/>
                <w:szCs w:val="18"/>
                <w:color w:val="auto"/>
              </w:rPr>
            </w:pPr>
          </w:p>
        </w:tc>
        <w:tc>
          <w:tcPr>
            <w:tcW w:w="780" w:type="dxa"/>
            <w:vAlign w:val="bottom"/>
            <w:tcBorders>
              <w:top w:val="single" w:sz="8" w:color="auto"/>
            </w:tcBorders>
            <w:shd w:val="clear" w:color="auto" w:fill="E5E5E5"/>
          </w:tcPr>
          <w:p>
            <w:pPr>
              <w:spacing w:after="0"/>
              <w:rPr>
                <w:sz w:val="18"/>
                <w:szCs w:val="18"/>
                <w:color w:val="auto"/>
              </w:rPr>
            </w:pPr>
          </w:p>
        </w:tc>
        <w:tc>
          <w:tcPr>
            <w:tcW w:w="380" w:type="dxa"/>
            <w:vAlign w:val="bottom"/>
            <w:tcBorders>
              <w:top w:val="single" w:sz="8" w:color="E5E5E5"/>
            </w:tcBorders>
            <w:shd w:val="clear" w:color="auto" w:fill="E5E5E5"/>
          </w:tcPr>
          <w:p>
            <w:pPr>
              <w:spacing w:after="0"/>
              <w:rPr>
                <w:sz w:val="18"/>
                <w:szCs w:val="18"/>
                <w:color w:val="auto"/>
              </w:rPr>
            </w:pPr>
          </w:p>
        </w:tc>
        <w:tc>
          <w:tcPr>
            <w:tcW w:w="720" w:type="dxa"/>
            <w:vAlign w:val="bottom"/>
            <w:tcBorders>
              <w:top w:val="single" w:sz="8" w:color="auto"/>
            </w:tcBorders>
            <w:shd w:val="clear" w:color="auto" w:fill="E5E5E5"/>
          </w:tcPr>
          <w:p>
            <w:pPr>
              <w:spacing w:after="0"/>
              <w:rPr>
                <w:sz w:val="18"/>
                <w:szCs w:val="18"/>
                <w:color w:val="auto"/>
              </w:rPr>
            </w:pPr>
          </w:p>
        </w:tc>
        <w:tc>
          <w:tcPr>
            <w:tcW w:w="1120" w:type="dxa"/>
            <w:vAlign w:val="bottom"/>
            <w:tcBorders>
              <w:top w:val="single" w:sz="8" w:color="auto"/>
            </w:tcBorders>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Theatrical</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301</w:t>
            </w:r>
          </w:p>
        </w:tc>
        <w:tc>
          <w:tcPr>
            <w:tcW w:w="3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119</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58</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177</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1120" w:type="dxa"/>
            <w:vAlign w:val="bottom"/>
          </w:tcPr>
          <w:p>
            <w:pPr>
              <w:jc w:val="right"/>
              <w:spacing w:after="0"/>
              <w:rPr>
                <w:sz w:val="20"/>
                <w:szCs w:val="20"/>
                <w:color w:val="auto"/>
              </w:rPr>
            </w:pPr>
            <w:r>
              <w:rPr>
                <w:rFonts w:ascii="Arial" w:cs="Arial" w:eastAsia="Arial" w:hAnsi="Arial"/>
                <w:sz w:val="18"/>
                <w:szCs w:val="18"/>
                <w:color w:val="auto"/>
              </w:rPr>
              <w:t>70.1%</w:t>
            </w:r>
          </w:p>
        </w:tc>
        <w:tc>
          <w:tcPr>
            <w:tcW w:w="0" w:type="dxa"/>
            <w:vAlign w:val="bottom"/>
          </w:tcPr>
          <w:p>
            <w:pPr>
              <w:spacing w:after="0"/>
              <w:rPr>
                <w:sz w:val="1"/>
                <w:szCs w:val="1"/>
                <w:color w:val="auto"/>
              </w:rPr>
            </w:pPr>
          </w:p>
        </w:tc>
      </w:tr>
      <w:tr>
        <w:trPr>
          <w:trHeight w:val="216"/>
        </w:trPr>
        <w:tc>
          <w:tcPr>
            <w:tcW w:w="3920" w:type="dxa"/>
            <w:vAlign w:val="bottom"/>
            <w:shd w:val="clear" w:color="auto" w:fill="E5E5E5"/>
          </w:tcPr>
          <w:p>
            <w:pPr>
              <w:ind w:left="440"/>
              <w:spacing w:after="0"/>
              <w:rPr>
                <w:sz w:val="20"/>
                <w:szCs w:val="20"/>
                <w:color w:val="auto"/>
              </w:rPr>
            </w:pPr>
            <w:r>
              <w:rPr>
                <w:rFonts w:ascii="Arial" w:cs="Arial" w:eastAsia="Arial" w:hAnsi="Arial"/>
                <w:sz w:val="18"/>
                <w:szCs w:val="18"/>
                <w:color w:val="auto"/>
              </w:rPr>
              <w:t>Content licensing</w:t>
            </w:r>
          </w:p>
        </w:tc>
        <w:tc>
          <w:tcPr>
            <w:tcW w:w="440" w:type="dxa"/>
            <w:vAlign w:val="bottom"/>
            <w:shd w:val="clear" w:color="auto" w:fill="E5E5E5"/>
          </w:tcPr>
          <w:p>
            <w:pPr>
              <w:spacing w:after="0"/>
              <w:rPr>
                <w:sz w:val="18"/>
                <w:szCs w:val="18"/>
                <w:color w:val="auto"/>
              </w:rPr>
            </w:pPr>
          </w:p>
        </w:tc>
        <w:tc>
          <w:tcPr>
            <w:tcW w:w="7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401</w:t>
            </w:r>
          </w:p>
        </w:tc>
        <w:tc>
          <w:tcPr>
            <w:tcW w:w="380" w:type="dxa"/>
            <w:vAlign w:val="bottom"/>
            <w:shd w:val="clear" w:color="auto" w:fill="E5E5E5"/>
          </w:tcPr>
          <w:p>
            <w:pPr>
              <w:spacing w:after="0"/>
              <w:rPr>
                <w:sz w:val="18"/>
                <w:szCs w:val="18"/>
                <w:color w:val="auto"/>
              </w:rPr>
            </w:pPr>
          </w:p>
        </w:tc>
        <w:tc>
          <w:tcPr>
            <w:tcW w:w="440" w:type="dxa"/>
            <w:vAlign w:val="bottom"/>
            <w:shd w:val="clear" w:color="auto" w:fill="E5E5E5"/>
          </w:tcPr>
          <w:p>
            <w:pPr>
              <w:spacing w:after="0"/>
              <w:rPr>
                <w:sz w:val="18"/>
                <w:szCs w:val="18"/>
                <w:color w:val="auto"/>
              </w:rPr>
            </w:pPr>
          </w:p>
        </w:tc>
        <w:tc>
          <w:tcPr>
            <w:tcW w:w="940" w:type="dxa"/>
            <w:vAlign w:val="bottom"/>
            <w:shd w:val="clear" w:color="auto" w:fill="E5E5E5"/>
          </w:tcPr>
          <w:p>
            <w:pPr>
              <w:jc w:val="right"/>
              <w:ind w:right="180"/>
              <w:spacing w:after="0"/>
              <w:rPr>
                <w:sz w:val="20"/>
                <w:szCs w:val="20"/>
                <w:color w:val="auto"/>
              </w:rPr>
            </w:pPr>
            <w:r>
              <w:rPr>
                <w:rFonts w:ascii="Arial" w:cs="Arial" w:eastAsia="Arial" w:hAnsi="Arial"/>
                <w:sz w:val="18"/>
                <w:szCs w:val="18"/>
                <w:color w:val="auto"/>
              </w:rPr>
              <w:t>218</w:t>
            </w:r>
          </w:p>
        </w:tc>
        <w:tc>
          <w:tcPr>
            <w:tcW w:w="280" w:type="dxa"/>
            <w:vAlign w:val="bottom"/>
            <w:shd w:val="clear" w:color="auto" w:fill="E5E5E5"/>
          </w:tcPr>
          <w:p>
            <w:pPr>
              <w:spacing w:after="0"/>
              <w:rPr>
                <w:sz w:val="18"/>
                <w:szCs w:val="18"/>
                <w:color w:val="auto"/>
              </w:rPr>
            </w:pPr>
          </w:p>
        </w:tc>
        <w:tc>
          <w:tcPr>
            <w:tcW w:w="980" w:type="dxa"/>
            <w:vAlign w:val="bottom"/>
            <w:shd w:val="clear" w:color="auto" w:fill="E5E5E5"/>
          </w:tcPr>
          <w:p>
            <w:pPr>
              <w:jc w:val="right"/>
              <w:ind w:right="177"/>
              <w:spacing w:after="0"/>
              <w:rPr>
                <w:sz w:val="20"/>
                <w:szCs w:val="20"/>
                <w:color w:val="auto"/>
              </w:rPr>
            </w:pPr>
            <w:r>
              <w:rPr>
                <w:rFonts w:ascii="Arial" w:cs="Arial" w:eastAsia="Arial" w:hAnsi="Arial"/>
                <w:sz w:val="18"/>
                <w:szCs w:val="18"/>
                <w:color w:val="auto"/>
              </w:rPr>
              <w:t>171</w:t>
            </w:r>
          </w:p>
        </w:tc>
        <w:tc>
          <w:tcPr>
            <w:tcW w:w="280" w:type="dxa"/>
            <w:vAlign w:val="bottom"/>
            <w:shd w:val="clear" w:color="auto" w:fill="E5E5E5"/>
          </w:tcPr>
          <w:p>
            <w:pPr>
              <w:spacing w:after="0"/>
              <w:rPr>
                <w:sz w:val="18"/>
                <w:szCs w:val="18"/>
                <w:color w:val="auto"/>
              </w:rPr>
            </w:pPr>
          </w:p>
        </w:tc>
        <w:tc>
          <w:tcPr>
            <w:tcW w:w="780" w:type="dxa"/>
            <w:vAlign w:val="bottom"/>
            <w:shd w:val="clear" w:color="auto" w:fill="E5E5E5"/>
          </w:tcPr>
          <w:p>
            <w:pPr>
              <w:jc w:val="right"/>
              <w:ind w:right="20"/>
              <w:spacing w:after="0"/>
              <w:rPr>
                <w:sz w:val="20"/>
                <w:szCs w:val="20"/>
                <w:color w:val="auto"/>
              </w:rPr>
            </w:pPr>
            <w:r>
              <w:rPr>
                <w:rFonts w:ascii="Arial" w:cs="Arial" w:eastAsia="Arial" w:hAnsi="Arial"/>
                <w:sz w:val="18"/>
                <w:szCs w:val="18"/>
                <w:color w:val="auto"/>
              </w:rPr>
              <w:t>389</w:t>
            </w:r>
          </w:p>
        </w:tc>
        <w:tc>
          <w:tcPr>
            <w:tcW w:w="380" w:type="dxa"/>
            <w:vAlign w:val="bottom"/>
            <w:shd w:val="clear" w:color="auto" w:fill="E5E5E5"/>
          </w:tcPr>
          <w:p>
            <w:pPr>
              <w:spacing w:after="0"/>
              <w:rPr>
                <w:sz w:val="18"/>
                <w:szCs w:val="18"/>
                <w:color w:val="auto"/>
              </w:rPr>
            </w:pPr>
          </w:p>
        </w:tc>
        <w:tc>
          <w:tcPr>
            <w:tcW w:w="72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12</w:t>
            </w:r>
          </w:p>
        </w:tc>
        <w:tc>
          <w:tcPr>
            <w:tcW w:w="1120" w:type="dxa"/>
            <w:vAlign w:val="bottom"/>
            <w:shd w:val="clear" w:color="auto" w:fill="E5E5E5"/>
          </w:tcPr>
          <w:p>
            <w:pPr>
              <w:jc w:val="right"/>
              <w:ind w:right="137"/>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3920" w:type="dxa"/>
            <w:vAlign w:val="bottom"/>
          </w:tcPr>
          <w:p>
            <w:pPr>
              <w:ind w:left="440"/>
              <w:spacing w:after="0"/>
              <w:rPr>
                <w:sz w:val="20"/>
                <w:szCs w:val="20"/>
                <w:color w:val="auto"/>
              </w:rPr>
            </w:pPr>
            <w:r>
              <w:rPr>
                <w:rFonts w:ascii="Arial" w:cs="Arial" w:eastAsia="Arial" w:hAnsi="Arial"/>
                <w:sz w:val="18"/>
                <w:szCs w:val="18"/>
                <w:color w:val="auto"/>
              </w:rPr>
              <w:t>Home entertainment</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380</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207</w:t>
            </w:r>
          </w:p>
        </w:tc>
        <w:tc>
          <w:tcPr>
            <w:tcW w:w="28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96</w:t>
            </w:r>
          </w:p>
        </w:tc>
        <w:tc>
          <w:tcPr>
            <w:tcW w:w="28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303</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ind w:left="440"/>
              <w:spacing w:after="0"/>
              <w:rPr>
                <w:sz w:val="20"/>
                <w:szCs w:val="20"/>
                <w:color w:val="auto"/>
              </w:rPr>
            </w:pPr>
            <w:r>
              <w:rPr>
                <w:rFonts w:ascii="Arial" w:cs="Arial" w:eastAsia="Arial" w:hAnsi="Arial"/>
                <w:sz w:val="18"/>
                <w:szCs w:val="18"/>
                <w:color w:val="auto"/>
              </w:rPr>
              <w:t>Other</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110</w:t>
            </w:r>
          </w:p>
        </w:tc>
        <w:tc>
          <w:tcPr>
            <w:tcW w:w="38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78</w:t>
            </w:r>
          </w:p>
        </w:tc>
        <w:tc>
          <w:tcPr>
            <w:tcW w:w="2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28</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0"/>
        </w:trPr>
        <w:tc>
          <w:tcPr>
            <w:tcW w:w="3920" w:type="dxa"/>
            <w:vAlign w:val="bottom"/>
          </w:tcPr>
          <w:p>
            <w:pPr>
              <w:spacing w:after="0"/>
              <w:rPr>
                <w:sz w:val="20"/>
                <w:szCs w:val="20"/>
                <w:color w:val="auto"/>
              </w:rPr>
            </w:pPr>
            <w:r>
              <w:rPr>
                <w:rFonts w:ascii="Arial" w:cs="Arial" w:eastAsia="Arial" w:hAnsi="Arial"/>
                <w:sz w:val="18"/>
                <w:szCs w:val="18"/>
                <w:b w:val="1"/>
                <w:bCs w:val="1"/>
                <w:color w:val="auto"/>
              </w:rPr>
              <w:t>Total revenue</w:t>
            </w:r>
          </w:p>
        </w:tc>
        <w:tc>
          <w:tcPr>
            <w:tcW w:w="4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1,192</w:t>
            </w:r>
          </w:p>
        </w:tc>
        <w:tc>
          <w:tcPr>
            <w:tcW w:w="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jc w:val="right"/>
              <w:ind w:right="180"/>
              <w:spacing w:after="0"/>
              <w:rPr>
                <w:sz w:val="20"/>
                <w:szCs w:val="20"/>
                <w:color w:val="auto"/>
              </w:rPr>
            </w:pPr>
            <w:r>
              <w:rPr>
                <w:rFonts w:ascii="Arial" w:cs="Arial" w:eastAsia="Arial" w:hAnsi="Arial"/>
                <w:sz w:val="18"/>
                <w:szCs w:val="18"/>
                <w:color w:val="auto"/>
              </w:rPr>
              <w:t>622</w:t>
            </w:r>
          </w:p>
        </w:tc>
        <w:tc>
          <w:tcPr>
            <w:tcW w:w="280" w:type="dxa"/>
            <w:vAlign w:val="bottom"/>
          </w:tcPr>
          <w:p>
            <w:pPr>
              <w:spacing w:after="0"/>
              <w:rPr>
                <w:sz w:val="18"/>
                <w:szCs w:val="18"/>
                <w:color w:val="auto"/>
              </w:rPr>
            </w:pPr>
          </w:p>
        </w:tc>
        <w:tc>
          <w:tcPr>
            <w:tcW w:w="980" w:type="dxa"/>
            <w:vAlign w:val="bottom"/>
          </w:tcPr>
          <w:p>
            <w:pPr>
              <w:jc w:val="right"/>
              <w:ind w:right="177"/>
              <w:spacing w:after="0"/>
              <w:rPr>
                <w:sz w:val="20"/>
                <w:szCs w:val="20"/>
                <w:color w:val="auto"/>
              </w:rPr>
            </w:pPr>
            <w:r>
              <w:rPr>
                <w:rFonts w:ascii="Arial" w:cs="Arial" w:eastAsia="Arial" w:hAnsi="Arial"/>
                <w:sz w:val="18"/>
                <w:szCs w:val="18"/>
                <w:color w:val="auto"/>
              </w:rPr>
              <w:t>353</w:t>
            </w:r>
          </w:p>
        </w:tc>
        <w:tc>
          <w:tcPr>
            <w:tcW w:w="280" w:type="dxa"/>
            <w:vAlign w:val="bottom"/>
          </w:tcPr>
          <w:p>
            <w:pPr>
              <w:spacing w:after="0"/>
              <w:rPr>
                <w:sz w:val="18"/>
                <w:szCs w:val="18"/>
                <w:color w:val="auto"/>
              </w:rPr>
            </w:pPr>
          </w:p>
        </w:tc>
        <w:tc>
          <w:tcPr>
            <w:tcW w:w="780" w:type="dxa"/>
            <w:vAlign w:val="bottom"/>
          </w:tcPr>
          <w:p>
            <w:pPr>
              <w:jc w:val="right"/>
              <w:ind w:right="20"/>
              <w:spacing w:after="0"/>
              <w:rPr>
                <w:sz w:val="20"/>
                <w:szCs w:val="20"/>
                <w:color w:val="auto"/>
              </w:rPr>
            </w:pPr>
            <w:r>
              <w:rPr>
                <w:rFonts w:ascii="Arial" w:cs="Arial" w:eastAsia="Arial" w:hAnsi="Arial"/>
                <w:sz w:val="18"/>
                <w:szCs w:val="18"/>
                <w:color w:val="auto"/>
              </w:rPr>
              <w:t>975</w:t>
            </w:r>
          </w:p>
        </w:tc>
        <w:tc>
          <w:tcPr>
            <w:tcW w:w="3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w:t>
            </w:r>
          </w:p>
        </w:tc>
        <w:tc>
          <w:tcPr>
            <w:tcW w:w="1120" w:type="dxa"/>
            <w:vAlign w:val="bottom"/>
          </w:tcPr>
          <w:p>
            <w:pPr>
              <w:jc w:val="right"/>
              <w:ind w:right="137"/>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16"/>
        </w:trPr>
        <w:tc>
          <w:tcPr>
            <w:tcW w:w="392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Borders>
              <w:bottom w:val="single" w:sz="8" w:color="auto"/>
            </w:tcBorders>
            <w:shd w:val="clear" w:color="auto" w:fill="E5E5E5"/>
          </w:tcPr>
          <w:p>
            <w:pPr>
              <w:spacing w:after="0"/>
              <w:rPr>
                <w:sz w:val="18"/>
                <w:szCs w:val="18"/>
                <w:color w:val="auto"/>
              </w:rPr>
            </w:pPr>
          </w:p>
        </w:tc>
        <w:tc>
          <w:tcPr>
            <w:tcW w:w="7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1,186</w:t>
            </w:r>
          </w:p>
        </w:tc>
        <w:tc>
          <w:tcPr>
            <w:tcW w:w="380" w:type="dxa"/>
            <w:vAlign w:val="bottom"/>
            <w:tcBorders>
              <w:bottom w:val="single" w:sz="8" w:color="E5E5E5"/>
            </w:tcBorders>
            <w:shd w:val="clear" w:color="auto" w:fill="E5E5E5"/>
          </w:tcPr>
          <w:p>
            <w:pPr>
              <w:spacing w:after="0"/>
              <w:rPr>
                <w:sz w:val="18"/>
                <w:szCs w:val="18"/>
                <w:color w:val="auto"/>
              </w:rPr>
            </w:pPr>
          </w:p>
        </w:tc>
        <w:tc>
          <w:tcPr>
            <w:tcW w:w="440" w:type="dxa"/>
            <w:vAlign w:val="bottom"/>
            <w:tcBorders>
              <w:bottom w:val="single" w:sz="8" w:color="auto"/>
            </w:tcBorders>
            <w:shd w:val="clear" w:color="auto" w:fill="E5E5E5"/>
          </w:tcPr>
          <w:p>
            <w:pPr>
              <w:spacing w:after="0"/>
              <w:rPr>
                <w:sz w:val="18"/>
                <w:szCs w:val="18"/>
                <w:color w:val="auto"/>
              </w:rPr>
            </w:pPr>
          </w:p>
        </w:tc>
        <w:tc>
          <w:tcPr>
            <w:tcW w:w="940" w:type="dxa"/>
            <w:vAlign w:val="bottom"/>
            <w:tcBorders>
              <w:bottom w:val="single" w:sz="8" w:color="auto"/>
            </w:tcBorders>
            <w:shd w:val="clear" w:color="auto" w:fill="E5E5E5"/>
          </w:tcPr>
          <w:p>
            <w:pPr>
              <w:jc w:val="right"/>
              <w:ind w:right="180"/>
              <w:spacing w:after="0"/>
              <w:rPr>
                <w:sz w:val="20"/>
                <w:szCs w:val="20"/>
                <w:color w:val="auto"/>
              </w:rPr>
            </w:pPr>
            <w:r>
              <w:rPr>
                <w:rFonts w:ascii="Arial" w:cs="Arial" w:eastAsia="Arial" w:hAnsi="Arial"/>
                <w:sz w:val="18"/>
                <w:szCs w:val="18"/>
                <w:color w:val="auto"/>
              </w:rPr>
              <w:t>765</w:t>
            </w:r>
          </w:p>
        </w:tc>
        <w:tc>
          <w:tcPr>
            <w:tcW w:w="280" w:type="dxa"/>
            <w:vAlign w:val="bottom"/>
            <w:tcBorders>
              <w:bottom w:val="single" w:sz="8" w:color="auto"/>
            </w:tcBorders>
            <w:shd w:val="clear" w:color="auto" w:fill="E5E5E5"/>
          </w:tcPr>
          <w:p>
            <w:pPr>
              <w:spacing w:after="0"/>
              <w:rPr>
                <w:sz w:val="18"/>
                <w:szCs w:val="18"/>
                <w:color w:val="auto"/>
              </w:rPr>
            </w:pPr>
          </w:p>
        </w:tc>
        <w:tc>
          <w:tcPr>
            <w:tcW w:w="980" w:type="dxa"/>
            <w:vAlign w:val="bottom"/>
            <w:tcBorders>
              <w:bottom w:val="single" w:sz="8" w:color="auto"/>
            </w:tcBorders>
            <w:shd w:val="clear" w:color="auto" w:fill="E5E5E5"/>
          </w:tcPr>
          <w:p>
            <w:pPr>
              <w:jc w:val="right"/>
              <w:ind w:right="177"/>
              <w:spacing w:after="0"/>
              <w:rPr>
                <w:sz w:val="20"/>
                <w:szCs w:val="20"/>
                <w:color w:val="auto"/>
              </w:rPr>
            </w:pPr>
            <w:r>
              <w:rPr>
                <w:rFonts w:ascii="Arial" w:cs="Arial" w:eastAsia="Arial" w:hAnsi="Arial"/>
                <w:sz w:val="18"/>
                <w:szCs w:val="18"/>
                <w:color w:val="auto"/>
              </w:rPr>
              <w:t>356</w:t>
            </w:r>
          </w:p>
        </w:tc>
        <w:tc>
          <w:tcPr>
            <w:tcW w:w="280" w:type="dxa"/>
            <w:vAlign w:val="bottom"/>
            <w:tcBorders>
              <w:bottom w:val="single" w:sz="8" w:color="auto"/>
            </w:tcBorders>
            <w:shd w:val="clear" w:color="auto" w:fill="E5E5E5"/>
          </w:tcPr>
          <w:p>
            <w:pPr>
              <w:spacing w:after="0"/>
              <w:rPr>
                <w:sz w:val="18"/>
                <w:szCs w:val="18"/>
                <w:color w:val="auto"/>
              </w:rPr>
            </w:pPr>
          </w:p>
        </w:tc>
        <w:tc>
          <w:tcPr>
            <w:tcW w:w="780" w:type="dxa"/>
            <w:vAlign w:val="bottom"/>
            <w:tcBorders>
              <w:bottom w:val="single" w:sz="8" w:color="auto"/>
            </w:tcBorders>
            <w:shd w:val="clear" w:color="auto" w:fill="E5E5E5"/>
          </w:tcPr>
          <w:p>
            <w:pPr>
              <w:jc w:val="right"/>
              <w:ind w:right="20"/>
              <w:spacing w:after="0"/>
              <w:rPr>
                <w:sz w:val="20"/>
                <w:szCs w:val="20"/>
                <w:color w:val="auto"/>
              </w:rPr>
            </w:pPr>
            <w:r>
              <w:rPr>
                <w:rFonts w:ascii="Arial" w:cs="Arial" w:eastAsia="Arial" w:hAnsi="Arial"/>
                <w:sz w:val="18"/>
                <w:szCs w:val="18"/>
                <w:color w:val="auto"/>
              </w:rPr>
              <w:t>1,121</w:t>
            </w:r>
          </w:p>
        </w:tc>
        <w:tc>
          <w:tcPr>
            <w:tcW w:w="380" w:type="dxa"/>
            <w:vAlign w:val="bottom"/>
            <w:tcBorders>
              <w:bottom w:val="single" w:sz="8" w:color="E5E5E5"/>
            </w:tcBorders>
            <w:shd w:val="clear" w:color="auto" w:fill="E5E5E5"/>
          </w:tcPr>
          <w:p>
            <w:pPr>
              <w:spacing w:after="0"/>
              <w:rPr>
                <w:sz w:val="18"/>
                <w:szCs w:val="18"/>
                <w:color w:val="auto"/>
              </w:rPr>
            </w:pPr>
          </w:p>
        </w:tc>
        <w:tc>
          <w:tcPr>
            <w:tcW w:w="7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65</w:t>
            </w:r>
          </w:p>
        </w:tc>
        <w:tc>
          <w:tcPr>
            <w:tcW w:w="1120" w:type="dxa"/>
            <w:vAlign w:val="bottom"/>
            <w:tcBorders>
              <w:bottom w:val="single" w:sz="8" w:color="auto"/>
            </w:tcBorders>
            <w:shd w:val="clear" w:color="auto" w:fill="E5E5E5"/>
          </w:tcPr>
          <w:p>
            <w:pPr>
              <w:jc w:val="right"/>
              <w:ind w:right="137"/>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5"/>
        </w:trPr>
        <w:tc>
          <w:tcPr>
            <w:tcW w:w="3920" w:type="dxa"/>
            <w:vAlign w:val="bottom"/>
          </w:tcPr>
          <w:p>
            <w:pPr>
              <w:spacing w:after="0" w:line="195" w:lineRule="exact"/>
              <w:rPr>
                <w:sz w:val="20"/>
                <w:szCs w:val="20"/>
                <w:color w:val="auto"/>
              </w:rPr>
            </w:pPr>
            <w:r>
              <w:rPr>
                <w:rFonts w:ascii="Arial" w:cs="Arial" w:eastAsia="Arial" w:hAnsi="Arial"/>
                <w:sz w:val="18"/>
                <w:szCs w:val="18"/>
                <w:b w:val="1"/>
                <w:bCs w:val="1"/>
                <w:color w:val="auto"/>
                <w:w w:val="93"/>
              </w:rPr>
              <w:t>Operating income (loss) before depreciation and</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9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amortization</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w:t>
            </w:r>
          </w:p>
        </w:tc>
        <w:tc>
          <w:tcPr>
            <w:tcW w:w="380" w:type="dxa"/>
            <w:vAlign w:val="bottom"/>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tcPr>
          <w:p>
            <w:pPr>
              <w:jc w:val="right"/>
              <w:ind w:right="120"/>
              <w:spacing w:after="0"/>
              <w:rPr>
                <w:sz w:val="20"/>
                <w:szCs w:val="20"/>
                <w:color w:val="auto"/>
              </w:rPr>
            </w:pPr>
            <w:r>
              <w:rPr>
                <w:rFonts w:ascii="Arial" w:cs="Arial" w:eastAsia="Arial" w:hAnsi="Arial"/>
                <w:sz w:val="18"/>
                <w:szCs w:val="18"/>
                <w:b w:val="1"/>
                <w:bCs w:val="1"/>
                <w:color w:val="auto"/>
              </w:rPr>
              <w:t>(143)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b w:val="1"/>
                <w:bCs w:val="1"/>
                <w:color w:val="auto"/>
              </w:rPr>
              <w:t>(3)</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(146)</w:t>
            </w:r>
          </w:p>
        </w:tc>
        <w:tc>
          <w:tcPr>
            <w:tcW w:w="380" w:type="dxa"/>
            <w:vAlign w:val="bottom"/>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$152</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Actual amounts include the results of operations for the NBCUniversal acquired businesses for the three months ended March 31, 2012 and for the period January 29, 2011 through March 31, 2011.</w:t>
      </w:r>
    </w:p>
    <w:p>
      <w:pPr>
        <w:spacing w:after="0" w:line="78" w:lineRule="exact"/>
        <w:rPr>
          <w:rFonts w:ascii="Arial" w:cs="Arial" w:eastAsia="Arial" w:hAnsi="Arial"/>
          <w:sz w:val="12"/>
          <w:szCs w:val="12"/>
          <w:color w:val="auto"/>
        </w:rPr>
      </w:pPr>
    </w:p>
    <w:p>
      <w:pPr>
        <w:ind w:left="340" w:hanging="332"/>
        <w:spacing w:after="0" w:line="239" w:lineRule="auto"/>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Segment—Revenue</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 xml:space="preserve">Our Filmed Entertainment revenue increased for the three months ended March 31, 2012 compared to the same period in 2011 primarily due to increases in theatrical and home entertainment revenue. The increase in theatrical revenue was primarily due to the release of </w:t>
      </w:r>
      <w:r>
        <w:rPr>
          <w:rFonts w:ascii="Arial" w:cs="Arial" w:eastAsia="Arial" w:hAnsi="Arial"/>
          <w:sz w:val="16"/>
          <w:szCs w:val="16"/>
          <w:i w:val="1"/>
          <w:iCs w:val="1"/>
          <w:color w:val="auto"/>
        </w:rPr>
        <w:t>Dr. Seuss’ The Lorax</w:t>
      </w:r>
      <w:r>
        <w:rPr>
          <w:rFonts w:ascii="Arial" w:cs="Arial" w:eastAsia="Arial" w:hAnsi="Arial"/>
          <w:sz w:val="16"/>
          <w:szCs w:val="16"/>
          <w:color w:val="auto"/>
        </w:rPr>
        <w:t xml:space="preserve"> and </w:t>
      </w:r>
      <w:r>
        <w:rPr>
          <w:rFonts w:ascii="Arial" w:cs="Arial" w:eastAsia="Arial" w:hAnsi="Arial"/>
          <w:sz w:val="16"/>
          <w:szCs w:val="16"/>
          <w:i w:val="1"/>
          <w:iCs w:val="1"/>
          <w:color w:val="auto"/>
        </w:rPr>
        <w:t>Safe House</w:t>
      </w:r>
      <w:r>
        <w:rPr>
          <w:rFonts w:ascii="Arial" w:cs="Arial" w:eastAsia="Arial" w:hAnsi="Arial"/>
          <w:sz w:val="16"/>
          <w:szCs w:val="16"/>
          <w:color w:val="auto"/>
        </w:rPr>
        <w:t xml:space="preserve">. The increase in home entertainment revenue was primarily due to an increase in the number of titles released, which included </w:t>
      </w:r>
      <w:r>
        <w:rPr>
          <w:rFonts w:ascii="Arial" w:cs="Arial" w:eastAsia="Arial" w:hAnsi="Arial"/>
          <w:sz w:val="16"/>
          <w:szCs w:val="16"/>
          <w:i w:val="1"/>
          <w:iCs w:val="1"/>
          <w:color w:val="auto"/>
        </w:rPr>
        <w:t>Hop</w:t>
      </w:r>
      <w:r>
        <w:rPr>
          <w:rFonts w:ascii="Arial" w:cs="Arial" w:eastAsia="Arial" w:hAnsi="Arial"/>
          <w:sz w:val="16"/>
          <w:szCs w:val="16"/>
          <w:color w:val="auto"/>
        </w:rPr>
        <w:t xml:space="preserve"> and </w:t>
      </w:r>
      <w:r>
        <w:rPr>
          <w:rFonts w:ascii="Arial" w:cs="Arial" w:eastAsia="Arial" w:hAnsi="Arial"/>
          <w:sz w:val="16"/>
          <w:szCs w:val="16"/>
          <w:i w:val="1"/>
          <w:iCs w:val="1"/>
          <w:color w:val="auto"/>
        </w:rPr>
        <w:t>Tower Heist</w:t>
      </w:r>
      <w:r>
        <w:rPr>
          <w:rFonts w:ascii="Arial" w:cs="Arial" w:eastAsia="Arial" w:hAnsi="Arial"/>
          <w:sz w:val="16"/>
          <w:szCs w:val="16"/>
          <w:color w:val="auto"/>
        </w:rPr>
        <w: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Filmed Entertainment Segment—Operating Costs and Expenses</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Our operating costs and expenses increased for the three months ended March 31, 2012 compared to the same period in 2011 primarily due to higher amortization of film costs resulting from the corresponding increase in theatrical revenue.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Theme Parks Segment—Actual and Pro Forma Results of Operations</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color w:val="auto"/>
                <w:w w:val="83"/>
              </w:rPr>
              <w:t>2012</w:t>
            </w:r>
          </w:p>
        </w:tc>
        <w:tc>
          <w:tcPr>
            <w:tcW w:w="3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40"/>
              <w:spacing w:after="0"/>
              <w:rPr>
                <w:sz w:val="20"/>
                <w:szCs w:val="20"/>
                <w:color w:val="auto"/>
              </w:rPr>
            </w:pPr>
            <w:r>
              <w:rPr>
                <w:rFonts w:ascii="Arial" w:cs="Arial" w:eastAsia="Arial" w:hAnsi="Arial"/>
                <w:sz w:val="14"/>
                <w:szCs w:val="14"/>
                <w:color w:val="auto"/>
                <w:w w:val="83"/>
              </w:rPr>
              <w:t>2011</w:t>
            </w: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Increase/</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vMerge w:val="restart"/>
          </w:tcPr>
          <w:p>
            <w:pPr>
              <w:jc w:val="center"/>
              <w:ind w:right="124"/>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380" w:type="dxa"/>
            <w:vAlign w:val="bottom"/>
            <w:vMerge w:val="restart"/>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vMerge w:val="restart"/>
          </w:tcPr>
          <w:p>
            <w:pPr>
              <w:jc w:val="center"/>
              <w:ind w:right="224"/>
              <w:spacing w:after="0"/>
              <w:rPr>
                <w:sz w:val="20"/>
                <w:szCs w:val="20"/>
                <w:color w:val="auto"/>
              </w:rPr>
            </w:pPr>
            <w:r>
              <w:rPr>
                <w:rFonts w:ascii="Arial" w:cs="Arial" w:eastAsia="Arial" w:hAnsi="Arial"/>
                <w:sz w:val="14"/>
                <w:szCs w:val="14"/>
                <w:color w:val="auto"/>
                <w:w w:val="84"/>
              </w:rPr>
              <w:t>Actual</w:t>
            </w:r>
            <w:r>
              <w:rPr>
                <w:rFonts w:ascii="Arial" w:cs="Arial" w:eastAsia="Arial" w:hAnsi="Arial"/>
                <w:sz w:val="22"/>
                <w:szCs w:val="22"/>
                <w:color w:val="auto"/>
                <w:w w:val="84"/>
                <w:vertAlign w:val="superscript"/>
              </w:rPr>
              <w:t>(a)</w:t>
            </w:r>
          </w:p>
        </w:tc>
        <w:tc>
          <w:tcPr>
            <w:tcW w:w="1260" w:type="dxa"/>
            <w:vAlign w:val="bottom"/>
            <w:gridSpan w:val="2"/>
            <w:vMerge w:val="restart"/>
          </w:tcPr>
          <w:p>
            <w:pPr>
              <w:jc w:val="center"/>
              <w:spacing w:after="0"/>
              <w:rPr>
                <w:sz w:val="20"/>
                <w:szCs w:val="20"/>
                <w:color w:val="auto"/>
              </w:rPr>
            </w:pPr>
            <w:r>
              <w:rPr>
                <w:rFonts w:ascii="Arial" w:cs="Arial" w:eastAsia="Arial" w:hAnsi="Arial"/>
                <w:sz w:val="14"/>
                <w:szCs w:val="14"/>
                <w:color w:val="auto"/>
                <w:w w:val="83"/>
              </w:rPr>
              <w:t>Pro Forma</w:t>
            </w:r>
            <w:r>
              <w:rPr>
                <w:rFonts w:ascii="Arial" w:cs="Arial" w:eastAsia="Arial" w:hAnsi="Arial"/>
                <w:sz w:val="22"/>
                <w:szCs w:val="22"/>
                <w:color w:val="auto"/>
                <w:w w:val="83"/>
                <w:vertAlign w:val="superscript"/>
              </w:rPr>
              <w:t>(b)</w:t>
            </w:r>
          </w:p>
        </w:tc>
        <w:tc>
          <w:tcPr>
            <w:tcW w:w="300" w:type="dxa"/>
            <w:vAlign w:val="bottom"/>
          </w:tcPr>
          <w:p>
            <w:pPr>
              <w:spacing w:after="0"/>
              <w:rPr>
                <w:sz w:val="11"/>
                <w:szCs w:val="11"/>
                <w:color w:val="auto"/>
              </w:rPr>
            </w:pPr>
          </w:p>
        </w:tc>
        <w:tc>
          <w:tcPr>
            <w:tcW w:w="780" w:type="dxa"/>
            <w:vAlign w:val="bottom"/>
          </w:tcPr>
          <w:p>
            <w:pPr>
              <w:jc w:val="center"/>
              <w:ind w:right="104"/>
              <w:spacing w:after="0" w:line="131" w:lineRule="exact"/>
              <w:rPr>
                <w:sz w:val="20"/>
                <w:szCs w:val="20"/>
                <w:color w:val="auto"/>
              </w:rPr>
            </w:pPr>
            <w:r>
              <w:rPr>
                <w:rFonts w:ascii="Arial" w:cs="Arial" w:eastAsia="Arial" w:hAnsi="Arial"/>
                <w:sz w:val="14"/>
                <w:szCs w:val="14"/>
                <w:color w:val="auto"/>
                <w:w w:val="84"/>
              </w:rPr>
              <w:t>Pro Forma</w:t>
            </w:r>
          </w:p>
        </w:tc>
        <w:tc>
          <w:tcPr>
            <w:tcW w:w="40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40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380" w:type="dxa"/>
            <w:vAlign w:val="bottom"/>
            <w:vMerge w:val="continue"/>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1260" w:type="dxa"/>
            <w:vAlign w:val="bottom"/>
            <w:tcBorders>
              <w:bottom w:val="single" w:sz="8" w:color="auto"/>
            </w:tcBorders>
            <w:gridSpan w:val="2"/>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04"/>
              <w:spacing w:after="0" w:line="159" w:lineRule="exact"/>
              <w:rPr>
                <w:sz w:val="20"/>
                <w:szCs w:val="20"/>
                <w:color w:val="auto"/>
              </w:rPr>
            </w:pPr>
            <w:r>
              <w:rPr>
                <w:rFonts w:ascii="Arial" w:cs="Arial" w:eastAsia="Arial" w:hAnsi="Arial"/>
                <w:sz w:val="14"/>
                <w:szCs w:val="14"/>
                <w:color w:val="auto"/>
                <w:w w:val="87"/>
              </w:rPr>
              <w:t>Combined</w:t>
            </w:r>
          </w:p>
        </w:tc>
        <w:tc>
          <w:tcPr>
            <w:tcW w:w="400" w:type="dxa"/>
            <w:vAlign w:val="bottom"/>
          </w:tcPr>
          <w:p>
            <w:pPr>
              <w:spacing w:after="0"/>
              <w:rPr>
                <w:sz w:val="13"/>
                <w:szCs w:val="13"/>
                <w:color w:val="auto"/>
              </w:rPr>
            </w:pPr>
          </w:p>
        </w:tc>
        <w:tc>
          <w:tcPr>
            <w:tcW w:w="1760" w:type="dxa"/>
            <w:vAlign w:val="bottom"/>
            <w:tcBorders>
              <w:bottom w:val="single" w:sz="8" w:color="auto"/>
            </w:tcBorders>
            <w:gridSpan w:val="2"/>
          </w:tcPr>
          <w:p>
            <w:pPr>
              <w:jc w:val="right"/>
              <w:ind w:right="457"/>
              <w:spacing w:after="0" w:line="159" w:lineRule="exact"/>
              <w:rPr>
                <w:sz w:val="20"/>
                <w:szCs w:val="20"/>
                <w:color w:val="auto"/>
              </w:rPr>
            </w:pPr>
            <w:r>
              <w:rPr>
                <w:rFonts w:ascii="Arial" w:cs="Arial" w:eastAsia="Arial" w:hAnsi="Arial"/>
                <w:sz w:val="14"/>
                <w:szCs w:val="14"/>
                <w:color w:val="auto"/>
              </w:rPr>
              <w:t>(Decrease)</w:t>
            </w:r>
          </w:p>
        </w:tc>
        <w:tc>
          <w:tcPr>
            <w:tcW w:w="0" w:type="dxa"/>
            <w:vAlign w:val="bottom"/>
          </w:tcPr>
          <w:p>
            <w:pPr>
              <w:spacing w:after="0"/>
              <w:rPr>
                <w:sz w:val="1"/>
                <w:szCs w:val="1"/>
                <w:color w:val="auto"/>
              </w:rPr>
            </w:pPr>
          </w:p>
        </w:tc>
      </w:tr>
      <w:tr>
        <w:trPr>
          <w:trHeight w:val="131"/>
        </w:trPr>
        <w:tc>
          <w:tcPr>
            <w:tcW w:w="4000" w:type="dxa"/>
            <w:vAlign w:val="bottom"/>
          </w:tcPr>
          <w:p>
            <w:pPr>
              <w:spacing w:after="0"/>
              <w:rPr>
                <w:sz w:val="11"/>
                <w:szCs w:val="11"/>
                <w:color w:val="auto"/>
              </w:rPr>
            </w:pPr>
          </w:p>
        </w:tc>
        <w:tc>
          <w:tcPr>
            <w:tcW w:w="1580" w:type="dxa"/>
            <w:vAlign w:val="bottom"/>
            <w:gridSpan w:val="3"/>
            <w:vMerge w:val="restart"/>
          </w:tcPr>
          <w:p>
            <w:pPr>
              <w:jc w:val="center"/>
              <w:ind w:right="140"/>
              <w:spacing w:after="0"/>
              <w:rPr>
                <w:sz w:val="20"/>
                <w:szCs w:val="20"/>
                <w:color w:val="auto"/>
              </w:rPr>
            </w:pPr>
            <w:r>
              <w:rPr>
                <w:rFonts w:ascii="Arial" w:cs="Arial" w:eastAsia="Arial" w:hAnsi="Arial"/>
                <w:sz w:val="14"/>
                <w:szCs w:val="14"/>
                <w:color w:val="auto"/>
                <w:w w:val="87"/>
              </w:rPr>
              <w:t>Three Months</w:t>
            </w:r>
          </w:p>
        </w:tc>
        <w:tc>
          <w:tcPr>
            <w:tcW w:w="1340" w:type="dxa"/>
            <w:vAlign w:val="bottom"/>
            <w:gridSpan w:val="2"/>
          </w:tcPr>
          <w:p>
            <w:pPr>
              <w:jc w:val="center"/>
              <w:ind w:left="39"/>
              <w:spacing w:after="0" w:line="131" w:lineRule="exact"/>
              <w:rPr>
                <w:sz w:val="20"/>
                <w:szCs w:val="20"/>
                <w:color w:val="auto"/>
              </w:rPr>
            </w:pPr>
            <w:r>
              <w:rPr>
                <w:rFonts w:ascii="Arial" w:cs="Arial" w:eastAsia="Arial" w:hAnsi="Arial"/>
                <w:sz w:val="14"/>
                <w:szCs w:val="14"/>
                <w:color w:val="auto"/>
                <w:w w:val="87"/>
              </w:rPr>
              <w:t>For the Period</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3"/>
            <w:vMerge w:val="restart"/>
          </w:tcPr>
          <w:p>
            <w:pPr>
              <w:jc w:val="center"/>
              <w:ind w:right="280"/>
              <w:spacing w:after="0"/>
              <w:rPr>
                <w:sz w:val="20"/>
                <w:szCs w:val="20"/>
                <w:color w:val="auto"/>
              </w:rPr>
            </w:pPr>
            <w:r>
              <w:rPr>
                <w:rFonts w:ascii="Arial" w:cs="Arial" w:eastAsia="Arial" w:hAnsi="Arial"/>
                <w:sz w:val="14"/>
                <w:szCs w:val="14"/>
                <w:color w:val="auto"/>
                <w:w w:val="87"/>
              </w:rPr>
              <w:t>Three Months</w:t>
            </w: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000" w:type="dxa"/>
            <w:vAlign w:val="bottom"/>
          </w:tcPr>
          <w:p>
            <w:pPr>
              <w:spacing w:after="0"/>
              <w:rPr>
                <w:sz w:val="11"/>
                <w:szCs w:val="11"/>
                <w:color w:val="auto"/>
              </w:rPr>
            </w:pPr>
          </w:p>
        </w:tc>
        <w:tc>
          <w:tcPr>
            <w:tcW w:w="1580" w:type="dxa"/>
            <w:vAlign w:val="bottom"/>
            <w:gridSpan w:val="3"/>
            <w:vMerge w:val="continue"/>
          </w:tcPr>
          <w:p>
            <w:pPr>
              <w:spacing w:after="0"/>
              <w:rPr>
                <w:sz w:val="11"/>
                <w:szCs w:val="11"/>
                <w:color w:val="auto"/>
              </w:rPr>
            </w:pPr>
          </w:p>
        </w:tc>
        <w:tc>
          <w:tcPr>
            <w:tcW w:w="440" w:type="dxa"/>
            <w:vAlign w:val="bottom"/>
          </w:tcPr>
          <w:p>
            <w:pPr>
              <w:spacing w:after="0"/>
              <w:rPr>
                <w:sz w:val="11"/>
                <w:szCs w:val="11"/>
                <w:color w:val="auto"/>
              </w:rPr>
            </w:pPr>
          </w:p>
        </w:tc>
        <w:tc>
          <w:tcPr>
            <w:tcW w:w="900" w:type="dxa"/>
            <w:vAlign w:val="bottom"/>
          </w:tcPr>
          <w:p>
            <w:pPr>
              <w:jc w:val="center"/>
              <w:ind w:right="244"/>
              <w:spacing w:after="0" w:line="135" w:lineRule="exact"/>
              <w:rPr>
                <w:sz w:val="20"/>
                <w:szCs w:val="20"/>
                <w:color w:val="auto"/>
              </w:rPr>
            </w:pPr>
            <w:r>
              <w:rPr>
                <w:rFonts w:ascii="Arial" w:cs="Arial" w:eastAsia="Arial" w:hAnsi="Arial"/>
                <w:sz w:val="14"/>
                <w:szCs w:val="14"/>
                <w:color w:val="auto"/>
                <w:w w:val="83"/>
              </w:rPr>
              <w:t>January 29</w:t>
            </w:r>
          </w:p>
        </w:tc>
        <w:tc>
          <w:tcPr>
            <w:tcW w:w="3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80" w:type="dxa"/>
            <w:vAlign w:val="bottom"/>
            <w:gridSpan w:val="3"/>
            <w:vMerge w:val="continue"/>
          </w:tcPr>
          <w:p>
            <w:pPr>
              <w:spacing w:after="0"/>
              <w:rPr>
                <w:sz w:val="11"/>
                <w:szCs w:val="11"/>
                <w:color w:val="auto"/>
              </w:rPr>
            </w:pPr>
          </w:p>
        </w:tc>
        <w:tc>
          <w:tcPr>
            <w:tcW w:w="1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83"/>
              </w:rPr>
              <w:t>Ended</w:t>
            </w:r>
          </w:p>
        </w:tc>
        <w:tc>
          <w:tcPr>
            <w:tcW w:w="440" w:type="dxa"/>
            <w:vAlign w:val="bottom"/>
          </w:tcPr>
          <w:p>
            <w:pPr>
              <w:spacing w:after="0"/>
              <w:rPr>
                <w:sz w:val="12"/>
                <w:szCs w:val="12"/>
                <w:color w:val="auto"/>
              </w:rPr>
            </w:pPr>
          </w:p>
        </w:tc>
        <w:tc>
          <w:tcPr>
            <w:tcW w:w="900" w:type="dxa"/>
            <w:vAlign w:val="bottom"/>
          </w:tcPr>
          <w:p>
            <w:pPr>
              <w:jc w:val="center"/>
              <w:ind w:right="244"/>
              <w:spacing w:after="0" w:line="149" w:lineRule="exact"/>
              <w:rPr>
                <w:sz w:val="20"/>
                <w:szCs w:val="20"/>
                <w:color w:val="auto"/>
              </w:rPr>
            </w:pPr>
            <w:r>
              <w:rPr>
                <w:rFonts w:ascii="Arial" w:cs="Arial" w:eastAsia="Arial" w:hAnsi="Arial"/>
                <w:sz w:val="14"/>
                <w:szCs w:val="14"/>
                <w:color w:val="auto"/>
                <w:w w:val="88"/>
              </w:rPr>
              <w:t>through</w:t>
            </w:r>
          </w:p>
        </w:tc>
        <w:tc>
          <w:tcPr>
            <w:tcW w:w="12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0"/>
              </w:rPr>
              <w:t>NBCUniversal</w:t>
            </w:r>
          </w:p>
        </w:tc>
        <w:tc>
          <w:tcPr>
            <w:tcW w:w="300" w:type="dxa"/>
            <w:vAlign w:val="bottom"/>
          </w:tcPr>
          <w:p>
            <w:pPr>
              <w:spacing w:after="0"/>
              <w:rPr>
                <w:sz w:val="12"/>
                <w:szCs w:val="12"/>
                <w:color w:val="auto"/>
              </w:rPr>
            </w:pPr>
          </w:p>
        </w:tc>
        <w:tc>
          <w:tcPr>
            <w:tcW w:w="1180" w:type="dxa"/>
            <w:vAlign w:val="bottom"/>
            <w:gridSpan w:val="2"/>
          </w:tcPr>
          <w:p>
            <w:pPr>
              <w:jc w:val="center"/>
              <w:ind w:right="580"/>
              <w:spacing w:after="0" w:line="149" w:lineRule="exact"/>
              <w:rPr>
                <w:sz w:val="20"/>
                <w:szCs w:val="20"/>
                <w:color w:val="auto"/>
              </w:rPr>
            </w:pPr>
            <w:r>
              <w:rPr>
                <w:rFonts w:ascii="Arial" w:cs="Arial" w:eastAsia="Arial" w:hAnsi="Arial"/>
                <w:sz w:val="14"/>
                <w:szCs w:val="14"/>
                <w:color w:val="auto"/>
                <w:w w:val="88"/>
              </w:rPr>
              <w:t>Ended</w:t>
            </w:r>
          </w:p>
        </w:tc>
        <w:tc>
          <w:tcPr>
            <w:tcW w:w="1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000" w:type="dxa"/>
            <w:vAlign w:val="bottom"/>
          </w:tcPr>
          <w:p>
            <w:pPr>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5"/>
                <w:szCs w:val="15"/>
                <w:color w:val="auto"/>
              </w:rPr>
            </w:pPr>
          </w:p>
        </w:tc>
        <w:tc>
          <w:tcPr>
            <w:tcW w:w="114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March 31</w:t>
            </w:r>
          </w:p>
        </w:tc>
        <w:tc>
          <w:tcPr>
            <w:tcW w:w="440" w:type="dxa"/>
            <w:vAlign w:val="bottom"/>
          </w:tcPr>
          <w:p>
            <w:pPr>
              <w:spacing w:after="0"/>
              <w:rPr>
                <w:sz w:val="15"/>
                <w:szCs w:val="15"/>
                <w:color w:val="auto"/>
              </w:rPr>
            </w:pPr>
          </w:p>
        </w:tc>
        <w:tc>
          <w:tcPr>
            <w:tcW w:w="900" w:type="dxa"/>
            <w:vAlign w:val="bottom"/>
          </w:tcPr>
          <w:p>
            <w:pPr>
              <w:jc w:val="center"/>
              <w:ind w:right="224"/>
              <w:spacing w:after="0"/>
              <w:rPr>
                <w:sz w:val="20"/>
                <w:szCs w:val="20"/>
                <w:color w:val="auto"/>
              </w:rPr>
            </w:pPr>
            <w:r>
              <w:rPr>
                <w:rFonts w:ascii="Arial" w:cs="Arial" w:eastAsia="Arial" w:hAnsi="Arial"/>
                <w:sz w:val="14"/>
                <w:szCs w:val="14"/>
                <w:color w:val="auto"/>
                <w:w w:val="89"/>
              </w:rPr>
              <w:t>March 31</w:t>
            </w:r>
          </w:p>
        </w:tc>
        <w:tc>
          <w:tcPr>
            <w:tcW w:w="320" w:type="dxa"/>
            <w:vAlign w:val="bottom"/>
          </w:tcPr>
          <w:p>
            <w:pPr>
              <w:spacing w:after="0"/>
              <w:rPr>
                <w:sz w:val="15"/>
                <w:szCs w:val="15"/>
                <w:color w:val="auto"/>
              </w:rPr>
            </w:pPr>
          </w:p>
        </w:tc>
        <w:tc>
          <w:tcPr>
            <w:tcW w:w="940" w:type="dxa"/>
            <w:vAlign w:val="bottom"/>
          </w:tcPr>
          <w:p>
            <w:pPr>
              <w:jc w:val="center"/>
              <w:ind w:right="260"/>
              <w:spacing w:after="0"/>
              <w:rPr>
                <w:sz w:val="20"/>
                <w:szCs w:val="20"/>
                <w:color w:val="auto"/>
              </w:rPr>
            </w:pPr>
            <w:r>
              <w:rPr>
                <w:rFonts w:ascii="Arial" w:cs="Arial" w:eastAsia="Arial" w:hAnsi="Arial"/>
                <w:sz w:val="14"/>
                <w:szCs w:val="14"/>
                <w:color w:val="auto"/>
                <w:w w:val="83"/>
              </w:rPr>
              <w:t>Businesses</w:t>
            </w:r>
          </w:p>
        </w:tc>
        <w:tc>
          <w:tcPr>
            <w:tcW w:w="300" w:type="dxa"/>
            <w:vAlign w:val="bottom"/>
          </w:tcPr>
          <w:p>
            <w:pPr>
              <w:spacing w:after="0"/>
              <w:rPr>
                <w:sz w:val="15"/>
                <w:szCs w:val="15"/>
                <w:color w:val="auto"/>
              </w:rPr>
            </w:pPr>
          </w:p>
        </w:tc>
        <w:tc>
          <w:tcPr>
            <w:tcW w:w="1180" w:type="dxa"/>
            <w:vAlign w:val="bottom"/>
            <w:gridSpan w:val="2"/>
          </w:tcPr>
          <w:p>
            <w:pPr>
              <w:jc w:val="center"/>
              <w:ind w:right="580"/>
              <w:spacing w:after="0"/>
              <w:rPr>
                <w:sz w:val="20"/>
                <w:szCs w:val="20"/>
                <w:color w:val="auto"/>
              </w:rPr>
            </w:pPr>
            <w:r>
              <w:rPr>
                <w:rFonts w:ascii="Arial" w:cs="Arial" w:eastAsia="Arial" w:hAnsi="Arial"/>
                <w:sz w:val="14"/>
                <w:szCs w:val="14"/>
                <w:color w:val="auto"/>
                <w:w w:val="89"/>
              </w:rPr>
              <w:t>March 31</w:t>
            </w:r>
          </w:p>
        </w:tc>
        <w:tc>
          <w:tcPr>
            <w:tcW w:w="1200" w:type="dxa"/>
            <w:vAlign w:val="bottom"/>
          </w:tcPr>
          <w:p>
            <w:pPr>
              <w:jc w:val="right"/>
              <w:ind w:right="582"/>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277"/>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4000" w:type="dxa"/>
            <w:vAlign w:val="bottom"/>
            <w:tcBorders>
              <w:top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Revenue</w:t>
            </w: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412</w:t>
            </w:r>
          </w:p>
        </w:tc>
        <w:tc>
          <w:tcPr>
            <w:tcW w:w="380" w:type="dxa"/>
            <w:vAlign w:val="bottom"/>
            <w:tcBorders>
              <w:top w:val="single" w:sz="8" w:color="E5E5E5"/>
            </w:tcBorders>
            <w:shd w:val="clear" w:color="auto" w:fill="E5E5E5"/>
          </w:tcPr>
          <w:p>
            <w:pPr>
              <w:spacing w:after="0"/>
              <w:rPr>
                <w:sz w:val="18"/>
                <w:szCs w:val="18"/>
                <w:color w:val="auto"/>
              </w:rPr>
            </w:pPr>
          </w:p>
        </w:tc>
        <w:tc>
          <w:tcPr>
            <w:tcW w:w="44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E5E5E5"/>
          </w:tcPr>
          <w:p>
            <w:pPr>
              <w:jc w:val="right"/>
              <w:ind w:right="144"/>
              <w:spacing w:after="0"/>
              <w:rPr>
                <w:sz w:val="20"/>
                <w:szCs w:val="20"/>
                <w:color w:val="auto"/>
              </w:rPr>
            </w:pPr>
            <w:r>
              <w:rPr>
                <w:rFonts w:ascii="Arial" w:cs="Arial" w:eastAsia="Arial" w:hAnsi="Arial"/>
                <w:sz w:val="18"/>
                <w:szCs w:val="18"/>
                <w:color w:val="auto"/>
              </w:rPr>
              <w:t>275</w:t>
            </w:r>
          </w:p>
        </w:tc>
        <w:tc>
          <w:tcPr>
            <w:tcW w:w="32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color w:val="auto"/>
              </w:rPr>
              <w:t>390</w:t>
            </w:r>
          </w:p>
        </w:tc>
        <w:tc>
          <w:tcPr>
            <w:tcW w:w="400" w:type="dxa"/>
            <w:vAlign w:val="bottom"/>
            <w:tcBorders>
              <w:top w:val="single" w:sz="8" w:color="E5E5E5"/>
            </w:tcBorders>
            <w:shd w:val="clear" w:color="auto" w:fill="E5E5E5"/>
          </w:tcPr>
          <w:p>
            <w:pPr>
              <w:spacing w:after="0"/>
              <w:rPr>
                <w:sz w:val="18"/>
                <w:szCs w:val="18"/>
                <w:color w:val="auto"/>
              </w:rPr>
            </w:pPr>
          </w:p>
        </w:tc>
        <w:tc>
          <w:tcPr>
            <w:tcW w:w="1200" w:type="dxa"/>
            <w:vAlign w:val="bottom"/>
            <w:tcBorders>
              <w:top w:val="single" w:sz="8" w:color="auto"/>
            </w:tcBorders>
            <w:shd w:val="clear" w:color="auto" w:fill="E5E5E5"/>
          </w:tcPr>
          <w:p>
            <w:pPr>
              <w:jc w:val="right"/>
              <w:ind w:right="442"/>
              <w:spacing w:after="0"/>
              <w:rPr>
                <w:sz w:val="20"/>
                <w:szCs w:val="20"/>
                <w:color w:val="auto"/>
              </w:rPr>
            </w:pPr>
            <w:r>
              <w:rPr>
                <w:rFonts w:ascii="Arial" w:cs="Arial" w:eastAsia="Arial" w:hAnsi="Arial"/>
                <w:sz w:val="18"/>
                <w:szCs w:val="18"/>
                <w:color w:val="auto"/>
              </w:rPr>
              <w:t>$ 22</w:t>
            </w:r>
          </w:p>
        </w:tc>
        <w:tc>
          <w:tcPr>
            <w:tcW w:w="56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16"/>
        </w:trPr>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Operating costs and expenses</w:t>
            </w:r>
          </w:p>
        </w:tc>
        <w:tc>
          <w:tcPr>
            <w:tcW w:w="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255</w:t>
            </w:r>
          </w:p>
        </w:tc>
        <w:tc>
          <w:tcPr>
            <w:tcW w:w="380" w:type="dxa"/>
            <w:vAlign w:val="bottom"/>
            <w:tcBorders>
              <w:bottom w:val="single" w:sz="8" w:color="E5E5E5"/>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44"/>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60"/>
              <w:spacing w:after="0"/>
              <w:rPr>
                <w:sz w:val="20"/>
                <w:szCs w:val="20"/>
                <w:color w:val="auto"/>
              </w:rPr>
            </w:pPr>
            <w:r>
              <w:rPr>
                <w:rFonts w:ascii="Arial" w:cs="Arial" w:eastAsia="Arial" w:hAnsi="Arial"/>
                <w:sz w:val="18"/>
                <w:szCs w:val="18"/>
                <w:color w:val="auto"/>
              </w:rPr>
              <w:t>78</w:t>
            </w: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4"/>
              <w:spacing w:after="0"/>
              <w:rPr>
                <w:sz w:val="20"/>
                <w:szCs w:val="20"/>
                <w:color w:val="auto"/>
              </w:rPr>
            </w:pPr>
            <w:r>
              <w:rPr>
                <w:rFonts w:ascii="Arial" w:cs="Arial" w:eastAsia="Arial" w:hAnsi="Arial"/>
                <w:sz w:val="18"/>
                <w:szCs w:val="18"/>
                <w:color w:val="auto"/>
              </w:rPr>
              <w:t>256</w:t>
            </w:r>
          </w:p>
        </w:tc>
        <w:tc>
          <w:tcPr>
            <w:tcW w:w="400" w:type="dxa"/>
            <w:vAlign w:val="bottom"/>
            <w:tcBorders>
              <w:bottom w:val="single" w:sz="8" w:color="E5E5E5"/>
            </w:tcBorders>
          </w:tcPr>
          <w:p>
            <w:pPr>
              <w:spacing w:after="0"/>
              <w:rPr>
                <w:sz w:val="18"/>
                <w:szCs w:val="18"/>
                <w:color w:val="auto"/>
              </w:rPr>
            </w:pPr>
          </w:p>
        </w:tc>
        <w:tc>
          <w:tcPr>
            <w:tcW w:w="1200" w:type="dxa"/>
            <w:vAlign w:val="bottom"/>
            <w:tcBorders>
              <w:bottom w:val="single" w:sz="8" w:color="auto"/>
            </w:tcBorders>
          </w:tcPr>
          <w:p>
            <w:pPr>
              <w:jc w:val="right"/>
              <w:ind w:right="382"/>
              <w:spacing w:after="0"/>
              <w:rPr>
                <w:sz w:val="20"/>
                <w:szCs w:val="20"/>
                <w:color w:val="auto"/>
              </w:rPr>
            </w:pPr>
            <w:r>
              <w:rPr>
                <w:rFonts w:ascii="Arial" w:cs="Arial" w:eastAsia="Arial" w:hAnsi="Arial"/>
                <w:sz w:val="18"/>
                <w:szCs w:val="18"/>
                <w:color w:val="auto"/>
              </w:rPr>
              <w:t>(1)</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8"/>
                <w:szCs w:val="18"/>
                <w:color w:val="auto"/>
                <w:w w:val="97"/>
              </w:rPr>
              <w:t>(0.3)</w:t>
            </w:r>
          </w:p>
        </w:tc>
        <w:tc>
          <w:tcPr>
            <w:tcW w:w="0" w:type="dxa"/>
            <w:vAlign w:val="bottom"/>
          </w:tcPr>
          <w:p>
            <w:pPr>
              <w:spacing w:after="0"/>
              <w:rPr>
                <w:sz w:val="1"/>
                <w:szCs w:val="1"/>
                <w:color w:val="auto"/>
              </w:rPr>
            </w:pPr>
          </w:p>
        </w:tc>
      </w:tr>
      <w:tr>
        <w:trPr>
          <w:trHeight w:val="195"/>
        </w:trPr>
        <w:tc>
          <w:tcPr>
            <w:tcW w:w="4000" w:type="dxa"/>
            <w:vAlign w:val="bottom"/>
            <w:shd w:val="clear" w:color="auto" w:fill="E5E5E5"/>
          </w:tcPr>
          <w:p>
            <w:pPr>
              <w:spacing w:after="0" w:line="195" w:lineRule="exact"/>
              <w:rPr>
                <w:sz w:val="20"/>
                <w:szCs w:val="20"/>
                <w:color w:val="auto"/>
              </w:rPr>
            </w:pPr>
            <w:r>
              <w:rPr>
                <w:rFonts w:ascii="Arial" w:cs="Arial" w:eastAsia="Arial" w:hAnsi="Arial"/>
                <w:sz w:val="18"/>
                <w:szCs w:val="18"/>
                <w:b w:val="1"/>
                <w:bCs w:val="1"/>
                <w:color w:val="auto"/>
              </w:rPr>
              <w:t>Operating income before depreciation and</w:t>
            </w:r>
          </w:p>
        </w:tc>
        <w:tc>
          <w:tcPr>
            <w:tcW w:w="440" w:type="dxa"/>
            <w:vAlign w:val="bottom"/>
            <w:shd w:val="clear" w:color="auto" w:fill="E5E5E5"/>
          </w:tcPr>
          <w:p>
            <w:pPr>
              <w:spacing w:after="0"/>
              <w:rPr>
                <w:sz w:val="16"/>
                <w:szCs w:val="16"/>
                <w:color w:val="auto"/>
              </w:rPr>
            </w:pPr>
          </w:p>
        </w:tc>
        <w:tc>
          <w:tcPr>
            <w:tcW w:w="760" w:type="dxa"/>
            <w:vAlign w:val="bottom"/>
            <w:shd w:val="clear" w:color="auto" w:fill="E5E5E5"/>
          </w:tcPr>
          <w:p>
            <w:pPr>
              <w:spacing w:after="0"/>
              <w:rPr>
                <w:sz w:val="16"/>
                <w:szCs w:val="16"/>
                <w:color w:val="auto"/>
              </w:rPr>
            </w:pPr>
          </w:p>
        </w:tc>
        <w:tc>
          <w:tcPr>
            <w:tcW w:w="380" w:type="dxa"/>
            <w:vAlign w:val="bottom"/>
            <w:shd w:val="clear" w:color="auto" w:fill="E5E5E5"/>
          </w:tcPr>
          <w:p>
            <w:pPr>
              <w:spacing w:after="0"/>
              <w:rPr>
                <w:sz w:val="16"/>
                <w:szCs w:val="16"/>
                <w:color w:val="auto"/>
              </w:rPr>
            </w:pPr>
          </w:p>
        </w:tc>
        <w:tc>
          <w:tcPr>
            <w:tcW w:w="440" w:type="dxa"/>
            <w:vAlign w:val="bottom"/>
            <w:shd w:val="clear" w:color="auto" w:fill="E5E5E5"/>
          </w:tcPr>
          <w:p>
            <w:pPr>
              <w:spacing w:after="0"/>
              <w:rPr>
                <w:sz w:val="16"/>
                <w:szCs w:val="16"/>
                <w:color w:val="auto"/>
              </w:rPr>
            </w:pPr>
          </w:p>
        </w:tc>
        <w:tc>
          <w:tcPr>
            <w:tcW w:w="900" w:type="dxa"/>
            <w:vAlign w:val="bottom"/>
            <w:shd w:val="clear" w:color="auto" w:fill="E5E5E5"/>
          </w:tcPr>
          <w:p>
            <w:pPr>
              <w:spacing w:after="0"/>
              <w:rPr>
                <w:sz w:val="16"/>
                <w:szCs w:val="16"/>
                <w:color w:val="auto"/>
              </w:rPr>
            </w:pPr>
          </w:p>
        </w:tc>
        <w:tc>
          <w:tcPr>
            <w:tcW w:w="320" w:type="dxa"/>
            <w:vAlign w:val="bottom"/>
            <w:shd w:val="clear" w:color="auto" w:fill="E5E5E5"/>
          </w:tcPr>
          <w:p>
            <w:pPr>
              <w:spacing w:after="0"/>
              <w:rPr>
                <w:sz w:val="16"/>
                <w:szCs w:val="16"/>
                <w:color w:val="auto"/>
              </w:rPr>
            </w:pPr>
          </w:p>
        </w:tc>
        <w:tc>
          <w:tcPr>
            <w:tcW w:w="940" w:type="dxa"/>
            <w:vAlign w:val="bottom"/>
            <w:shd w:val="clear" w:color="auto" w:fill="E5E5E5"/>
          </w:tcPr>
          <w:p>
            <w:pPr>
              <w:spacing w:after="0"/>
              <w:rPr>
                <w:sz w:val="16"/>
                <w:szCs w:val="16"/>
                <w:color w:val="auto"/>
              </w:rPr>
            </w:pPr>
          </w:p>
        </w:tc>
        <w:tc>
          <w:tcPr>
            <w:tcW w:w="300" w:type="dxa"/>
            <w:vAlign w:val="bottom"/>
            <w:shd w:val="clear" w:color="auto" w:fill="E5E5E5"/>
          </w:tcPr>
          <w:p>
            <w:pPr>
              <w:spacing w:after="0"/>
              <w:rPr>
                <w:sz w:val="16"/>
                <w:szCs w:val="16"/>
                <w:color w:val="auto"/>
              </w:rPr>
            </w:pPr>
          </w:p>
        </w:tc>
        <w:tc>
          <w:tcPr>
            <w:tcW w:w="780" w:type="dxa"/>
            <w:vAlign w:val="bottom"/>
            <w:shd w:val="clear" w:color="auto" w:fill="E5E5E5"/>
          </w:tcPr>
          <w:p>
            <w:pPr>
              <w:spacing w:after="0"/>
              <w:rPr>
                <w:sz w:val="16"/>
                <w:szCs w:val="16"/>
                <w:color w:val="auto"/>
              </w:rPr>
            </w:pPr>
          </w:p>
        </w:tc>
        <w:tc>
          <w:tcPr>
            <w:tcW w:w="400" w:type="dxa"/>
            <w:vAlign w:val="bottom"/>
            <w:shd w:val="clear" w:color="auto" w:fill="E5E5E5"/>
          </w:tcPr>
          <w:p>
            <w:pPr>
              <w:spacing w:after="0"/>
              <w:rPr>
                <w:sz w:val="16"/>
                <w:szCs w:val="16"/>
                <w:color w:val="auto"/>
              </w:rPr>
            </w:pPr>
          </w:p>
        </w:tc>
        <w:tc>
          <w:tcPr>
            <w:tcW w:w="1200" w:type="dxa"/>
            <w:vAlign w:val="bottom"/>
            <w:shd w:val="clear" w:color="auto" w:fill="E5E5E5"/>
          </w:tcPr>
          <w:p>
            <w:pPr>
              <w:spacing w:after="0"/>
              <w:rPr>
                <w:sz w:val="16"/>
                <w:szCs w:val="16"/>
                <w:color w:val="auto"/>
              </w:rPr>
            </w:pPr>
          </w:p>
        </w:tc>
        <w:tc>
          <w:tcPr>
            <w:tcW w:w="5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auto"/>
            </w:tcBorders>
            <w:shd w:val="clear" w:color="auto" w:fill="E5E5E5"/>
          </w:tcPr>
          <w:p>
            <w:pPr>
              <w:ind w:left="220"/>
              <w:spacing w:after="0"/>
              <w:rPr>
                <w:sz w:val="20"/>
                <w:szCs w:val="20"/>
                <w:color w:val="auto"/>
              </w:rPr>
            </w:pPr>
            <w:r>
              <w:rPr>
                <w:rFonts w:ascii="Arial" w:cs="Arial" w:eastAsia="Arial" w:hAnsi="Arial"/>
                <w:sz w:val="18"/>
                <w:szCs w:val="18"/>
                <w:b w:val="1"/>
                <w:bCs w:val="1"/>
                <w:color w:val="auto"/>
              </w:rPr>
              <w:t>amortization</w:t>
            </w: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6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157</w:t>
            </w:r>
          </w:p>
        </w:tc>
        <w:tc>
          <w:tcPr>
            <w:tcW w:w="380" w:type="dxa"/>
            <w:vAlign w:val="bottom"/>
            <w:tcBorders>
              <w:bottom w:val="single" w:sz="8" w:color="E5E5E5"/>
            </w:tcBorders>
            <w:shd w:val="clear" w:color="auto" w:fill="E5E5E5"/>
          </w:tcPr>
          <w:p>
            <w:pPr>
              <w:spacing w:after="0"/>
              <w:rPr>
                <w:sz w:val="20"/>
                <w:szCs w:val="20"/>
                <w:color w:val="auto"/>
              </w:rPr>
            </w:pPr>
          </w:p>
        </w:tc>
        <w:tc>
          <w:tcPr>
            <w:tcW w:w="4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E5E5E5"/>
          </w:tcPr>
          <w:p>
            <w:pPr>
              <w:jc w:val="right"/>
              <w:ind w:right="144"/>
              <w:spacing w:after="0"/>
              <w:rPr>
                <w:sz w:val="20"/>
                <w:szCs w:val="20"/>
                <w:color w:val="auto"/>
              </w:rPr>
            </w:pPr>
            <w:r>
              <w:rPr>
                <w:rFonts w:ascii="Arial" w:cs="Arial" w:eastAsia="Arial" w:hAnsi="Arial"/>
                <w:sz w:val="18"/>
                <w:szCs w:val="18"/>
                <w:b w:val="1"/>
                <w:bCs w:val="1"/>
                <w:color w:val="auto"/>
              </w:rPr>
              <w:t>97</w:t>
            </w:r>
          </w:p>
        </w:tc>
        <w:tc>
          <w:tcPr>
            <w:tcW w:w="32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E5E5E5"/>
          </w:tcPr>
          <w:p>
            <w:pPr>
              <w:jc w:val="right"/>
              <w:ind w:right="160"/>
              <w:spacing w:after="0"/>
              <w:rPr>
                <w:sz w:val="20"/>
                <w:szCs w:val="20"/>
                <w:color w:val="auto"/>
              </w:rPr>
            </w:pPr>
            <w:r>
              <w:rPr>
                <w:rFonts w:ascii="Arial" w:cs="Arial" w:eastAsia="Arial" w:hAnsi="Arial"/>
                <w:sz w:val="18"/>
                <w:szCs w:val="18"/>
                <w:b w:val="1"/>
                <w:bCs w:val="1"/>
                <w:color w:val="auto"/>
              </w:rPr>
              <w:t>37</w:t>
            </w:r>
          </w:p>
        </w:tc>
        <w:tc>
          <w:tcPr>
            <w:tcW w:w="3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tcBorders>
              <w:bottom w:val="single" w:sz="8" w:color="auto"/>
            </w:tcBorders>
            <w:shd w:val="clear" w:color="auto" w:fill="E5E5E5"/>
          </w:tcPr>
          <w:p>
            <w:pPr>
              <w:jc w:val="right"/>
              <w:ind w:right="24"/>
              <w:spacing w:after="0"/>
              <w:rPr>
                <w:sz w:val="20"/>
                <w:szCs w:val="20"/>
                <w:color w:val="auto"/>
              </w:rPr>
            </w:pPr>
            <w:r>
              <w:rPr>
                <w:rFonts w:ascii="Arial" w:cs="Arial" w:eastAsia="Arial" w:hAnsi="Arial"/>
                <w:sz w:val="18"/>
                <w:szCs w:val="18"/>
                <w:b w:val="1"/>
                <w:bCs w:val="1"/>
                <w:color w:val="auto"/>
              </w:rPr>
              <w:t>134</w:t>
            </w:r>
          </w:p>
        </w:tc>
        <w:tc>
          <w:tcPr>
            <w:tcW w:w="400" w:type="dxa"/>
            <w:vAlign w:val="bottom"/>
            <w:tcBorders>
              <w:bottom w:val="single" w:sz="8" w:color="E5E5E5"/>
            </w:tcBorders>
            <w:shd w:val="clear" w:color="auto" w:fill="E5E5E5"/>
          </w:tcPr>
          <w:p>
            <w:pPr>
              <w:spacing w:after="0"/>
              <w:rPr>
                <w:sz w:val="20"/>
                <w:szCs w:val="20"/>
                <w:color w:val="auto"/>
              </w:rPr>
            </w:pPr>
          </w:p>
        </w:tc>
        <w:tc>
          <w:tcPr>
            <w:tcW w:w="1200" w:type="dxa"/>
            <w:vAlign w:val="bottom"/>
            <w:tcBorders>
              <w:bottom w:val="single" w:sz="8" w:color="auto"/>
            </w:tcBorders>
            <w:shd w:val="clear" w:color="auto" w:fill="E5E5E5"/>
          </w:tcPr>
          <w:p>
            <w:pPr>
              <w:jc w:val="right"/>
              <w:ind w:right="442"/>
              <w:spacing w:after="0"/>
              <w:rPr>
                <w:sz w:val="20"/>
                <w:szCs w:val="20"/>
                <w:color w:val="auto"/>
              </w:rPr>
            </w:pPr>
            <w:r>
              <w:rPr>
                <w:rFonts w:ascii="Arial" w:cs="Arial" w:eastAsia="Arial" w:hAnsi="Arial"/>
                <w:sz w:val="18"/>
                <w:szCs w:val="18"/>
                <w:b w:val="1"/>
                <w:bCs w:val="1"/>
                <w:color w:val="auto"/>
              </w:rPr>
              <w:t>$ 23</w:t>
            </w:r>
          </w:p>
        </w:tc>
        <w:tc>
          <w:tcPr>
            <w:tcW w:w="5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w w:val="93"/>
              </w:rPr>
              <w:t>17.1%</w:t>
            </w:r>
          </w:p>
        </w:tc>
        <w:tc>
          <w:tcPr>
            <w:tcW w:w="0" w:type="dxa"/>
            <w:vAlign w:val="bottom"/>
          </w:tcPr>
          <w:p>
            <w:pPr>
              <w:spacing w:after="0"/>
              <w:rPr>
                <w:sz w:val="1"/>
                <w:szCs w:val="1"/>
                <w:color w:val="auto"/>
              </w:rPr>
            </w:pPr>
          </w:p>
        </w:tc>
      </w:tr>
    </w:tbl>
    <w:p>
      <w:pPr>
        <w:spacing w:after="0" w:line="57" w:lineRule="exact"/>
        <w:rPr>
          <w:sz w:val="20"/>
          <w:szCs w:val="20"/>
          <w:color w:val="auto"/>
        </w:rPr>
      </w:pPr>
    </w:p>
    <w:p>
      <w:pPr>
        <w:jc w:val="both"/>
        <w:ind w:left="340" w:hanging="332"/>
        <w:spacing w:after="0" w:line="233"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Actual amounts include the results of operations for the NBCUniversal acquired businesses and Universal Orlando for the three months ended March 31, 2012 and for the period January 29, 2011 through March 31, 2011. The results of operations for Universal Orlando for the period January 29, 2011 through March 31, 2011 are included in our segment results but are not included in our consolidated results because Universal Orlando was recorded as an equity method investment during that period.</w:t>
      </w:r>
    </w:p>
    <w:p>
      <w:pPr>
        <w:spacing w:after="0" w:line="44" w:lineRule="exact"/>
        <w:rPr>
          <w:rFonts w:ascii="Arial" w:cs="Arial" w:eastAsia="Arial" w:hAnsi="Arial"/>
          <w:sz w:val="14"/>
          <w:szCs w:val="14"/>
          <w:color w:val="auto"/>
        </w:rPr>
      </w:pPr>
    </w:p>
    <w:p>
      <w:pPr>
        <w:ind w:left="340" w:right="20" w:hanging="332"/>
        <w:spacing w:after="0" w:line="239" w:lineRule="auto"/>
        <w:tabs>
          <w:tab w:leader="none" w:pos="340" w:val="left"/>
        </w:tabs>
        <w:numPr>
          <w:ilvl w:val="0"/>
          <w:numId w:val="17"/>
        </w:numPr>
        <w:rPr>
          <w:rFonts w:ascii="Arial" w:cs="Arial" w:eastAsia="Arial" w:hAnsi="Arial"/>
          <w:sz w:val="14"/>
          <w:szCs w:val="14"/>
          <w:color w:val="auto"/>
        </w:rPr>
      </w:pPr>
      <w:r>
        <w:rPr>
          <w:rFonts w:ascii="Arial" w:cs="Arial" w:eastAsia="Arial" w:hAnsi="Arial"/>
          <w:sz w:val="14"/>
          <w:szCs w:val="14"/>
          <w:color w:val="auto"/>
        </w:rPr>
        <w:t>Pro forma amounts include the results of operations for the NBCUniversal acquired businesses and Universal Orlando for the period January 1, 2011 through January 28, 2011 and other pro forma adjustments that include the effects of acquisition accounting.</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Segment—Revenue</w:t>
      </w:r>
    </w:p>
    <w:p>
      <w:pPr>
        <w:spacing w:after="0" w:line="72"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Our Theme Parks segment revenue increased for the three months ended March 31, 2012 compared to the same period in 2011 primarily due to increases in per capita spending and international guest attendance at our Universal theme parks.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Theme Parks Segment—Operating Costs and Expenses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color w:val="auto"/>
        </w:rPr>
        <w:t>Our Theme Parks segment operating costs and expenses remained relatively flat for the three months ended March 31, 2012 compared to the same period in 2011.</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Headquarters, Other and Eliminations</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Headquarters and other operating costs and expenses decreased for the three months ended March 31, 2012 compared to the same period in 2011 primarily due to transaction-related costs associated with the NBCUniversal transaction, including severance and other compensation-related costs, included in the prior year period.</w:t>
      </w:r>
    </w:p>
    <w:p>
      <w:pPr>
        <w:spacing w:after="0" w:line="4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Eliminations include the results of operations for Universal Orlando for the period January 29, 2011 through March 31, 2011. Our Theme Parks segment includes the results of operations of Universal Orlando for this period because these amounts reflect our segment performance measure. These amounts are not included when we measure total NBCUniversal and our consolidated results of operations because we recorded Universal Orlando as an equity method investment for the period January 29, 2011 through March 31, 2011.</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Other Income (Expense) Items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jc w:val="right"/>
              <w:ind w:right="316"/>
              <w:spacing w:after="0"/>
              <w:rPr>
                <w:sz w:val="20"/>
                <w:szCs w:val="20"/>
                <w:color w:val="auto"/>
              </w:rPr>
            </w:pPr>
            <w:r>
              <w:rPr>
                <w:rFonts w:ascii="Arial" w:cs="Arial" w:eastAsia="Arial" w:hAnsi="Arial"/>
                <w:sz w:val="14"/>
                <w:szCs w:val="14"/>
                <w:color w:val="auto"/>
                <w:w w:val="99"/>
              </w:rPr>
              <w:t>Three Months Ended</w:t>
            </w:r>
          </w:p>
        </w:tc>
        <w:tc>
          <w:tcPr>
            <w:tcW w:w="0" w:type="dxa"/>
            <w:vAlign w:val="bottom"/>
          </w:tcPr>
          <w:p>
            <w:pPr>
              <w:spacing w:after="0"/>
              <w:rPr>
                <w:sz w:val="1"/>
                <w:szCs w:val="1"/>
                <w:color w:val="auto"/>
              </w:rPr>
            </w:pPr>
          </w:p>
        </w:tc>
      </w:tr>
      <w:tr>
        <w:trPr>
          <w:trHeight w:val="159"/>
        </w:trPr>
        <w:tc>
          <w:tcPr>
            <w:tcW w:w="904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6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9"/>
              <w:spacing w:after="0" w:line="159" w:lineRule="exact"/>
              <w:rPr>
                <w:sz w:val="20"/>
                <w:szCs w:val="20"/>
                <w:color w:val="auto"/>
              </w:rPr>
            </w:pPr>
            <w:r>
              <w:rPr>
                <w:rFonts w:ascii="Arial" w:cs="Arial" w:eastAsia="Arial" w:hAnsi="Arial"/>
                <w:sz w:val="14"/>
                <w:szCs w:val="14"/>
                <w:color w:val="auto"/>
                <w:w w:val="85"/>
              </w:rPr>
              <w:t>March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040" w:type="dxa"/>
            <w:vAlign w:val="bottom"/>
            <w:tcBorders>
              <w:bottom w:val="single" w:sz="8" w:color="auto"/>
            </w:tcBorders>
            <w:vMerge w:val="continue"/>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118"/>
              <w:spacing w:after="0" w:line="142" w:lineRule="exact"/>
              <w:rPr>
                <w:sz w:val="20"/>
                <w:szCs w:val="20"/>
                <w:color w:val="auto"/>
              </w:rPr>
            </w:pPr>
            <w:r>
              <w:rPr>
                <w:rFonts w:ascii="Arial" w:cs="Arial" w:eastAsia="Arial" w:hAnsi="Arial"/>
                <w:sz w:val="14"/>
                <w:szCs w:val="14"/>
                <w:color w:val="auto"/>
                <w:w w:val="83"/>
              </w:rPr>
              <w:t>2012</w:t>
            </w:r>
          </w:p>
        </w:tc>
        <w:tc>
          <w:tcPr>
            <w:tcW w:w="70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color w:val="auto"/>
                <w:w w:val="89"/>
              </w:rPr>
              <w:t>2011</w:t>
            </w:r>
          </w:p>
        </w:tc>
        <w:tc>
          <w:tcPr>
            <w:tcW w:w="0" w:type="dxa"/>
            <w:vAlign w:val="bottom"/>
          </w:tcPr>
          <w:p>
            <w:pPr>
              <w:spacing w:after="0"/>
              <w:rPr>
                <w:sz w:val="1"/>
                <w:szCs w:val="1"/>
                <w:color w:val="auto"/>
              </w:rPr>
            </w:pPr>
          </w:p>
        </w:tc>
      </w:tr>
      <w:tr>
        <w:trPr>
          <w:trHeight w:val="210"/>
        </w:trPr>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Interest expense</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(640)</w:t>
            </w:r>
          </w:p>
        </w:tc>
        <w:tc>
          <w:tcPr>
            <w:tcW w:w="70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Investment income (loss), net</w:t>
            </w:r>
          </w:p>
        </w:tc>
        <w:tc>
          <w:tcPr>
            <w:tcW w:w="6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700" w:type="dxa"/>
            <w:vAlign w:val="bottom"/>
          </w:tcPr>
          <w:p>
            <w:pPr>
              <w:spacing w:after="0"/>
              <w:rPr>
                <w:sz w:val="18"/>
                <w:szCs w:val="18"/>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9040" w:type="dxa"/>
            <w:vAlign w:val="bottom"/>
            <w:shd w:val="clear" w:color="auto" w:fill="E5E5E5"/>
          </w:tcPr>
          <w:p>
            <w:pPr>
              <w:spacing w:after="0"/>
              <w:rPr>
                <w:sz w:val="20"/>
                <w:szCs w:val="20"/>
                <w:color w:val="auto"/>
              </w:rPr>
            </w:pPr>
            <w:r>
              <w:rPr>
                <w:rFonts w:ascii="Arial" w:cs="Arial" w:eastAsia="Arial" w:hAnsi="Arial"/>
                <w:sz w:val="18"/>
                <w:szCs w:val="18"/>
                <w:color w:val="auto"/>
              </w:rPr>
              <w:t>Equity in net income (losses) of investees, net</w:t>
            </w:r>
          </w:p>
        </w:tc>
        <w:tc>
          <w:tcPr>
            <w:tcW w:w="660" w:type="dxa"/>
            <w:vAlign w:val="bottom"/>
            <w:shd w:val="clear" w:color="auto" w:fill="E5E5E5"/>
          </w:tcPr>
          <w:p>
            <w:pPr>
              <w:spacing w:after="0"/>
              <w:rPr>
                <w:sz w:val="18"/>
                <w:szCs w:val="18"/>
                <w:color w:val="auto"/>
              </w:rPr>
            </w:pPr>
          </w:p>
        </w:tc>
        <w:tc>
          <w:tcPr>
            <w:tcW w:w="48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w:t>
            </w:r>
          </w:p>
        </w:tc>
        <w:tc>
          <w:tcPr>
            <w:tcW w:w="700" w:type="dxa"/>
            <w:vAlign w:val="bottom"/>
            <w:shd w:val="clear" w:color="auto" w:fill="E5E5E5"/>
          </w:tcPr>
          <w:p>
            <w:pPr>
              <w:spacing w:after="0"/>
              <w:rPr>
                <w:sz w:val="18"/>
                <w:szCs w:val="18"/>
                <w:color w:val="auto"/>
              </w:rPr>
            </w:pPr>
          </w:p>
        </w:tc>
        <w:tc>
          <w:tcPr>
            <w:tcW w:w="5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9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income (expense), net</w:t>
            </w:r>
          </w:p>
        </w:tc>
        <w:tc>
          <w:tcPr>
            <w:tcW w:w="6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7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7"/>
        </w:trPr>
        <w:tc>
          <w:tcPr>
            <w:tcW w:w="90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b w:val="1"/>
                <w:bCs w:val="1"/>
                <w:color w:val="auto"/>
              </w:rPr>
              <w:t>Total</w:t>
            </w:r>
          </w:p>
        </w:tc>
        <w:tc>
          <w:tcPr>
            <w:tcW w:w="6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(561)</w:t>
            </w:r>
          </w:p>
        </w:tc>
        <w:tc>
          <w:tcPr>
            <w:tcW w:w="70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b w:val="1"/>
                <w:bCs w:val="1"/>
                <w:color w:val="auto"/>
              </w:rPr>
              <w:t>(589)</w:t>
            </w: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Interest expense increased for the three months ended March 31, 2012 compared to the same period in 2011 primarily due to interest expense related to NBCUniversal and Universal Orlando.</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Income (Loss), Net</w:t>
      </w:r>
    </w:p>
    <w:p>
      <w:pPr>
        <w:spacing w:after="0" w:line="7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components of investment income (loss), net for the three months ended March 31, 2012 and 2011 are presented in a table in Note 4 to our condensed consolidated financial statements.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Income Tax Expense</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tax expense for the three months ended March 31, 2012 and 2011 reflects an effective income tax rate that differs from the federal statutory rate primarily due to state income taxes, interest on uncertain tax positions, the partnership structure of NBCUniversal and foreign income taxes. We expect our 2012 annual effective tax rate to be in the range of 35% to 40%.</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Consolidated Net (Income) Loss Attributable to Noncontrolling Interests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loss attributable to noncontrolling interests increased for the three months ended March 31, 2012 compared to the same period in 2011 primarily due to the increase in GE’s allocated share of the earnings of NBCUniversal.</w:t>
      </w:r>
    </w:p>
    <w:p>
      <w:pPr>
        <w:spacing w:after="0" w:line="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8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businesses generate significant cash flows from operating activities. We believe that we will be able to continue to meet our current and long-term liquidity and capital requirements, including fixed charges, as well as potential future redemptions of GE’s noncontrolling equity interest in NBCUniversal, through our cash flows from operating activities, existing cash, cash equivalents and investments, available borrowings under our existing credit facilities, and our ability to obtain future external financing.</w:t>
      </w:r>
    </w:p>
    <w:p>
      <w:pPr>
        <w:spacing w:after="0" w:line="4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We anticipate that we will continue to use a substantial portion of our cash flows to meet our debt repayment obligations, to fund our capital expenditures, to invest in business opportunities, and to return capital to shareholders. The cash flows generated from our Cable Communications segment and other businesses are used to invest in their respective core businesses and return capital to shareholders. The cash flows generated from NBCUniversal are used to invest in its core businesses and to fund potential future redemptions of GE’s noncontrolling interest in NBCUniversal.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Components of Net Cash Provided by Operating Activities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60" w:type="dxa"/>
            <w:vAlign w:val="bottom"/>
          </w:tcPr>
          <w:p>
            <w:pPr>
              <w:spacing w:after="0"/>
              <w:rPr>
                <w:sz w:val="14"/>
                <w:szCs w:val="14"/>
                <w:color w:val="auto"/>
              </w:rPr>
            </w:pPr>
          </w:p>
        </w:tc>
        <w:tc>
          <w:tcPr>
            <w:tcW w:w="2160" w:type="dxa"/>
            <w:vAlign w:val="bottom"/>
            <w:gridSpan w:val="2"/>
          </w:tcPr>
          <w:p>
            <w:pPr>
              <w:jc w:val="right"/>
              <w:ind w:right="254"/>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59"/>
        </w:trPr>
        <w:tc>
          <w:tcPr>
            <w:tcW w:w="9260" w:type="dxa"/>
            <w:vAlign w:val="bottom"/>
            <w:vMerge w:val="restart"/>
          </w:tcPr>
          <w:p>
            <w:pPr>
              <w:spacing w:after="0"/>
              <w:rPr>
                <w:sz w:val="20"/>
                <w:szCs w:val="20"/>
                <w:color w:val="auto"/>
              </w:rPr>
            </w:pPr>
            <w:r>
              <w:rPr>
                <w:rFonts w:ascii="Arial" w:cs="Arial" w:eastAsia="Arial" w:hAnsi="Arial"/>
                <w:sz w:val="14"/>
                <w:szCs w:val="14"/>
                <w:color w:val="auto"/>
              </w:rPr>
              <w:t>(in millions)</w:t>
            </w:r>
          </w:p>
        </w:tc>
        <w:tc>
          <w:tcPr>
            <w:tcW w:w="150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March 31</w:t>
            </w:r>
          </w:p>
        </w:tc>
        <w:tc>
          <w:tcPr>
            <w:tcW w:w="6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9260" w:type="dxa"/>
            <w:vAlign w:val="bottom"/>
            <w:tcBorders>
              <w:bottom w:val="single" w:sz="8" w:color="auto"/>
            </w:tcBorders>
            <w:vMerge w:val="continue"/>
          </w:tcPr>
          <w:p>
            <w:pPr>
              <w:spacing w:after="0"/>
              <w:rPr>
                <w:sz w:val="12"/>
                <w:szCs w:val="12"/>
                <w:color w:val="auto"/>
              </w:rPr>
            </w:pPr>
          </w:p>
        </w:tc>
        <w:tc>
          <w:tcPr>
            <w:tcW w:w="1500" w:type="dxa"/>
            <w:vAlign w:val="bottom"/>
            <w:tcBorders>
              <w:bottom w:val="single" w:sz="8" w:color="auto"/>
            </w:tcBorders>
          </w:tcPr>
          <w:p>
            <w:pPr>
              <w:jc w:val="right"/>
              <w:ind w:right="577"/>
              <w:spacing w:after="0" w:line="142" w:lineRule="exact"/>
              <w:rPr>
                <w:sz w:val="20"/>
                <w:szCs w:val="20"/>
                <w:color w:val="auto"/>
              </w:rPr>
            </w:pPr>
            <w:r>
              <w:rPr>
                <w:rFonts w:ascii="Arial" w:cs="Arial" w:eastAsia="Arial" w:hAnsi="Arial"/>
                <w:sz w:val="14"/>
                <w:szCs w:val="14"/>
                <w:color w:val="auto"/>
              </w:rPr>
              <w:t>2012</w:t>
            </w:r>
          </w:p>
        </w:tc>
        <w:tc>
          <w:tcPr>
            <w:tcW w:w="660" w:type="dxa"/>
            <w:vAlign w:val="bottom"/>
            <w:tcBorders>
              <w:bottom w:val="single" w:sz="8" w:color="auto"/>
            </w:tcBorders>
          </w:tcPr>
          <w:p>
            <w:pPr>
              <w:jc w:val="right"/>
              <w:ind w:right="154"/>
              <w:spacing w:after="0" w:line="142" w:lineRule="exact"/>
              <w:rPr>
                <w:sz w:val="20"/>
                <w:szCs w:val="20"/>
                <w:color w:val="auto"/>
              </w:rPr>
            </w:pPr>
            <w:r>
              <w:rPr>
                <w:rFonts w:ascii="Arial" w:cs="Arial" w:eastAsia="Arial" w:hAnsi="Arial"/>
                <w:sz w:val="14"/>
                <w:szCs w:val="14"/>
                <w:color w:val="auto"/>
              </w:rPr>
              <w:t>2011</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Operating income</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$ 2,758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w w:val="89"/>
              </w:rPr>
              <w:t>$ 2,224</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Depreciation and amortization</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color w:val="auto"/>
              </w:rPr>
              <w:t>1,930</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1,842</w:t>
            </w:r>
          </w:p>
        </w:tc>
        <w:tc>
          <w:tcPr>
            <w:tcW w:w="0" w:type="dxa"/>
            <w:vAlign w:val="bottom"/>
          </w:tcPr>
          <w:p>
            <w:pPr>
              <w:spacing w:after="0"/>
              <w:rPr>
                <w:sz w:val="1"/>
                <w:szCs w:val="1"/>
                <w:color w:val="auto"/>
              </w:rPr>
            </w:pPr>
          </w:p>
        </w:tc>
      </w:tr>
      <w:tr>
        <w:trPr>
          <w:trHeight w:val="210"/>
        </w:trPr>
        <w:tc>
          <w:tcPr>
            <w:tcW w:w="9260" w:type="dxa"/>
            <w:vAlign w:val="bottom"/>
            <w:shd w:val="clear" w:color="auto" w:fill="E5E5E5"/>
          </w:tcPr>
          <w:p>
            <w:pPr>
              <w:ind w:left="440"/>
              <w:spacing w:after="0"/>
              <w:rPr>
                <w:sz w:val="20"/>
                <w:szCs w:val="20"/>
                <w:color w:val="auto"/>
              </w:rPr>
            </w:pPr>
            <w:r>
              <w:rPr>
                <w:rFonts w:ascii="Arial" w:cs="Arial" w:eastAsia="Arial" w:hAnsi="Arial"/>
                <w:sz w:val="18"/>
                <w:szCs w:val="18"/>
                <w:color w:val="auto"/>
              </w:rPr>
              <w:t>Operating income before depreciation and amortization</w:t>
            </w:r>
          </w:p>
        </w:tc>
        <w:tc>
          <w:tcPr>
            <w:tcW w:w="1500" w:type="dxa"/>
            <w:vAlign w:val="bottom"/>
            <w:shd w:val="clear" w:color="auto" w:fill="E5E5E5"/>
          </w:tcPr>
          <w:p>
            <w:pPr>
              <w:jc w:val="right"/>
              <w:ind w:right="437"/>
              <w:spacing w:after="0"/>
              <w:rPr>
                <w:sz w:val="20"/>
                <w:szCs w:val="20"/>
                <w:color w:val="auto"/>
              </w:rPr>
            </w:pPr>
            <w:r>
              <w:rPr>
                <w:rFonts w:ascii="Arial" w:cs="Arial" w:eastAsia="Arial" w:hAnsi="Arial"/>
                <w:sz w:val="18"/>
                <w:szCs w:val="18"/>
                <w:color w:val="auto"/>
              </w:rPr>
              <w:t>4,688</w:t>
            </w:r>
          </w:p>
        </w:tc>
        <w:tc>
          <w:tcPr>
            <w:tcW w:w="660" w:type="dxa"/>
            <w:vAlign w:val="bottom"/>
            <w:shd w:val="clear" w:color="auto" w:fill="E5E5E5"/>
          </w:tcPr>
          <w:p>
            <w:pPr>
              <w:jc w:val="right"/>
              <w:ind w:right="14"/>
              <w:spacing w:after="0"/>
              <w:rPr>
                <w:sz w:val="20"/>
                <w:szCs w:val="20"/>
                <w:color w:val="auto"/>
              </w:rPr>
            </w:pPr>
            <w:r>
              <w:rPr>
                <w:rFonts w:ascii="Arial" w:cs="Arial" w:eastAsia="Arial" w:hAnsi="Arial"/>
                <w:sz w:val="18"/>
                <w:szCs w:val="18"/>
                <w:color w:val="auto"/>
              </w:rPr>
              <w:t>4,066</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Noncash share-based compensation</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89</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Changes in operating assets and liabilities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346</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0"/>
        </w:trPr>
        <w:tc>
          <w:tcPr>
            <w:tcW w:w="9260" w:type="dxa"/>
            <w:vAlign w:val="bottom"/>
          </w:tcPr>
          <w:p>
            <w:pPr>
              <w:ind w:left="440"/>
              <w:spacing w:after="0"/>
              <w:rPr>
                <w:sz w:val="20"/>
                <w:szCs w:val="20"/>
                <w:color w:val="auto"/>
              </w:rPr>
            </w:pPr>
            <w:r>
              <w:rPr>
                <w:rFonts w:ascii="Arial" w:cs="Arial" w:eastAsia="Arial" w:hAnsi="Arial"/>
                <w:sz w:val="18"/>
                <w:szCs w:val="18"/>
                <w:color w:val="auto"/>
              </w:rPr>
              <w:t>Cash basis operating income</w:t>
            </w:r>
          </w:p>
        </w:tc>
        <w:tc>
          <w:tcPr>
            <w:tcW w:w="1500" w:type="dxa"/>
            <w:vAlign w:val="bottom"/>
          </w:tcPr>
          <w:p>
            <w:pPr>
              <w:jc w:val="right"/>
              <w:ind w:right="437"/>
              <w:spacing w:after="0"/>
              <w:rPr>
                <w:sz w:val="20"/>
                <w:szCs w:val="20"/>
                <w:color w:val="auto"/>
              </w:rPr>
            </w:pPr>
            <w:r>
              <w:rPr>
                <w:rFonts w:ascii="Arial" w:cs="Arial" w:eastAsia="Arial" w:hAnsi="Arial"/>
                <w:sz w:val="18"/>
                <w:szCs w:val="18"/>
                <w:color w:val="auto"/>
              </w:rPr>
              <w:t>5,123</w:t>
            </w: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4,157</w:t>
            </w:r>
          </w:p>
        </w:tc>
        <w:tc>
          <w:tcPr>
            <w:tcW w:w="0" w:type="dxa"/>
            <w:vAlign w:val="bottom"/>
          </w:tcPr>
          <w:p>
            <w:pPr>
              <w:spacing w:after="0"/>
              <w:rPr>
                <w:sz w:val="1"/>
                <w:szCs w:val="1"/>
                <w:color w:val="auto"/>
              </w:rPr>
            </w:pPr>
          </w:p>
        </w:tc>
      </w:tr>
      <w:tr>
        <w:trPr>
          <w:trHeight w:val="216"/>
        </w:trPr>
        <w:tc>
          <w:tcPr>
            <w:tcW w:w="9260" w:type="dxa"/>
            <w:vAlign w:val="bottom"/>
            <w:shd w:val="clear" w:color="auto" w:fill="E5E5E5"/>
          </w:tcPr>
          <w:p>
            <w:pPr>
              <w:spacing w:after="0"/>
              <w:rPr>
                <w:sz w:val="20"/>
                <w:szCs w:val="20"/>
                <w:color w:val="auto"/>
              </w:rPr>
            </w:pPr>
            <w:r>
              <w:rPr>
                <w:rFonts w:ascii="Arial" w:cs="Arial" w:eastAsia="Arial" w:hAnsi="Arial"/>
                <w:sz w:val="18"/>
                <w:szCs w:val="18"/>
                <w:color w:val="auto"/>
              </w:rPr>
              <w:t>Payments of interest</w:t>
            </w:r>
          </w:p>
        </w:tc>
        <w:tc>
          <w:tcPr>
            <w:tcW w:w="1500" w:type="dxa"/>
            <w:vAlign w:val="bottom"/>
            <w:shd w:val="clear" w:color="auto" w:fill="E5E5E5"/>
          </w:tcPr>
          <w:p>
            <w:pPr>
              <w:jc w:val="right"/>
              <w:ind w:right="377"/>
              <w:spacing w:after="0"/>
              <w:rPr>
                <w:sz w:val="20"/>
                <w:szCs w:val="20"/>
                <w:color w:val="auto"/>
              </w:rPr>
            </w:pPr>
            <w:r>
              <w:rPr>
                <w:rFonts w:ascii="Arial" w:cs="Arial" w:eastAsia="Arial" w:hAnsi="Arial"/>
                <w:sz w:val="18"/>
                <w:szCs w:val="18"/>
                <w:color w:val="auto"/>
              </w:rPr>
              <w:t>(614)</w:t>
            </w:r>
          </w:p>
        </w:tc>
        <w:tc>
          <w:tcPr>
            <w:tcW w:w="6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16"/>
        </w:trPr>
        <w:tc>
          <w:tcPr>
            <w:tcW w:w="9260" w:type="dxa"/>
            <w:vAlign w:val="bottom"/>
          </w:tcPr>
          <w:p>
            <w:pPr>
              <w:spacing w:after="0"/>
              <w:rPr>
                <w:sz w:val="20"/>
                <w:szCs w:val="20"/>
                <w:color w:val="auto"/>
              </w:rPr>
            </w:pPr>
            <w:r>
              <w:rPr>
                <w:rFonts w:ascii="Arial" w:cs="Arial" w:eastAsia="Arial" w:hAnsi="Arial"/>
                <w:sz w:val="18"/>
                <w:szCs w:val="18"/>
                <w:color w:val="auto"/>
              </w:rPr>
              <w:t>Payments of income taxes</w:t>
            </w:r>
          </w:p>
        </w:tc>
        <w:tc>
          <w:tcPr>
            <w:tcW w:w="1500" w:type="dxa"/>
            <w:vAlign w:val="bottom"/>
          </w:tcPr>
          <w:p>
            <w:pPr>
              <w:jc w:val="right"/>
              <w:ind w:right="377"/>
              <w:spacing w:after="0"/>
              <w:rPr>
                <w:sz w:val="20"/>
                <w:szCs w:val="20"/>
                <w:color w:val="auto"/>
              </w:rPr>
            </w:pPr>
            <w:r>
              <w:rPr>
                <w:rFonts w:ascii="Arial" w:cs="Arial" w:eastAsia="Arial" w:hAnsi="Arial"/>
                <w:sz w:val="18"/>
                <w:szCs w:val="18"/>
                <w:color w:val="auto"/>
              </w:rPr>
              <w:t>(118)</w:t>
            </w:r>
          </w:p>
        </w:tc>
        <w:tc>
          <w:tcPr>
            <w:tcW w:w="66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926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Proceeds from interest, dividends and other nonoperating items</w:t>
            </w:r>
          </w:p>
        </w:tc>
        <w:tc>
          <w:tcPr>
            <w:tcW w:w="1500" w:type="dxa"/>
            <w:vAlign w:val="bottom"/>
            <w:tcBorders>
              <w:bottom w:val="single" w:sz="8" w:color="auto"/>
            </w:tcBorders>
            <w:shd w:val="clear" w:color="auto" w:fill="E5E5E5"/>
          </w:tcPr>
          <w:p>
            <w:pPr>
              <w:jc w:val="right"/>
              <w:ind w:right="437"/>
              <w:spacing w:after="0"/>
              <w:rPr>
                <w:sz w:val="20"/>
                <w:szCs w:val="20"/>
                <w:color w:val="auto"/>
              </w:rPr>
            </w:pPr>
            <w:r>
              <w:rPr>
                <w:rFonts w:ascii="Arial" w:cs="Arial" w:eastAsia="Arial" w:hAnsi="Arial"/>
                <w:sz w:val="18"/>
                <w:szCs w:val="18"/>
                <w:color w:val="auto"/>
              </w:rPr>
              <w:t>2</w:t>
            </w:r>
          </w:p>
        </w:tc>
        <w:tc>
          <w:tcPr>
            <w:tcW w:w="660" w:type="dxa"/>
            <w:vAlign w:val="bottom"/>
            <w:tcBorders>
              <w:bottom w:val="single" w:sz="8" w:color="auto"/>
            </w:tcBorders>
            <w:shd w:val="clear" w:color="auto" w:fill="E5E5E5"/>
          </w:tcPr>
          <w:p>
            <w:pPr>
              <w:jc w:val="right"/>
              <w:ind w:right="14"/>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7"/>
        </w:trPr>
        <w:tc>
          <w:tcPr>
            <w:tcW w:w="9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1500" w:type="dxa"/>
            <w:vAlign w:val="bottom"/>
            <w:tcBorders>
              <w:bottom w:val="single" w:sz="8" w:color="auto"/>
            </w:tcBorders>
          </w:tcPr>
          <w:p>
            <w:pPr>
              <w:jc w:val="right"/>
              <w:ind w:right="437"/>
              <w:spacing w:after="0"/>
              <w:rPr>
                <w:sz w:val="20"/>
                <w:szCs w:val="20"/>
                <w:color w:val="auto"/>
              </w:rPr>
            </w:pPr>
            <w:r>
              <w:rPr>
                <w:rFonts w:ascii="Arial" w:cs="Arial" w:eastAsia="Arial" w:hAnsi="Arial"/>
                <w:sz w:val="18"/>
                <w:szCs w:val="18"/>
                <w:b w:val="1"/>
                <w:bCs w:val="1"/>
                <w:color w:val="auto"/>
              </w:rPr>
              <w:t>$ 4,393</w:t>
            </w:r>
          </w:p>
        </w:tc>
        <w:tc>
          <w:tcPr>
            <w:tcW w:w="6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w w:val="89"/>
              </w:rPr>
              <w:t>$ 3,468</w:t>
            </w:r>
          </w:p>
        </w:tc>
        <w:tc>
          <w:tcPr>
            <w:tcW w:w="0" w:type="dxa"/>
            <w:vAlign w:val="bottom"/>
          </w:tcPr>
          <w:p>
            <w:pPr>
              <w:spacing w:after="0"/>
              <w:rPr>
                <w:sz w:val="1"/>
                <w:szCs w:val="1"/>
                <w:color w:val="auto"/>
              </w:rPr>
            </w:pPr>
          </w:p>
        </w:tc>
      </w:tr>
    </w:tbl>
    <w:p>
      <w:pPr>
        <w:spacing w:after="0" w:line="59" w:lineRule="exact"/>
        <w:rPr>
          <w:sz w:val="20"/>
          <w:szCs w:val="20"/>
          <w:color w:val="auto"/>
        </w:rPr>
      </w:pPr>
    </w:p>
    <w:p>
      <w:pPr>
        <w:jc w:val="both"/>
        <w:spacing w:after="0" w:line="325" w:lineRule="auto"/>
        <w:rPr>
          <w:sz w:val="20"/>
          <w:szCs w:val="20"/>
          <w:color w:val="auto"/>
        </w:rPr>
      </w:pPr>
      <w:r>
        <w:rPr>
          <w:rFonts w:ascii="Arial" w:cs="Arial" w:eastAsia="Arial" w:hAnsi="Arial"/>
          <w:sz w:val="16"/>
          <w:szCs w:val="16"/>
          <w:color w:val="auto"/>
        </w:rPr>
        <w:t>The changes in operating assets and liabilities for the three months ended March 31, 2012 compared to the same period in 2011 primarily relate to the timing of payments of operating items, including payroll and participations and residuals, and a decrease in film and television costs.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decrease in interest payments for the three months ended March 31, 2012 compared to the same period in 2011 was primarily due to the repayment of certain of our debt obligations.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increase in income tax payments for the three months ended March 31, 2012 compared to the same period in 2011 was primarily due to federal tax payments made in 2012 that related to 2011.</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 for the three months ended March 31, 2012 consisted primarily of capital expenditures and cash paid for intangible assets.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74"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Net cash used in financing activities for the three months ended March 31, 2012 consisted primarily of repayments of debt, repurchases of our common stock, repayments of our short-term borrowings and dividend payments.</w:t>
      </w:r>
    </w:p>
    <w:p>
      <w:pPr>
        <w:spacing w:after="0" w:line="3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We have made, and may from time to time in the future make, optional repayments on our debt obligations, which may include repurchases of our outstanding public notes and debentures, depending on various factors, such as market conditions.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Borrowings Under Credit Facilities</w:t>
      </w:r>
    </w:p>
    <w:p>
      <w:pPr>
        <w:spacing w:after="0" w:line="7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significant availability under our lines of credit and our commercial paper programs to meet our short-term liquidity requirements. As of March 31, 2012, $6.5 billion was available under Comcast’s and Comcast Cable Communications’ revolving credit facilities and $1.3 billion was available under NBCUniversal’s revolving credit facility.</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 and Dividends</w:t>
      </w:r>
    </w:p>
    <w:p>
      <w:pPr>
        <w:spacing w:after="0" w:line="7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 During the three months ended March 31, 2012, we repurchased 26 million shares of our Class A Special common stock for $750 million.</w:t>
      </w:r>
    </w:p>
    <w:p>
      <w:pPr>
        <w:spacing w:after="0" w:line="1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February 2012, our Board of Directors approved an increase to our dividend of 44% to $0.65 per share on an annualized basis and approved our first quarter dividend of $0.1625 per share, totaling $439 million, which was paid in April 2012. We expect to continue to pay quarterly dividends, although each dividend is subject to approval by our Board of Directors.</w:t>
      </w:r>
    </w:p>
    <w:p>
      <w:pPr>
        <w:spacing w:after="0" w:line="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Judgments and Estimates</w:t>
      </w:r>
    </w:p>
    <w:p>
      <w:pPr>
        <w:spacing w:after="0" w:line="82"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The preparation of our condensed consolidated financial statements requires us to make estimates that affect the reported amounts of assets, liabilities, revenue and expenses, and the related disclosure of contingent liabilities. We base our judgments on our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a more complete discussion of the accounting judgments and estimates that we have identified as critical in the preparation of our condensed consolidated financial statements, please refer to our Management’s Discussion and Analysis of Financial Condition and Results of Operations in our 2011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DISCLOSURES ABOUT MARKET RISK</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have evaluated the information required under this item that was disclosed in our 2011 Annual Report on Form 10-K and there have been no significant changes to this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Conclusions regarding disclosure controls and procedures</w:t>
      </w:r>
    </w:p>
    <w:p>
      <w:pPr>
        <w:spacing w:after="0" w:line="7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Our principal executive and principal financial officers, after evaluating the effectiveness of our disclosure controls and procedures (as defined in Exchange Act Rules 13a-15(e) and 15d-15(e) under the Securities Exchange Act of 1934, as amended (the “Exchange Act”))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7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27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II: OTHER INFORMATION</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LEGAL PROCEEDINGS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Refer to Note 14 to our condensed consolidated financial statements included in this Quarterly Report on Form 10-Q for a discussion of recent developments related to our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1A: RISK FACTORS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significant changes from the risk factors previously disclosed in Item 1A of our 2011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2: UNREGISTERED SALES OF EQUITY SECURITIES AND USE OF PROCEEDS</w:t>
      </w:r>
    </w:p>
    <w:p>
      <w:pPr>
        <w:spacing w:after="0" w:line="8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table below summarizes our Class A Special common stock repurchases under our Board-authorized share repurchase program during the three months ended March 31, 2012.</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Purchase of Equity Securities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Arial" w:cs="Arial" w:eastAsia="Arial" w:hAnsi="Arial"/>
                <w:sz w:val="14"/>
                <w:szCs w:val="14"/>
                <w:color w:val="auto"/>
                <w:w w:val="89"/>
              </w:rPr>
              <w:t>Total Number</w:t>
            </w:r>
          </w:p>
        </w:tc>
        <w:tc>
          <w:tcPr>
            <w:tcW w:w="360" w:type="dxa"/>
            <w:vAlign w:val="bottom"/>
          </w:tcPr>
          <w:p>
            <w:pPr>
              <w:spacing w:after="0"/>
              <w:rPr>
                <w:sz w:val="14"/>
                <w:szCs w:val="14"/>
                <w:color w:val="auto"/>
              </w:rPr>
            </w:pPr>
          </w:p>
        </w:tc>
        <w:tc>
          <w:tcPr>
            <w:tcW w:w="1140" w:type="dxa"/>
            <w:vAlign w:val="bottom"/>
          </w:tcPr>
          <w:p>
            <w:pPr>
              <w:jc w:val="center"/>
              <w:ind w:right="263"/>
              <w:spacing w:after="0"/>
              <w:rPr>
                <w:sz w:val="20"/>
                <w:szCs w:val="20"/>
                <w:color w:val="auto"/>
              </w:rPr>
            </w:pPr>
            <w:r>
              <w:rPr>
                <w:rFonts w:ascii="Arial" w:cs="Arial" w:eastAsia="Arial" w:hAnsi="Arial"/>
                <w:sz w:val="14"/>
                <w:szCs w:val="14"/>
                <w:color w:val="auto"/>
                <w:w w:val="89"/>
              </w:rPr>
              <w:t>Total Dollar</w:t>
            </w:r>
          </w:p>
        </w:tc>
        <w:tc>
          <w:tcPr>
            <w:tcW w:w="1500" w:type="dxa"/>
            <w:vAlign w:val="bottom"/>
          </w:tcPr>
          <w:p>
            <w:pPr>
              <w:jc w:val="center"/>
              <w:ind w:left="84"/>
              <w:spacing w:after="0"/>
              <w:rPr>
                <w:sz w:val="20"/>
                <w:szCs w:val="20"/>
                <w:color w:val="auto"/>
              </w:rPr>
            </w:pPr>
            <w:r>
              <w:rPr>
                <w:rFonts w:ascii="Arial" w:cs="Arial" w:eastAsia="Arial" w:hAnsi="Arial"/>
                <w:sz w:val="14"/>
                <w:szCs w:val="14"/>
                <w:color w:val="auto"/>
                <w:w w:val="92"/>
              </w:rPr>
              <w:t>Maximum Dollar</w:t>
            </w:r>
          </w:p>
        </w:tc>
      </w:tr>
      <w:tr>
        <w:trPr>
          <w:trHeight w:val="149"/>
        </w:trPr>
        <w:tc>
          <w:tcPr>
            <w:tcW w:w="2940" w:type="dxa"/>
            <w:vAlign w:val="bottom"/>
          </w:tcPr>
          <w:p>
            <w:pPr>
              <w:spacing w:after="0"/>
              <w:rPr>
                <w:sz w:val="12"/>
                <w:szCs w:val="12"/>
                <w:color w:val="auto"/>
              </w:rPr>
            </w:pPr>
          </w:p>
        </w:tc>
        <w:tc>
          <w:tcPr>
            <w:tcW w:w="2540" w:type="dxa"/>
            <w:vAlign w:val="bottom"/>
          </w:tcPr>
          <w:p>
            <w:pPr>
              <w:jc w:val="center"/>
              <w:ind w:left="1062"/>
              <w:spacing w:after="0" w:line="149" w:lineRule="exact"/>
              <w:rPr>
                <w:sz w:val="20"/>
                <w:szCs w:val="20"/>
                <w:color w:val="auto"/>
              </w:rPr>
            </w:pPr>
            <w:r>
              <w:rPr>
                <w:rFonts w:ascii="Arial" w:cs="Arial" w:eastAsia="Arial" w:hAnsi="Arial"/>
                <w:sz w:val="14"/>
                <w:szCs w:val="14"/>
                <w:color w:val="auto"/>
                <w:w w:val="89"/>
              </w:rPr>
              <w:t>Total</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4"/>
              </w:rPr>
              <w:t>Average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6"/>
              </w:rPr>
              <w:t>of Shares</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91"/>
              </w:rPr>
              <w:t>Amount</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5"/>
              </w:rPr>
              <w:t>Value of Shares That</w:t>
            </w:r>
          </w:p>
        </w:tc>
      </w:tr>
      <w:tr>
        <w:trPr>
          <w:trHeight w:val="149"/>
        </w:trPr>
        <w:tc>
          <w:tcPr>
            <w:tcW w:w="2940" w:type="dxa"/>
            <w:vAlign w:val="bottom"/>
          </w:tcPr>
          <w:p>
            <w:pPr>
              <w:spacing w:after="0"/>
              <w:rPr>
                <w:sz w:val="12"/>
                <w:szCs w:val="12"/>
                <w:color w:val="auto"/>
              </w:rPr>
            </w:pPr>
          </w:p>
        </w:tc>
        <w:tc>
          <w:tcPr>
            <w:tcW w:w="2540" w:type="dxa"/>
            <w:vAlign w:val="bottom"/>
          </w:tcPr>
          <w:p>
            <w:pPr>
              <w:jc w:val="center"/>
              <w:ind w:left="1062"/>
              <w:spacing w:after="0" w:line="149" w:lineRule="exact"/>
              <w:rPr>
                <w:sz w:val="20"/>
                <w:szCs w:val="20"/>
                <w:color w:val="auto"/>
              </w:rPr>
            </w:pPr>
            <w:r>
              <w:rPr>
                <w:rFonts w:ascii="Arial" w:cs="Arial" w:eastAsia="Arial" w:hAnsi="Arial"/>
                <w:sz w:val="14"/>
                <w:szCs w:val="14"/>
                <w:color w:val="auto"/>
                <w:w w:val="91"/>
              </w:rPr>
              <w:t>Number of</w:t>
            </w:r>
          </w:p>
        </w:tc>
        <w:tc>
          <w:tcPr>
            <w:tcW w:w="1020" w:type="dxa"/>
            <w:vAlign w:val="bottom"/>
          </w:tcPr>
          <w:p>
            <w:pPr>
              <w:jc w:val="center"/>
              <w:spacing w:after="0" w:line="149" w:lineRule="exact"/>
              <w:rPr>
                <w:sz w:val="20"/>
                <w:szCs w:val="20"/>
                <w:color w:val="auto"/>
              </w:rPr>
            </w:pPr>
            <w:r>
              <w:rPr>
                <w:rFonts w:ascii="Arial" w:cs="Arial" w:eastAsia="Arial" w:hAnsi="Arial"/>
                <w:sz w:val="14"/>
                <w:szCs w:val="14"/>
                <w:color w:val="auto"/>
                <w:w w:val="87"/>
              </w:rPr>
              <w:t>Price</w:t>
            </w:r>
          </w:p>
        </w:tc>
        <w:tc>
          <w:tcPr>
            <w:tcW w:w="1920" w:type="dxa"/>
            <w:vAlign w:val="bottom"/>
          </w:tcPr>
          <w:p>
            <w:pPr>
              <w:jc w:val="center"/>
              <w:spacing w:after="0" w:line="149" w:lineRule="exact"/>
              <w:rPr>
                <w:sz w:val="20"/>
                <w:szCs w:val="20"/>
                <w:color w:val="auto"/>
              </w:rPr>
            </w:pPr>
            <w:r>
              <w:rPr>
                <w:rFonts w:ascii="Arial" w:cs="Arial" w:eastAsia="Arial" w:hAnsi="Arial"/>
                <w:sz w:val="14"/>
                <w:szCs w:val="14"/>
                <w:color w:val="auto"/>
                <w:w w:val="81"/>
              </w:rPr>
              <w:t>Purchased as</w:t>
            </w:r>
          </w:p>
        </w:tc>
        <w:tc>
          <w:tcPr>
            <w:tcW w:w="360" w:type="dxa"/>
            <w:vAlign w:val="bottom"/>
          </w:tcPr>
          <w:p>
            <w:pPr>
              <w:spacing w:after="0"/>
              <w:rPr>
                <w:sz w:val="12"/>
                <w:szCs w:val="12"/>
                <w:color w:val="auto"/>
              </w:rPr>
            </w:pPr>
          </w:p>
        </w:tc>
        <w:tc>
          <w:tcPr>
            <w:tcW w:w="1140" w:type="dxa"/>
            <w:vAlign w:val="bottom"/>
          </w:tcPr>
          <w:p>
            <w:pPr>
              <w:jc w:val="center"/>
              <w:ind w:right="263"/>
              <w:spacing w:after="0" w:line="149" w:lineRule="exact"/>
              <w:rPr>
                <w:sz w:val="20"/>
                <w:szCs w:val="20"/>
                <w:color w:val="auto"/>
              </w:rPr>
            </w:pPr>
            <w:r>
              <w:rPr>
                <w:rFonts w:ascii="Arial" w:cs="Arial" w:eastAsia="Arial" w:hAnsi="Arial"/>
                <w:sz w:val="14"/>
                <w:szCs w:val="14"/>
                <w:color w:val="auto"/>
                <w:w w:val="83"/>
              </w:rPr>
              <w:t>Purchased</w:t>
            </w:r>
          </w:p>
        </w:tc>
        <w:tc>
          <w:tcPr>
            <w:tcW w:w="1500" w:type="dxa"/>
            <w:vAlign w:val="bottom"/>
          </w:tcPr>
          <w:p>
            <w:pPr>
              <w:jc w:val="center"/>
              <w:ind w:left="104"/>
              <w:spacing w:after="0" w:line="149" w:lineRule="exact"/>
              <w:rPr>
                <w:sz w:val="20"/>
                <w:szCs w:val="20"/>
                <w:color w:val="auto"/>
              </w:rPr>
            </w:pPr>
            <w:r>
              <w:rPr>
                <w:rFonts w:ascii="Arial" w:cs="Arial" w:eastAsia="Arial" w:hAnsi="Arial"/>
                <w:sz w:val="14"/>
                <w:szCs w:val="14"/>
                <w:color w:val="auto"/>
                <w:w w:val="88"/>
              </w:rPr>
              <w:t>May Yet Be</w:t>
            </w:r>
          </w:p>
        </w:tc>
      </w:tr>
      <w:tr>
        <w:trPr>
          <w:trHeight w:val="146"/>
        </w:trPr>
        <w:tc>
          <w:tcPr>
            <w:tcW w:w="2940" w:type="dxa"/>
            <w:vAlign w:val="bottom"/>
          </w:tcPr>
          <w:p>
            <w:pPr>
              <w:spacing w:after="0"/>
              <w:rPr>
                <w:sz w:val="12"/>
                <w:szCs w:val="12"/>
                <w:color w:val="auto"/>
              </w:rPr>
            </w:pPr>
          </w:p>
        </w:tc>
        <w:tc>
          <w:tcPr>
            <w:tcW w:w="2540" w:type="dxa"/>
            <w:vAlign w:val="bottom"/>
          </w:tcPr>
          <w:p>
            <w:pPr>
              <w:jc w:val="center"/>
              <w:ind w:left="1062"/>
              <w:spacing w:after="0" w:line="146" w:lineRule="exact"/>
              <w:rPr>
                <w:sz w:val="20"/>
                <w:szCs w:val="20"/>
                <w:color w:val="auto"/>
              </w:rPr>
            </w:pPr>
            <w:r>
              <w:rPr>
                <w:rFonts w:ascii="Arial" w:cs="Arial" w:eastAsia="Arial" w:hAnsi="Arial"/>
                <w:sz w:val="14"/>
                <w:szCs w:val="14"/>
                <w:color w:val="auto"/>
                <w:w w:val="81"/>
              </w:rPr>
              <w:t>Shares</w:t>
            </w:r>
          </w:p>
        </w:tc>
        <w:tc>
          <w:tcPr>
            <w:tcW w:w="1020" w:type="dxa"/>
            <w:vAlign w:val="bottom"/>
          </w:tcPr>
          <w:p>
            <w:pPr>
              <w:jc w:val="center"/>
              <w:spacing w:after="0" w:line="146" w:lineRule="exact"/>
              <w:rPr>
                <w:sz w:val="20"/>
                <w:szCs w:val="20"/>
                <w:color w:val="auto"/>
              </w:rPr>
            </w:pPr>
            <w:r>
              <w:rPr>
                <w:rFonts w:ascii="Arial" w:cs="Arial" w:eastAsia="Arial" w:hAnsi="Arial"/>
                <w:sz w:val="14"/>
                <w:szCs w:val="14"/>
                <w:color w:val="auto"/>
                <w:w w:val="82"/>
              </w:rPr>
              <w:t>Per</w:t>
            </w:r>
          </w:p>
        </w:tc>
        <w:tc>
          <w:tcPr>
            <w:tcW w:w="1920" w:type="dxa"/>
            <w:vAlign w:val="bottom"/>
          </w:tcPr>
          <w:p>
            <w:pPr>
              <w:jc w:val="center"/>
              <w:spacing w:after="0" w:line="146" w:lineRule="exact"/>
              <w:rPr>
                <w:sz w:val="20"/>
                <w:szCs w:val="20"/>
                <w:color w:val="auto"/>
              </w:rPr>
            </w:pPr>
            <w:r>
              <w:rPr>
                <w:rFonts w:ascii="Arial" w:cs="Arial" w:eastAsia="Arial" w:hAnsi="Arial"/>
                <w:sz w:val="14"/>
                <w:szCs w:val="14"/>
                <w:color w:val="auto"/>
                <w:w w:val="89"/>
              </w:rPr>
              <w:t>Part of Publicly</w:t>
            </w:r>
          </w:p>
        </w:tc>
        <w:tc>
          <w:tcPr>
            <w:tcW w:w="360" w:type="dxa"/>
            <w:vAlign w:val="bottom"/>
          </w:tcPr>
          <w:p>
            <w:pPr>
              <w:spacing w:after="0"/>
              <w:rPr>
                <w:sz w:val="12"/>
                <w:szCs w:val="12"/>
                <w:color w:val="auto"/>
              </w:rPr>
            </w:pPr>
          </w:p>
        </w:tc>
        <w:tc>
          <w:tcPr>
            <w:tcW w:w="1140" w:type="dxa"/>
            <w:vAlign w:val="bottom"/>
          </w:tcPr>
          <w:p>
            <w:pPr>
              <w:jc w:val="center"/>
              <w:ind w:right="283"/>
              <w:spacing w:after="0" w:line="146" w:lineRule="exact"/>
              <w:rPr>
                <w:sz w:val="20"/>
                <w:szCs w:val="20"/>
                <w:color w:val="auto"/>
              </w:rPr>
            </w:pPr>
            <w:r>
              <w:rPr>
                <w:rFonts w:ascii="Arial" w:cs="Arial" w:eastAsia="Arial" w:hAnsi="Arial"/>
                <w:sz w:val="14"/>
                <w:szCs w:val="14"/>
                <w:color w:val="auto"/>
                <w:w w:val="87"/>
              </w:rPr>
              <w:t>Under the</w:t>
            </w:r>
          </w:p>
        </w:tc>
        <w:tc>
          <w:tcPr>
            <w:tcW w:w="1500" w:type="dxa"/>
            <w:vAlign w:val="bottom"/>
          </w:tcPr>
          <w:p>
            <w:pPr>
              <w:jc w:val="center"/>
              <w:ind w:left="104"/>
              <w:spacing w:after="0" w:line="146" w:lineRule="exact"/>
              <w:rPr>
                <w:sz w:val="20"/>
                <w:szCs w:val="20"/>
                <w:color w:val="auto"/>
              </w:rPr>
            </w:pPr>
            <w:r>
              <w:rPr>
                <w:rFonts w:ascii="Arial" w:cs="Arial" w:eastAsia="Arial" w:hAnsi="Arial"/>
                <w:sz w:val="14"/>
                <w:szCs w:val="14"/>
                <w:color w:val="auto"/>
                <w:w w:val="84"/>
              </w:rPr>
              <w:t>Purchased Under the</w:t>
            </w:r>
          </w:p>
        </w:tc>
      </w:tr>
      <w:tr>
        <w:trPr>
          <w:trHeight w:val="176"/>
        </w:trPr>
        <w:tc>
          <w:tcPr>
            <w:tcW w:w="29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Period</w:t>
            </w:r>
          </w:p>
        </w:tc>
        <w:tc>
          <w:tcPr>
            <w:tcW w:w="2540" w:type="dxa"/>
            <w:vAlign w:val="bottom"/>
            <w:tcBorders>
              <w:bottom w:val="single" w:sz="8" w:color="auto"/>
            </w:tcBorders>
          </w:tcPr>
          <w:p>
            <w:pPr>
              <w:jc w:val="center"/>
              <w:ind w:left="1062"/>
              <w:spacing w:after="0"/>
              <w:rPr>
                <w:sz w:val="20"/>
                <w:szCs w:val="20"/>
                <w:color w:val="auto"/>
              </w:rPr>
            </w:pPr>
            <w:r>
              <w:rPr>
                <w:rFonts w:ascii="Arial" w:cs="Arial" w:eastAsia="Arial" w:hAnsi="Arial"/>
                <w:sz w:val="14"/>
                <w:szCs w:val="14"/>
                <w:color w:val="auto"/>
                <w:w w:val="83"/>
              </w:rPr>
              <w:t>Purchased</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0"/>
              </w:rPr>
              <w:t>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Announced Authorization</w:t>
            </w:r>
          </w:p>
        </w:tc>
        <w:tc>
          <w:tcPr>
            <w:tcW w:w="3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jc w:val="center"/>
              <w:ind w:right="263"/>
              <w:spacing w:after="0"/>
              <w:rPr>
                <w:sz w:val="20"/>
                <w:szCs w:val="20"/>
                <w:color w:val="auto"/>
              </w:rPr>
            </w:pPr>
            <w:r>
              <w:rPr>
                <w:rFonts w:ascii="Arial" w:cs="Arial" w:eastAsia="Arial" w:hAnsi="Arial"/>
                <w:sz w:val="14"/>
                <w:szCs w:val="14"/>
                <w:color w:val="auto"/>
                <w:w w:val="92"/>
              </w:rPr>
              <w:t>Authorization</w:t>
            </w:r>
          </w:p>
        </w:tc>
        <w:tc>
          <w:tcPr>
            <w:tcW w:w="1500" w:type="dxa"/>
            <w:vAlign w:val="bottom"/>
            <w:tcBorders>
              <w:bottom w:val="single" w:sz="8" w:color="auto"/>
            </w:tcBorders>
          </w:tcPr>
          <w:p>
            <w:pPr>
              <w:jc w:val="center"/>
              <w:ind w:left="104"/>
              <w:spacing w:after="0" w:line="176" w:lineRule="exact"/>
              <w:rPr>
                <w:sz w:val="20"/>
                <w:szCs w:val="20"/>
                <w:color w:val="auto"/>
              </w:rPr>
            </w:pPr>
            <w:r>
              <w:rPr>
                <w:rFonts w:ascii="Arial" w:cs="Arial" w:eastAsia="Arial" w:hAnsi="Arial"/>
                <w:sz w:val="13"/>
                <w:szCs w:val="13"/>
                <w:color w:val="auto"/>
                <w:w w:val="95"/>
              </w:rPr>
              <w:t>Authorization</w:t>
            </w:r>
            <w:r>
              <w:rPr>
                <w:rFonts w:ascii="Arial" w:cs="Arial" w:eastAsia="Arial" w:hAnsi="Arial"/>
                <w:sz w:val="20"/>
                <w:szCs w:val="20"/>
                <w:color w:val="auto"/>
                <w:w w:val="95"/>
                <w:vertAlign w:val="superscript"/>
              </w:rPr>
              <w:t>(a)</w:t>
            </w:r>
          </w:p>
        </w:tc>
      </w:tr>
      <w:tr>
        <w:trPr>
          <w:trHeight w:val="210"/>
        </w:trPr>
        <w:tc>
          <w:tcPr>
            <w:tcW w:w="2940" w:type="dxa"/>
            <w:vAlign w:val="bottom"/>
            <w:shd w:val="clear" w:color="auto" w:fill="E5E5E5"/>
          </w:tcPr>
          <w:p>
            <w:pPr>
              <w:spacing w:after="0"/>
              <w:rPr>
                <w:sz w:val="20"/>
                <w:szCs w:val="20"/>
                <w:color w:val="auto"/>
              </w:rPr>
            </w:pPr>
            <w:r>
              <w:rPr>
                <w:rFonts w:ascii="Arial" w:cs="Arial" w:eastAsia="Arial" w:hAnsi="Arial"/>
                <w:sz w:val="18"/>
                <w:szCs w:val="18"/>
                <w:color w:val="auto"/>
              </w:rPr>
              <w:t>January 1-31, 2012</w:t>
            </w:r>
          </w:p>
        </w:tc>
        <w:tc>
          <w:tcPr>
            <w:tcW w:w="2540" w:type="dxa"/>
            <w:vAlign w:val="bottom"/>
            <w:shd w:val="clear" w:color="auto" w:fill="E5E5E5"/>
          </w:tcPr>
          <w:p>
            <w:pPr>
              <w:jc w:val="right"/>
              <w:ind w:right="202"/>
              <w:spacing w:after="0"/>
              <w:rPr>
                <w:sz w:val="20"/>
                <w:szCs w:val="20"/>
                <w:color w:val="auto"/>
              </w:rPr>
            </w:pPr>
            <w:r>
              <w:rPr>
                <w:rFonts w:ascii="Arial" w:cs="Arial" w:eastAsia="Arial" w:hAnsi="Arial"/>
                <w:sz w:val="18"/>
                <w:szCs w:val="18"/>
                <w:color w:val="auto"/>
              </w:rPr>
              <w:t>225,890</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$24.95</w:t>
            </w:r>
          </w:p>
        </w:tc>
        <w:tc>
          <w:tcPr>
            <w:tcW w:w="192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360" w:type="dxa"/>
            <w:vAlign w:val="bottom"/>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E5E5E5"/>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shd w:val="clear" w:color="auto" w:fill="E5E5E5"/>
          </w:tcPr>
          <w:p>
            <w:pPr>
              <w:jc w:val="center"/>
              <w:ind w:left="104"/>
              <w:spacing w:after="0"/>
              <w:rPr>
                <w:sz w:val="20"/>
                <w:szCs w:val="20"/>
                <w:color w:val="auto"/>
              </w:rPr>
            </w:pPr>
            <w:r>
              <w:rPr>
                <w:rFonts w:ascii="Arial" w:cs="Arial" w:eastAsia="Arial" w:hAnsi="Arial"/>
                <w:sz w:val="18"/>
                <w:szCs w:val="18"/>
                <w:color w:val="auto"/>
                <w:w w:val="86"/>
              </w:rPr>
              <w:t>$ 6,500,000,000</w:t>
            </w:r>
          </w:p>
        </w:tc>
      </w:tr>
      <w:tr>
        <w:trPr>
          <w:trHeight w:val="216"/>
        </w:trPr>
        <w:tc>
          <w:tcPr>
            <w:tcW w:w="2940" w:type="dxa"/>
            <w:vAlign w:val="bottom"/>
          </w:tcPr>
          <w:p>
            <w:pPr>
              <w:spacing w:after="0"/>
              <w:rPr>
                <w:sz w:val="20"/>
                <w:szCs w:val="20"/>
                <w:color w:val="auto"/>
              </w:rPr>
            </w:pPr>
            <w:r>
              <w:rPr>
                <w:rFonts w:ascii="Arial" w:cs="Arial" w:eastAsia="Arial" w:hAnsi="Arial"/>
                <w:sz w:val="18"/>
                <w:szCs w:val="18"/>
                <w:color w:val="auto"/>
              </w:rPr>
              <w:t>February 1-29, 2012</w:t>
            </w:r>
          </w:p>
        </w:tc>
        <w:tc>
          <w:tcPr>
            <w:tcW w:w="2540" w:type="dxa"/>
            <w:vAlign w:val="bottom"/>
          </w:tcPr>
          <w:p>
            <w:pPr>
              <w:jc w:val="right"/>
              <w:ind w:right="202"/>
              <w:spacing w:after="0"/>
              <w:rPr>
                <w:sz w:val="20"/>
                <w:szCs w:val="20"/>
                <w:color w:val="auto"/>
              </w:rPr>
            </w:pPr>
            <w:r>
              <w:rPr>
                <w:rFonts w:ascii="Arial" w:cs="Arial" w:eastAsia="Arial" w:hAnsi="Arial"/>
                <w:sz w:val="18"/>
                <w:szCs w:val="18"/>
                <w:color w:val="auto"/>
              </w:rPr>
              <w:t>7,044</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$28.39</w:t>
            </w:r>
          </w:p>
        </w:tc>
        <w:tc>
          <w:tcPr>
            <w:tcW w:w="1920" w:type="dxa"/>
            <w:vAlign w:val="bottom"/>
          </w:tcPr>
          <w:p>
            <w:pPr>
              <w:jc w:val="right"/>
              <w:ind w:right="183"/>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83"/>
              <w:spacing w:after="0"/>
              <w:rPr>
                <w:sz w:val="20"/>
                <w:szCs w:val="20"/>
                <w:color w:val="auto"/>
              </w:rPr>
            </w:pPr>
            <w:r>
              <w:rPr>
                <w:rFonts w:ascii="Arial" w:cs="Arial" w:eastAsia="Arial" w:hAnsi="Arial"/>
                <w:sz w:val="18"/>
                <w:szCs w:val="18"/>
                <w:color w:val="auto"/>
              </w:rPr>
              <w:t>—</w:t>
            </w:r>
          </w:p>
        </w:tc>
        <w:tc>
          <w:tcPr>
            <w:tcW w:w="1500" w:type="dxa"/>
            <w:vAlign w:val="bottom"/>
          </w:tcPr>
          <w:p>
            <w:pPr>
              <w:jc w:val="center"/>
              <w:ind w:left="104"/>
              <w:spacing w:after="0"/>
              <w:rPr>
                <w:sz w:val="20"/>
                <w:szCs w:val="20"/>
                <w:color w:val="auto"/>
              </w:rPr>
            </w:pPr>
            <w:r>
              <w:rPr>
                <w:rFonts w:ascii="Arial" w:cs="Arial" w:eastAsia="Arial" w:hAnsi="Arial"/>
                <w:sz w:val="18"/>
                <w:szCs w:val="18"/>
                <w:color w:val="auto"/>
                <w:w w:val="86"/>
              </w:rPr>
              <w:t>$ 6,500,000,000</w:t>
            </w:r>
          </w:p>
        </w:tc>
      </w:tr>
      <w:tr>
        <w:trPr>
          <w:trHeight w:val="216"/>
        </w:trPr>
        <w:tc>
          <w:tcPr>
            <w:tcW w:w="2940" w:type="dxa"/>
            <w:vAlign w:val="bottom"/>
            <w:tcBorders>
              <w:bottom w:val="single" w:sz="8" w:color="auto"/>
            </w:tcBorders>
            <w:shd w:val="clear" w:color="auto" w:fill="E5E5E5"/>
          </w:tcPr>
          <w:p>
            <w:pPr>
              <w:spacing w:after="0"/>
              <w:rPr>
                <w:sz w:val="20"/>
                <w:szCs w:val="20"/>
                <w:color w:val="auto"/>
              </w:rPr>
            </w:pPr>
            <w:r>
              <w:rPr>
                <w:rFonts w:ascii="Arial" w:cs="Arial" w:eastAsia="Arial" w:hAnsi="Arial"/>
                <w:sz w:val="18"/>
                <w:szCs w:val="18"/>
                <w:color w:val="auto"/>
              </w:rPr>
              <w:t>March 1-31, 2012</w:t>
            </w:r>
          </w:p>
        </w:tc>
        <w:tc>
          <w:tcPr>
            <w:tcW w:w="2540" w:type="dxa"/>
            <w:vAlign w:val="bottom"/>
            <w:tcBorders>
              <w:bottom w:val="single" w:sz="8" w:color="auto"/>
            </w:tcBorders>
            <w:shd w:val="clear" w:color="auto" w:fill="E5E5E5"/>
          </w:tcPr>
          <w:p>
            <w:pPr>
              <w:jc w:val="right"/>
              <w:ind w:right="202"/>
              <w:spacing w:after="0"/>
              <w:rPr>
                <w:sz w:val="20"/>
                <w:szCs w:val="20"/>
                <w:color w:val="auto"/>
              </w:rPr>
            </w:pPr>
            <w:r>
              <w:rPr>
                <w:rFonts w:ascii="Arial" w:cs="Arial" w:eastAsia="Arial" w:hAnsi="Arial"/>
                <w:sz w:val="18"/>
                <w:szCs w:val="18"/>
                <w:color w:val="auto"/>
              </w:rPr>
              <w:t>25,903,672</w:t>
            </w:r>
          </w:p>
        </w:tc>
        <w:tc>
          <w:tcPr>
            <w:tcW w:w="1020" w:type="dxa"/>
            <w:vAlign w:val="bottom"/>
            <w:tcBorders>
              <w:bottom w:val="single" w:sz="8" w:color="auto"/>
            </w:tcBorders>
            <w:shd w:val="clear" w:color="auto" w:fill="E5E5E5"/>
          </w:tcPr>
          <w:p>
            <w:pPr>
              <w:jc w:val="center"/>
              <w:spacing w:after="0"/>
              <w:rPr>
                <w:sz w:val="20"/>
                <w:szCs w:val="20"/>
                <w:color w:val="auto"/>
              </w:rPr>
            </w:pPr>
            <w:r>
              <w:rPr>
                <w:rFonts w:ascii="Arial" w:cs="Arial" w:eastAsia="Arial" w:hAnsi="Arial"/>
                <w:sz w:val="18"/>
                <w:szCs w:val="18"/>
                <w:color w:val="auto"/>
                <w:w w:val="90"/>
              </w:rPr>
              <w:t>$28.95</w:t>
            </w:r>
          </w:p>
        </w:tc>
        <w:tc>
          <w:tcPr>
            <w:tcW w:w="192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rPr>
              <w:t>25,903,672</w:t>
            </w:r>
          </w:p>
        </w:tc>
        <w:tc>
          <w:tcPr>
            <w:tcW w:w="360" w:type="dxa"/>
            <w:vAlign w:val="bottom"/>
            <w:tcBorders>
              <w:bottom w:val="single" w:sz="8" w:color="auto"/>
            </w:tcBorders>
            <w:shd w:val="clear" w:color="auto" w:fill="E5E5E5"/>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E5E5E5"/>
          </w:tcPr>
          <w:p>
            <w:pPr>
              <w:jc w:val="right"/>
              <w:ind w:right="183"/>
              <w:spacing w:after="0"/>
              <w:rPr>
                <w:sz w:val="20"/>
                <w:szCs w:val="20"/>
                <w:color w:val="auto"/>
              </w:rPr>
            </w:pPr>
            <w:r>
              <w:rPr>
                <w:rFonts w:ascii="Arial" w:cs="Arial" w:eastAsia="Arial" w:hAnsi="Arial"/>
                <w:sz w:val="18"/>
                <w:szCs w:val="18"/>
                <w:color w:val="auto"/>
                <w:w w:val="85"/>
              </w:rPr>
              <w:t>750,000,000</w:t>
            </w:r>
          </w:p>
        </w:tc>
        <w:tc>
          <w:tcPr>
            <w:tcW w:w="1500" w:type="dxa"/>
            <w:vAlign w:val="bottom"/>
            <w:tcBorders>
              <w:bottom w:val="single" w:sz="8" w:color="auto"/>
            </w:tcBorders>
            <w:shd w:val="clear" w:color="auto" w:fill="E5E5E5"/>
          </w:tcPr>
          <w:p>
            <w:pPr>
              <w:jc w:val="center"/>
              <w:ind w:left="104"/>
              <w:spacing w:after="0"/>
              <w:rPr>
                <w:sz w:val="20"/>
                <w:szCs w:val="20"/>
                <w:color w:val="auto"/>
              </w:rPr>
            </w:pPr>
            <w:r>
              <w:rPr>
                <w:rFonts w:ascii="Arial" w:cs="Arial" w:eastAsia="Arial" w:hAnsi="Arial"/>
                <w:sz w:val="18"/>
                <w:szCs w:val="18"/>
                <w:color w:val="auto"/>
                <w:w w:val="86"/>
              </w:rPr>
              <w:t>$ 5,750,000,000</w:t>
            </w:r>
          </w:p>
        </w:tc>
      </w:tr>
      <w:tr>
        <w:trPr>
          <w:trHeight w:val="217"/>
        </w:trPr>
        <w:tc>
          <w:tcPr>
            <w:tcW w:w="2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Total</w:t>
            </w:r>
          </w:p>
        </w:tc>
        <w:tc>
          <w:tcPr>
            <w:tcW w:w="2540" w:type="dxa"/>
            <w:vAlign w:val="bottom"/>
            <w:tcBorders>
              <w:bottom w:val="single" w:sz="8" w:color="auto"/>
            </w:tcBorders>
          </w:tcPr>
          <w:p>
            <w:pPr>
              <w:jc w:val="right"/>
              <w:ind w:right="202"/>
              <w:spacing w:after="0"/>
              <w:rPr>
                <w:sz w:val="20"/>
                <w:szCs w:val="20"/>
                <w:color w:val="auto"/>
              </w:rPr>
            </w:pPr>
            <w:r>
              <w:rPr>
                <w:rFonts w:ascii="Arial" w:cs="Arial" w:eastAsia="Arial" w:hAnsi="Arial"/>
                <w:sz w:val="18"/>
                <w:szCs w:val="18"/>
                <w:b w:val="1"/>
                <w:bCs w:val="1"/>
                <w:color w:val="auto"/>
              </w:rPr>
              <w:t>26,136,606</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$28.92</w:t>
            </w:r>
          </w:p>
        </w:tc>
        <w:tc>
          <w:tcPr>
            <w:tcW w:w="192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rPr>
              <w:t>25,903,672</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jc w:val="right"/>
              <w:ind w:right="183"/>
              <w:spacing w:after="0"/>
              <w:rPr>
                <w:sz w:val="20"/>
                <w:szCs w:val="20"/>
                <w:color w:val="auto"/>
              </w:rPr>
            </w:pPr>
            <w:r>
              <w:rPr>
                <w:rFonts w:ascii="Arial" w:cs="Arial" w:eastAsia="Arial" w:hAnsi="Arial"/>
                <w:sz w:val="18"/>
                <w:szCs w:val="18"/>
                <w:b w:val="1"/>
                <w:bCs w:val="1"/>
                <w:color w:val="auto"/>
                <w:w w:val="85"/>
              </w:rPr>
              <w:t>750,000,000</w:t>
            </w:r>
          </w:p>
        </w:tc>
        <w:tc>
          <w:tcPr>
            <w:tcW w:w="1500" w:type="dxa"/>
            <w:vAlign w:val="bottom"/>
            <w:tcBorders>
              <w:bottom w:val="single" w:sz="8" w:color="auto"/>
            </w:tcBorders>
          </w:tcPr>
          <w:p>
            <w:pPr>
              <w:jc w:val="center"/>
              <w:ind w:left="104"/>
              <w:spacing w:after="0"/>
              <w:rPr>
                <w:sz w:val="20"/>
                <w:szCs w:val="20"/>
                <w:color w:val="auto"/>
              </w:rPr>
            </w:pPr>
            <w:r>
              <w:rPr>
                <w:rFonts w:ascii="Arial" w:cs="Arial" w:eastAsia="Arial" w:hAnsi="Arial"/>
                <w:sz w:val="18"/>
                <w:szCs w:val="18"/>
                <w:b w:val="1"/>
                <w:bCs w:val="1"/>
                <w:color w:val="auto"/>
                <w:w w:val="86"/>
              </w:rPr>
              <w:t>$ 5,750,000,000</w:t>
            </w:r>
          </w:p>
        </w:tc>
      </w:tr>
    </w:tbl>
    <w:p>
      <w:pPr>
        <w:spacing w:after="0" w:line="57" w:lineRule="exact"/>
        <w:rPr>
          <w:sz w:val="20"/>
          <w:szCs w:val="20"/>
          <w:color w:val="auto"/>
        </w:rPr>
      </w:pPr>
    </w:p>
    <w:p>
      <w:pPr>
        <w:ind w:left="340" w:right="20" w:hanging="332"/>
        <w:spacing w:after="0" w:line="239" w:lineRule="auto"/>
        <w:tabs>
          <w:tab w:leader="none" w:pos="34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 February 2012, our Board of Directors approved a $6.5 billion share repurchase authorization that does not have an expiration date. Under this authorization, we may repurchase shares in the open market or in private transactions. We intend to repurchase $3.0 billion during 2012, subject to market conditions.</w:t>
      </w:r>
    </w:p>
    <w:p>
      <w:pPr>
        <w:spacing w:after="0" w:line="4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total number of Class A Special common stock shares repurchased during the three months ended March 31, 2012 includes 232,934 shares received in the administration of employee share-based compensation plans.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6: EXHIBITS</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4"/>
          <w:szCs w:val="14"/>
          <w:color w:val="auto"/>
        </w:rPr>
        <w:t>Exhibit</w:t>
      </w:r>
    </w:p>
    <w:p>
      <w:pPr>
        <w:ind w:left="140"/>
        <w:spacing w:after="0"/>
        <w:tabs>
          <w:tab w:leader="none" w:pos="800" w:val="left"/>
        </w:tabs>
        <w:rPr>
          <w:sz w:val="20"/>
          <w:szCs w:val="20"/>
          <w:color w:val="auto"/>
        </w:rPr>
      </w:pPr>
      <w:r>
        <w:rPr>
          <w:rFonts w:ascii="Arial" w:cs="Arial" w:eastAsia="Arial" w:hAnsi="Arial"/>
          <w:sz w:val="14"/>
          <w:szCs w:val="14"/>
          <w:color w:val="auto"/>
        </w:rPr>
        <w:t>No.</w:t>
      </w:r>
      <w:r>
        <w:rPr>
          <w:sz w:val="20"/>
          <w:szCs w:val="20"/>
          <w:color w:val="auto"/>
        </w:rPr>
        <w:tab/>
      </w:r>
      <w:r>
        <w:rPr>
          <w:rFonts w:ascii="Arial" w:cs="Arial" w:eastAsia="Arial" w:hAnsi="Arial"/>
          <w:sz w:val="14"/>
          <w:szCs w:val="14"/>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tabs>
          <w:tab w:leader="none" w:pos="80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5"/>
          <w:szCs w:val="15"/>
          <w:color w:val="auto"/>
        </w:rPr>
        <w:t>Form of Restricted Stock Unit Award under the Comcast Corporation 2002 Restricted Stock Plan.</w:t>
      </w:r>
    </w:p>
    <w:p>
      <w:pPr>
        <w:spacing w:after="0" w:line="8" w:lineRule="exact"/>
        <w:rPr>
          <w:sz w:val="20"/>
          <w:szCs w:val="20"/>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302 of the Sarbanes-Oxley Act of 2002.</w:t>
      </w:r>
    </w:p>
    <w:p>
      <w:pPr>
        <w:spacing w:after="0" w:line="9" w:lineRule="exact"/>
        <w:rPr>
          <w:rFonts w:ascii="Arial" w:cs="Arial" w:eastAsia="Arial" w:hAnsi="Arial"/>
          <w:sz w:val="18"/>
          <w:szCs w:val="18"/>
          <w:color w:val="auto"/>
        </w:rPr>
      </w:pPr>
    </w:p>
    <w:p>
      <w:pPr>
        <w:ind w:left="820" w:hanging="812"/>
        <w:spacing w:after="0"/>
        <w:tabs>
          <w:tab w:leader="none" w:pos="8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Certification of Chief Executive Officer and Chief Financial Officer pursuant to Section 906 of the Sarbanes-Oxley Act of 2002.</w:t>
      </w:r>
    </w:p>
    <w:p>
      <w:pPr>
        <w:spacing w:after="0" w:line="9" w:lineRule="exact"/>
        <w:rPr>
          <w:sz w:val="20"/>
          <w:szCs w:val="20"/>
          <w:color w:val="auto"/>
        </w:rPr>
      </w:pPr>
    </w:p>
    <w:p>
      <w:pPr>
        <w:jc w:val="both"/>
        <w:ind w:left="820" w:hanging="812"/>
        <w:spacing w:after="0" w:line="253"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financial statements from Comcast Corporation’s Quarterly Report on Form 10-Q for the three months ended March 31, 2012, filed with the Securities and Exchange Commission on May 2, 2012, formatted in XBRL (eXtensible Business Reporting Language): (i) the Condensed Consolidated Balance Sheet; (ii) the Condensed Consolidated Statement of Income; (iii) the Condensed Consolidated Statement of Comprehensive Income; (iv) the Condensed Consolidated Statement of Cash Flows; (v) the Condensed Consolidated Statement of Changes in Equity; and (vi) the Notes to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-5080</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2"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Constitutes a management contract or compensatory plan or arrangement.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SIGNATURES</w:t>
      </w:r>
    </w:p>
    <w:p>
      <w:pPr>
        <w:spacing w:after="0" w:line="13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LAWRENCE J. SALVA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Lawrence J. Salva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Chief Accounting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and Controller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Accounting Officer)</w:t>
      </w:r>
    </w:p>
    <w:p>
      <w:pPr>
        <w:spacing w:after="0" w:line="13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 2012</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COMCAST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 AWARD</w:t>
      </w:r>
    </w:p>
    <w:p>
      <w:pPr>
        <w:spacing w:after="0" w:line="201" w:lineRule="exact"/>
        <w:rPr>
          <w:sz w:val="20"/>
          <w:szCs w:val="20"/>
          <w:color w:val="auto"/>
        </w:rPr>
      </w:pPr>
    </w:p>
    <w:p>
      <w:pPr>
        <w:jc w:val="both"/>
        <w:ind w:firstLine="913"/>
        <w:spacing w:after="0" w:line="298" w:lineRule="auto"/>
        <w:rPr>
          <w:sz w:val="20"/>
          <w:szCs w:val="20"/>
          <w:color w:val="auto"/>
        </w:rPr>
      </w:pPr>
      <w:r>
        <w:rPr>
          <w:rFonts w:ascii="Arial" w:cs="Arial" w:eastAsia="Arial" w:hAnsi="Arial"/>
          <w:sz w:val="16"/>
          <w:szCs w:val="16"/>
          <w:color w:val="auto"/>
        </w:rPr>
        <w:t>This is a Restricted Stock Unit Award (the “Award”) dated [ ], [Year 1] from Comcast Corporation (the “Company”) to the Grantee. The vesting of Restricted Stock Units is conditioned on the Grantee’s continuation in service from the Date of Grant through each applicable Vesting Date, and on the Company’s attainment of certain performance objectives, as further provided in this Award. The delivery of Shares under this Award is intended to constitute performance-based compensation, within the meaning of section 162(m) of the Code, and Treasury Regulations issued under section 162(m) of the Code.</w:t>
      </w:r>
    </w:p>
    <w:p>
      <w:pPr>
        <w:spacing w:after="0" w:line="167" w:lineRule="exact"/>
        <w:rPr>
          <w:sz w:val="20"/>
          <w:szCs w:val="20"/>
          <w:color w:val="auto"/>
        </w:rPr>
      </w:pPr>
    </w:p>
    <w:p>
      <w:pPr>
        <w:ind w:left="1100" w:hanging="179"/>
        <w:spacing w:after="0"/>
        <w:tabs>
          <w:tab w:leader="none" w:pos="1100" w:val="left"/>
        </w:tabs>
        <w:numPr>
          <w:ilvl w:val="1"/>
          <w:numId w:val="22"/>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herein are defined below or, if not defined below, have the meanings given to them in the Plan.</w:t>
      </w:r>
    </w:p>
    <w:p>
      <w:pPr>
        <w:spacing w:after="0" w:line="248" w:lineRule="exact"/>
        <w:rPr>
          <w:rFonts w:ascii="Arial" w:cs="Arial" w:eastAsia="Arial" w:hAnsi="Arial"/>
          <w:sz w:val="16"/>
          <w:szCs w:val="16"/>
          <w:color w:val="auto"/>
        </w:rPr>
      </w:pPr>
    </w:p>
    <w:p>
      <w:pPr>
        <w:ind w:right="120" w:firstLine="1492"/>
        <w:spacing w:after="0" w:line="306" w:lineRule="auto"/>
        <w:tabs>
          <w:tab w:leader="none" w:pos="1722" w:val="left"/>
        </w:tabs>
        <w:numPr>
          <w:ilvl w:val="2"/>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Account</w:t>
      </w:r>
      <w:r>
        <w:rPr>
          <w:rFonts w:ascii="Arial" w:cs="Arial" w:eastAsia="Arial" w:hAnsi="Arial"/>
          <w:sz w:val="16"/>
          <w:szCs w:val="16"/>
          <w:color w:val="auto"/>
        </w:rPr>
        <w:t>” means an unfunded bookkeeping account established pursuant to Paragraph 5(d) and maintained by the Committee in the name of Grantee (a) to which Deferred Stock Units are deemed credited and (b) to which an amount equal to the Fair Market Value of Deferred Stock Units with respect to which a Diversification Election has been made and interest thereon are deemed credited, reduced by distributions in accordance with the Plan.</w:t>
      </w:r>
    </w:p>
    <w:p>
      <w:pPr>
        <w:spacing w:after="0" w:line="160" w:lineRule="exact"/>
        <w:rPr>
          <w:rFonts w:ascii="Arial" w:cs="Arial" w:eastAsia="Arial" w:hAnsi="Arial"/>
          <w:sz w:val="16"/>
          <w:szCs w:val="16"/>
          <w:color w:val="auto"/>
        </w:rPr>
      </w:pPr>
    </w:p>
    <w:p>
      <w:pPr>
        <w:ind w:left="1740" w:hanging="248"/>
        <w:spacing w:after="0"/>
        <w:tabs>
          <w:tab w:leader="none" w:pos="1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the award of Restricted Stock Units hereby granted.</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2"/>
          <w:numId w:val="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2"/>
          <w:numId w:val="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Cause</w:t>
      </w:r>
      <w:r>
        <w:rPr>
          <w:rFonts w:ascii="Arial" w:cs="Arial" w:eastAsia="Arial" w:hAnsi="Arial"/>
          <w:sz w:val="16"/>
          <w:szCs w:val="16"/>
          <w:color w:val="auto"/>
        </w:rPr>
        <w:t>” means (i) fraud; (ii) misappropriation; (iii) embezzlement; (iv) gross negligence in the performance of duties; (v) self-dealing;</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dishonesty; (vii) misrepresentation; (viii) conviction of a crime of a felony; (ix) material violation of any Company policy; (x) material violation of the</w:t>
      </w:r>
    </w:p>
    <w:p>
      <w:pPr>
        <w:spacing w:after="0" w:line="32" w:lineRule="exact"/>
        <w:rPr>
          <w:rFonts w:ascii="Arial" w:cs="Arial" w:eastAsia="Arial" w:hAnsi="Arial"/>
          <w:sz w:val="16"/>
          <w:szCs w:val="16"/>
          <w:color w:val="auto"/>
        </w:rPr>
      </w:pPr>
    </w:p>
    <w:p>
      <w:pPr>
        <w:jc w:val="both"/>
        <w:ind w:right="220"/>
        <w:spacing w:after="0" w:line="255" w:lineRule="auto"/>
        <w:rPr>
          <w:rFonts w:ascii="Arial" w:cs="Arial" w:eastAsia="Arial" w:hAnsi="Arial"/>
          <w:sz w:val="16"/>
          <w:szCs w:val="16"/>
          <w:color w:val="auto"/>
        </w:rPr>
      </w:pPr>
      <w:r>
        <w:rPr>
          <w:rFonts w:ascii="Arial" w:cs="Arial" w:eastAsia="Arial" w:hAnsi="Arial"/>
          <w:sz w:val="18"/>
          <w:szCs w:val="18"/>
          <w:color w:val="auto"/>
        </w:rPr>
        <w:t>Company’s Code of Conduct or, (xi) in the case of an employee of a Company who is a party to an employment agreement with a Company, material breach of such agreement; provided that as to items (ix), (x) and (xi), if capable of being cured, such event or condition remains uncured following 30 days written notice thereof.</w:t>
      </w:r>
    </w:p>
    <w:p>
      <w:pPr>
        <w:spacing w:after="0" w:line="198" w:lineRule="exact"/>
        <w:rPr>
          <w:rFonts w:ascii="Arial" w:cs="Arial" w:eastAsia="Arial" w:hAnsi="Arial"/>
          <w:sz w:val="16"/>
          <w:szCs w:val="16"/>
          <w:color w:val="auto"/>
        </w:rPr>
      </w:pPr>
    </w:p>
    <w:p>
      <w:pPr>
        <w:ind w:left="1740" w:hanging="248"/>
        <w:spacing w:after="0"/>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right="60" w:firstLine="1492"/>
        <w:spacing w:after="0" w:line="268" w:lineRule="auto"/>
        <w:tabs>
          <w:tab w:leader="none" w:pos="1703" w:val="left"/>
        </w:tabs>
        <w:numPr>
          <w:ilvl w:val="2"/>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Contributed Assets</w:t>
      </w:r>
      <w:r>
        <w:rPr>
          <w:rFonts w:ascii="Arial" w:cs="Arial" w:eastAsia="Arial" w:hAnsi="Arial"/>
          <w:sz w:val="18"/>
          <w:szCs w:val="18"/>
          <w:color w:val="auto"/>
        </w:rPr>
        <w:t>” the businesses that were contributed to NBCUniversal as part of the NBCUniversal Transaction, including but not limited to the Regional Sports Networks, the Comcast Programming Division, Daily Candy and Fandango.</w:t>
      </w:r>
    </w:p>
    <w:p>
      <w:pPr>
        <w:spacing w:after="0" w:line="185" w:lineRule="exact"/>
        <w:rPr>
          <w:rFonts w:ascii="Arial" w:cs="Arial" w:eastAsia="Arial" w:hAnsi="Arial"/>
          <w:sz w:val="18"/>
          <w:szCs w:val="18"/>
          <w:color w:val="auto"/>
        </w:rPr>
      </w:pPr>
    </w:p>
    <w:p>
      <w:pPr>
        <w:ind w:left="1740" w:hanging="248"/>
        <w:spacing w:after="0"/>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or its delegate.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first set forth above, on which the Company awarded the Restricted Stock Units.</w:t>
      </w:r>
    </w:p>
    <w:p>
      <w:pPr>
        <w:spacing w:after="0" w:line="225" w:lineRule="exact"/>
        <w:rPr>
          <w:rFonts w:ascii="Arial" w:cs="Arial" w:eastAsia="Arial" w:hAnsi="Arial"/>
          <w:sz w:val="18"/>
          <w:szCs w:val="18"/>
          <w:color w:val="auto"/>
        </w:rPr>
      </w:pPr>
    </w:p>
    <w:p>
      <w:pPr>
        <w:ind w:left="1700" w:hanging="208"/>
        <w:spacing w:after="0"/>
        <w:tabs>
          <w:tab w:leader="none" w:pos="1700" w:val="left"/>
        </w:tabs>
        <w:numPr>
          <w:ilvl w:val="2"/>
          <w:numId w:val="2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ectPr>
          <w:pgSz w:w="11900" w:h="16838" w:orient="portrait"/>
          <w:cols w:equalWidth="0" w:num="1">
            <w:col w:w="11420"/>
          </w:cols>
          <w:pgMar w:left="240" w:top="125" w:right="239" w:bottom="1440" w:gutter="0" w:footer="0" w:header="0"/>
        </w:sectPr>
      </w:pPr>
    </w:p>
    <w:bookmarkStart w:id="41" w:name="page42"/>
    <w:bookmarkEnd w:id="41"/>
    <w:p>
      <w:pPr>
        <w:ind w:left="1700" w:hanging="208"/>
        <w:spacing w:after="0"/>
        <w:tabs>
          <w:tab w:leader="none" w:pos="1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1"/>
          <w:numId w:val="24"/>
        </w:numPr>
        <w:rPr>
          <w:rFonts w:ascii="Arial" w:cs="Arial" w:eastAsia="Arial" w:hAnsi="Arial"/>
          <w:sz w:val="18"/>
          <w:szCs w:val="18"/>
          <w:color w:val="auto"/>
        </w:rPr>
      </w:pPr>
      <w:r>
        <w:rPr>
          <w:rFonts w:ascii="Arial" w:cs="Arial" w:eastAsia="Arial" w:hAnsi="Arial"/>
          <w:sz w:val="18"/>
          <w:szCs w:val="18"/>
          <w:color w:val="auto"/>
        </w:rPr>
        <w:t>Grantee, if Grantee’s employment by a Participating Company is terminated by reason of Disability; or</w:t>
      </w:r>
    </w:p>
    <w:p>
      <w:pPr>
        <w:spacing w:after="0" w:line="225" w:lineRule="exact"/>
        <w:rPr>
          <w:rFonts w:ascii="Arial" w:cs="Arial" w:eastAsia="Arial" w:hAnsi="Arial"/>
          <w:sz w:val="18"/>
          <w:szCs w:val="18"/>
          <w:color w:val="auto"/>
        </w:rPr>
      </w:pPr>
    </w:p>
    <w:p>
      <w:pPr>
        <w:ind w:left="2240" w:hanging="292"/>
        <w:spacing w:after="0"/>
        <w:tabs>
          <w:tab w:leader="none" w:pos="2240" w:val="left"/>
        </w:tabs>
        <w:numPr>
          <w:ilvl w:val="1"/>
          <w:numId w:val="24"/>
        </w:numPr>
        <w:rPr>
          <w:rFonts w:ascii="Arial" w:cs="Arial" w:eastAsia="Arial" w:hAnsi="Arial"/>
          <w:sz w:val="16"/>
          <w:szCs w:val="16"/>
          <w:color w:val="auto"/>
        </w:rPr>
      </w:pPr>
      <w:r>
        <w:rPr>
          <w:rFonts w:ascii="Arial" w:cs="Arial" w:eastAsia="Arial" w:hAnsi="Arial"/>
          <w:sz w:val="16"/>
          <w:szCs w:val="16"/>
          <w:color w:val="auto"/>
        </w:rPr>
        <w:t>Grantee’s duly-appointed legal guardian following Grantee’s termination of employment by reason of Disability, acting 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Grantee’s behalf.</w:t>
      </w:r>
    </w:p>
    <w:p>
      <w:pPr>
        <w:spacing w:after="0" w:line="219"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(k) “</w:t>
      </w:r>
      <w:r>
        <w:rPr>
          <w:rFonts w:ascii="Arial" w:cs="Arial" w:eastAsia="Arial" w:hAnsi="Arial"/>
          <w:sz w:val="16"/>
          <w:szCs w:val="16"/>
          <w:u w:val="single" w:color="auto"/>
          <w:color w:val="auto"/>
        </w:rPr>
        <w:t>Employer</w:t>
      </w:r>
      <w:r>
        <w:rPr>
          <w:rFonts w:ascii="Arial" w:cs="Arial" w:eastAsia="Arial" w:hAnsi="Arial"/>
          <w:sz w:val="16"/>
          <w:szCs w:val="16"/>
          <w:color w:val="auto"/>
        </w:rPr>
        <w:t>” means the Company or the subsidiary or affiliate of the Company for which Grantee is performing services on the Vesting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9" w:lineRule="exact"/>
        <w:rPr>
          <w:sz w:val="20"/>
          <w:szCs w:val="20"/>
          <w:color w:val="auto"/>
        </w:rPr>
      </w:pPr>
    </w:p>
    <w:p>
      <w:pPr>
        <w:ind w:left="1700" w:hanging="208"/>
        <w:spacing w:after="0"/>
        <w:tabs>
          <w:tab w:leader="none" w:pos="17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Free Cash Flow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948"/>
        <w:spacing w:after="0" w:line="290" w:lineRule="auto"/>
        <w:tabs>
          <w:tab w:leader="none" w:pos="2189"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In General</w:t>
      </w:r>
      <w:r>
        <w:rPr>
          <w:rFonts w:ascii="Arial" w:cs="Arial" w:eastAsia="Arial" w:hAnsi="Arial"/>
          <w:sz w:val="16"/>
          <w:szCs w:val="16"/>
          <w:color w:val="auto"/>
        </w:rPr>
        <w:t>. In general, the term “Free Cash Flow” means the Company’s “Net Cash Provided by Operating Activities” (as stated in the Company’s Consolidated Statement of Cash Flows) reduced by capital expenditures and cash paid for intangible assets; and adjusted for any payments and receipts related to certain non-operating items, net of estimated tax benefits (such as income taxes on investment sales, and nonrecurring payments related to income tax and litigation contingencies of acquired companies), provided that adjustments to “Net Cash Provided by Operating Activities” applied to determine “Free Cash Flow” for each year shall be determined consistently with prior year reconciliations of “Free Cash Flow” to the Company’s “Net Cash Provided by Operating Activities” to ensure comparability between amounts in the prior calendar year and the year to which the performance condition applies (and without regard to extraordinary items or items unrelated to the Company’s operations).</w:t>
      </w:r>
    </w:p>
    <w:p>
      <w:pPr>
        <w:spacing w:after="0" w:line="172" w:lineRule="exact"/>
        <w:rPr>
          <w:rFonts w:ascii="Arial" w:cs="Arial" w:eastAsia="Arial" w:hAnsi="Arial"/>
          <w:sz w:val="16"/>
          <w:szCs w:val="16"/>
          <w:color w:val="auto"/>
        </w:rPr>
      </w:pPr>
    </w:p>
    <w:p>
      <w:pPr>
        <w:ind w:left="2200" w:hanging="252"/>
        <w:spacing w:after="0"/>
        <w:tabs>
          <w:tab w:leader="none" w:pos="2200"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Adjustments to Free Cash Flow Relating to NBCUniversal Transaction</w:t>
      </w:r>
      <w:r>
        <w:rPr>
          <w:rFonts w:ascii="Arial" w:cs="Arial" w:eastAsia="Arial" w:hAnsi="Arial"/>
          <w:sz w:val="16"/>
          <w:szCs w:val="16"/>
          <w:color w:val="auto"/>
        </w:rPr>
        <w:t>. For purposes of determining whether a Performance Goal</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is satisfied:</w:t>
      </w:r>
    </w:p>
    <w:p>
      <w:pPr>
        <w:spacing w:after="0" w:line="218" w:lineRule="exact"/>
        <w:rPr>
          <w:rFonts w:ascii="Arial" w:cs="Arial" w:eastAsia="Arial" w:hAnsi="Arial"/>
          <w:sz w:val="16"/>
          <w:szCs w:val="16"/>
          <w:color w:val="auto"/>
        </w:rPr>
      </w:pPr>
    </w:p>
    <w:p>
      <w:pPr>
        <w:ind w:firstLine="2404"/>
        <w:spacing w:after="0" w:line="268" w:lineRule="auto"/>
        <w:tabs>
          <w:tab w:leader="none" w:pos="2654" w:val="left"/>
        </w:tabs>
        <w:numPr>
          <w:ilvl w:val="2"/>
          <w:numId w:val="25"/>
        </w:numPr>
        <w:rPr>
          <w:rFonts w:ascii="Arial" w:cs="Arial" w:eastAsia="Arial" w:hAnsi="Arial"/>
          <w:sz w:val="18"/>
          <w:szCs w:val="18"/>
          <w:color w:val="auto"/>
        </w:rPr>
      </w:pPr>
      <w:r>
        <w:rPr>
          <w:rFonts w:ascii="Arial" w:cs="Arial" w:eastAsia="Arial" w:hAnsi="Arial"/>
          <w:sz w:val="18"/>
          <w:szCs w:val="18"/>
          <w:color w:val="auto"/>
        </w:rPr>
        <w:t>Free Cash Flow for 2011 shall be adjusted to include the operating results of NBCUniversal as if: (i) the NBCUniversal Transaction closed on January 1, 2011 and (ii) the Universal Orlando Transaction closed on January 1, 2011.</w:t>
      </w:r>
    </w:p>
    <w:p>
      <w:pPr>
        <w:spacing w:after="0" w:line="185" w:lineRule="exact"/>
        <w:rPr>
          <w:rFonts w:ascii="Arial" w:cs="Arial" w:eastAsia="Arial" w:hAnsi="Arial"/>
          <w:sz w:val="18"/>
          <w:szCs w:val="18"/>
          <w:color w:val="auto"/>
        </w:rPr>
      </w:pPr>
    </w:p>
    <w:p>
      <w:pPr>
        <w:ind w:firstLine="2404"/>
        <w:spacing w:after="0" w:line="332" w:lineRule="auto"/>
        <w:tabs>
          <w:tab w:leader="none" w:pos="2651" w:val="left"/>
        </w:tabs>
        <w:numPr>
          <w:ilvl w:val="2"/>
          <w:numId w:val="25"/>
        </w:numPr>
        <w:rPr>
          <w:rFonts w:ascii="Arial" w:cs="Arial" w:eastAsia="Arial" w:hAnsi="Arial"/>
          <w:sz w:val="16"/>
          <w:szCs w:val="16"/>
          <w:color w:val="auto"/>
        </w:rPr>
      </w:pPr>
      <w:r>
        <w:rPr>
          <w:rFonts w:ascii="Arial" w:cs="Arial" w:eastAsia="Arial" w:hAnsi="Arial"/>
          <w:sz w:val="16"/>
          <w:szCs w:val="16"/>
          <w:color w:val="auto"/>
        </w:rPr>
        <w:t>To the extent that the operating results of Comcast Contributed Assets are included in Free Cash Flow for 2011 pursuant to Paragraph 1(l)(2)(a), Free Cash Flow for 2011 shall be adjusted to exclude such operating results to the extent necessary to avoid double counting.</w:t>
      </w:r>
    </w:p>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 each case, after-cash taxes, interest, distributions to non-controlling interests and all other relevant factors shall be adjusted to ensure comparability of Free Cash Flow for a calendar year to Free Cash Flow for the immediately preceding calendar year.</w:t>
      </w:r>
    </w:p>
    <w:p>
      <w:pPr>
        <w:spacing w:after="0" w:line="186" w:lineRule="exact"/>
        <w:rPr>
          <w:sz w:val="20"/>
          <w:szCs w:val="20"/>
          <w:color w:val="auto"/>
        </w:rPr>
      </w:pPr>
    </w:p>
    <w:p>
      <w:pPr>
        <w:jc w:val="both"/>
        <w:ind w:firstLine="1948"/>
        <w:spacing w:after="0" w:line="256" w:lineRule="auto"/>
        <w:tabs>
          <w:tab w:leader="none" w:pos="2189"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Comparability of Free Cash Flow Between Calendar Years</w:t>
      </w:r>
      <w:r>
        <w:rPr>
          <w:rFonts w:ascii="Arial" w:cs="Arial" w:eastAsia="Arial" w:hAnsi="Arial"/>
          <w:sz w:val="18"/>
          <w:szCs w:val="18"/>
          <w:color w:val="auto"/>
        </w:rPr>
        <w:t>. With respect to any Performance Goal applicable to this Award, in the event there is a significant acquisition or disposition of any assets, business division, company or other business operations of the Company that is reasonably expected to have an effect on Free Cash Flow (other than a transaction that would affect amounts excluded from the determination of Free Cash Flow pursuant to Paragraph 1(l)(2)), the Committee shall adjust the Free Cash Flow for the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2" w:name="page43"/>
    <w:bookmarkEnd w:id="42"/>
    <w:p>
      <w:pPr>
        <w:jc w:val="both"/>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calendar year and the year to which the performance condition applies to take into account the impact of such acquisition or disposition on a pro forma basis such that the measurement of Free Cash Flow for the year to which the performance condition applies is comparable to that for the prior calendar year. Such adjustment shall be based upon the historical equivalent of Free Cash Flow of the assets so acquired or disposed of for the prior calendar year, as shown by such records as are available to the Company, as further adjusted to reflect any aspects of the transaction that should be taken into account to ensure comparability between amounts in the prior calendar year and the year to which the performance condition applies.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(m) “</w:t>
      </w:r>
      <w:r>
        <w:rPr>
          <w:rFonts w:ascii="Arial" w:cs="Arial" w:eastAsia="Arial" w:hAnsi="Arial"/>
          <w:sz w:val="16"/>
          <w:szCs w:val="16"/>
          <w:u w:val="single" w:color="auto"/>
          <w:color w:val="auto"/>
        </w:rPr>
        <w:t>Grantee</w:t>
      </w:r>
      <w:r>
        <w:rPr>
          <w:rFonts w:ascii="Arial" w:cs="Arial" w:eastAsia="Arial" w:hAnsi="Arial"/>
          <w:sz w:val="16"/>
          <w:szCs w:val="16"/>
          <w:color w:val="auto"/>
        </w:rPr>
        <w:t>” means the individual to whom this Award has been granted as identified on the attached Long-Term Incentive Awards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Summary Schedule.</w:t>
      </w:r>
    </w:p>
    <w:p>
      <w:pPr>
        <w:spacing w:after="0" w:line="219" w:lineRule="exact"/>
        <w:rPr>
          <w:sz w:val="20"/>
          <w:szCs w:val="20"/>
          <w:color w:val="auto"/>
        </w:rPr>
      </w:pPr>
    </w:p>
    <w:p>
      <w:pPr>
        <w:ind w:left="1740" w:hanging="248"/>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as amended.</w:t>
      </w:r>
    </w:p>
    <w:p>
      <w:pPr>
        <w:spacing w:after="0" w:line="225" w:lineRule="exact"/>
        <w:rPr>
          <w:rFonts w:ascii="Arial" w:cs="Arial" w:eastAsia="Arial" w:hAnsi="Arial"/>
          <w:sz w:val="18"/>
          <w:szCs w:val="18"/>
          <w:color w:val="auto"/>
        </w:rPr>
      </w:pPr>
    </w:p>
    <w:p>
      <w:pPr>
        <w:ind w:right="80" w:firstLine="1492"/>
        <w:spacing w:after="0" w:line="268" w:lineRule="auto"/>
        <w:tabs>
          <w:tab w:leader="none" w:pos="1732"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Long-Term Incentive Awards Summary Schedule</w:t>
      </w:r>
      <w:r>
        <w:rPr>
          <w:rFonts w:ascii="Arial" w:cs="Arial" w:eastAsia="Arial" w:hAnsi="Arial"/>
          <w:sz w:val="18"/>
          <w:szCs w:val="18"/>
          <w:color w:val="auto"/>
        </w:rPr>
        <w:t>” means the schedule attached hereto, which sets forth specific information relating to the grant and vesting of this Award.</w:t>
      </w:r>
    </w:p>
    <w:p>
      <w:pPr>
        <w:spacing w:after="0" w:line="185" w:lineRule="exact"/>
        <w:rPr>
          <w:rFonts w:ascii="Arial" w:cs="Arial" w:eastAsia="Arial" w:hAnsi="Arial"/>
          <w:sz w:val="18"/>
          <w:szCs w:val="18"/>
          <w:color w:val="auto"/>
        </w:rPr>
      </w:pPr>
    </w:p>
    <w:p>
      <w:pPr>
        <w:ind w:left="1740" w:hanging="248"/>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NBCUniversal</w:t>
      </w:r>
      <w:r>
        <w:rPr>
          <w:rFonts w:ascii="Arial" w:cs="Arial" w:eastAsia="Arial" w:hAnsi="Arial"/>
          <w:sz w:val="18"/>
          <w:szCs w:val="18"/>
          <w:color w:val="auto"/>
        </w:rPr>
        <w:t>” means NBCUniversal, LLC, a Delaware limited liability company, and its controlled Affiliates.</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NBCUniversal Transaction</w:t>
      </w:r>
      <w:r>
        <w:rPr>
          <w:rFonts w:ascii="Arial" w:cs="Arial" w:eastAsia="Arial" w:hAnsi="Arial"/>
          <w:sz w:val="18"/>
          <w:szCs w:val="18"/>
          <w:color w:val="auto"/>
        </w:rPr>
        <w:t>” means the Company’s acquisition of a controlling interest in NBCUniversal.</w:t>
      </w:r>
    </w:p>
    <w:p>
      <w:pPr>
        <w:spacing w:after="0" w:line="225" w:lineRule="exact"/>
        <w:rPr>
          <w:rFonts w:ascii="Arial" w:cs="Arial" w:eastAsia="Arial" w:hAnsi="Arial"/>
          <w:sz w:val="18"/>
          <w:szCs w:val="18"/>
          <w:color w:val="auto"/>
        </w:rPr>
      </w:pPr>
    </w:p>
    <w:p>
      <w:pPr>
        <w:ind w:right="160" w:firstLine="1492"/>
        <w:spacing w:after="0" w:line="268" w:lineRule="auto"/>
        <w:tabs>
          <w:tab w:leader="none" w:pos="1703" w:val="left"/>
        </w:tabs>
        <w:numPr>
          <w:ilvl w:val="0"/>
          <w:numId w:val="2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Grantee’s termination of employment that is treated by the Participating Company as a retirement under its employment policies and practices as in effect from time to time.</w:t>
      </w:r>
    </w:p>
    <w:p>
      <w:pPr>
        <w:spacing w:after="0" w:line="185" w:lineRule="exact"/>
        <w:rPr>
          <w:rFonts w:ascii="Arial" w:cs="Arial" w:eastAsia="Arial" w:hAnsi="Arial"/>
          <w:sz w:val="18"/>
          <w:szCs w:val="18"/>
          <w:color w:val="auto"/>
        </w:rPr>
      </w:pPr>
    </w:p>
    <w:p>
      <w:pPr>
        <w:ind w:left="1720" w:hanging="228"/>
        <w:spacing w:after="0"/>
        <w:tabs>
          <w:tab w:leader="none" w:pos="1720" w:val="left"/>
        </w:tabs>
        <w:numPr>
          <w:ilvl w:val="0"/>
          <w:numId w:val="2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Performance Goal</w:t>
      </w:r>
      <w:r>
        <w:rPr>
          <w:rFonts w:ascii="Arial" w:cs="Arial" w:eastAsia="Arial" w:hAnsi="Arial"/>
          <w:sz w:val="15"/>
          <w:szCs w:val="15"/>
          <w:color w:val="auto"/>
        </w:rPr>
        <w:t>” means Free Cash Flow for a calendar year that exceeds Free Cash Flow for the immediately preceding calendar year.</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Accordingly: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A</w:t>
      </w:r>
      <w:r>
        <w:rPr>
          <w:rFonts w:ascii="Arial" w:cs="Arial" w:eastAsia="Arial" w:hAnsi="Arial"/>
          <w:sz w:val="18"/>
          <w:szCs w:val="18"/>
          <w:color w:val="auto"/>
        </w:rPr>
        <w:t>:</w:t>
      </w:r>
    </w:p>
    <w:p>
      <w:pPr>
        <w:spacing w:after="0" w:line="77" w:lineRule="exact"/>
        <w:rPr>
          <w:sz w:val="20"/>
          <w:szCs w:val="20"/>
          <w:color w:val="auto"/>
        </w:rPr>
      </w:pPr>
    </w:p>
    <w:p>
      <w:pPr>
        <w:ind w:left="2200" w:hanging="252"/>
        <w:spacing w:after="0"/>
        <w:tabs>
          <w:tab w:leader="none" w:pos="2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First Performance Goal</w:t>
      </w:r>
      <w:r>
        <w:rPr>
          <w:rFonts w:ascii="Arial" w:cs="Arial" w:eastAsia="Arial" w:hAnsi="Arial"/>
          <w:sz w:val="18"/>
          <w:szCs w:val="18"/>
          <w:color w:val="auto"/>
        </w:rPr>
        <w:t>” will be satisfied if Free Cash Flow for [Year 1] exceeds Free Cash Flow for [Year 0];</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Second Performance Goal</w:t>
      </w:r>
      <w:r>
        <w:rPr>
          <w:rFonts w:ascii="Arial" w:cs="Arial" w:eastAsia="Arial" w:hAnsi="Arial"/>
          <w:sz w:val="16"/>
          <w:szCs w:val="16"/>
          <w:color w:val="auto"/>
        </w:rPr>
        <w:t>” will be satisfied if Free Cash Flow for [Year 2] exceeds Free Cash Flow for [Year 1];</w:t>
      </w:r>
    </w:p>
    <w:p>
      <w:pPr>
        <w:spacing w:after="0" w:line="248" w:lineRule="exact"/>
        <w:rPr>
          <w:rFonts w:ascii="Arial" w:cs="Arial" w:eastAsia="Arial" w:hAnsi="Arial"/>
          <w:sz w:val="16"/>
          <w:szCs w:val="16"/>
          <w:color w:val="auto"/>
        </w:rPr>
      </w:pPr>
    </w:p>
    <w:p>
      <w:pPr>
        <w:ind w:left="2200" w:hanging="252"/>
        <w:spacing w:after="0"/>
        <w:tabs>
          <w:tab w:leader="none" w:pos="2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Third Performance Goal</w:t>
      </w:r>
      <w:r>
        <w:rPr>
          <w:rFonts w:ascii="Arial" w:cs="Arial" w:eastAsia="Arial" w:hAnsi="Arial"/>
          <w:sz w:val="18"/>
          <w:szCs w:val="18"/>
          <w:color w:val="auto"/>
        </w:rPr>
        <w:t>” will be satisfied if Free Cash Flow for [Year 3] exceeds Free Cash Flow for [Year 2];</w:t>
      </w:r>
    </w:p>
    <w:p>
      <w:pPr>
        <w:spacing w:after="0" w:line="225" w:lineRule="exact"/>
        <w:rPr>
          <w:rFonts w:ascii="Arial" w:cs="Arial" w:eastAsia="Arial" w:hAnsi="Arial"/>
          <w:sz w:val="18"/>
          <w:szCs w:val="18"/>
          <w:color w:val="auto"/>
        </w:rPr>
      </w:pPr>
    </w:p>
    <w:p>
      <w:pPr>
        <w:ind w:left="2200" w:hanging="252"/>
        <w:spacing w:after="0"/>
        <w:tabs>
          <w:tab w:leader="none" w:pos="22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Fourth Performance Goal</w:t>
      </w:r>
      <w:r>
        <w:rPr>
          <w:rFonts w:ascii="Arial" w:cs="Arial" w:eastAsia="Arial" w:hAnsi="Arial"/>
          <w:sz w:val="16"/>
          <w:szCs w:val="16"/>
          <w:color w:val="auto"/>
        </w:rPr>
        <w:t>” will be satisfied if Free Cash Flow for [Year 4] exceeds Free Cash Flow for [Year 3]; and</w:t>
      </w:r>
    </w:p>
    <w:p>
      <w:pPr>
        <w:spacing w:after="0" w:line="248" w:lineRule="exact"/>
        <w:rPr>
          <w:rFonts w:ascii="Arial" w:cs="Arial" w:eastAsia="Arial" w:hAnsi="Arial"/>
          <w:sz w:val="16"/>
          <w:szCs w:val="16"/>
          <w:color w:val="auto"/>
        </w:rPr>
      </w:pPr>
    </w:p>
    <w:p>
      <w:pPr>
        <w:ind w:left="2200" w:hanging="252"/>
        <w:spacing w:after="0"/>
        <w:tabs>
          <w:tab w:leader="none" w:pos="22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u w:val="single" w:color="auto"/>
          <w:color w:val="auto"/>
        </w:rPr>
        <w:t>Fifth Performance Goal</w:t>
      </w:r>
      <w:r>
        <w:rPr>
          <w:rFonts w:ascii="Arial" w:cs="Arial" w:eastAsia="Arial" w:hAnsi="Arial"/>
          <w:sz w:val="18"/>
          <w:szCs w:val="18"/>
          <w:color w:val="auto"/>
        </w:rPr>
        <w:t>” will be satisfied if Free Cash Flow for [Year 5] exceeds Free Cash Flow for [Year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OPTION B</w:t>
      </w:r>
      <w:r>
        <w:rPr>
          <w:rFonts w:ascii="Arial" w:cs="Arial" w:eastAsia="Arial" w:hAnsi="Arial"/>
          <w:sz w:val="18"/>
          <w:szCs w:val="18"/>
          <w:color w:val="auto"/>
        </w:rPr>
        <w:t>: the Performance Goal will be satisfied if Free Cash Flow for [Year 1] exceeds Free Cash Flow for [Year 0].]</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43" w:name="page44"/>
    <w:bookmarkEnd w:id="43"/>
    <w:p>
      <w:pPr>
        <w:ind w:left="1700" w:hanging="208"/>
        <w:spacing w:after="0"/>
        <w:tabs>
          <w:tab w:leader="none" w:pos="1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incorporated herein by reference.</w:t>
      </w:r>
    </w:p>
    <w:p>
      <w:pPr>
        <w:spacing w:after="0" w:line="225" w:lineRule="exact"/>
        <w:rPr>
          <w:rFonts w:ascii="Arial" w:cs="Arial" w:eastAsia="Arial" w:hAnsi="Arial"/>
          <w:sz w:val="18"/>
          <w:szCs w:val="18"/>
          <w:color w:val="auto"/>
        </w:rPr>
      </w:pPr>
    </w:p>
    <w:p>
      <w:pPr>
        <w:ind w:left="1760" w:hanging="268"/>
        <w:spacing w:after="0"/>
        <w:tabs>
          <w:tab w:leader="none" w:pos="17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Restricted Period</w:t>
      </w:r>
      <w:r>
        <w:rPr>
          <w:rFonts w:ascii="Arial" w:cs="Arial" w:eastAsia="Arial" w:hAnsi="Arial"/>
          <w:sz w:val="16"/>
          <w:szCs w:val="16"/>
          <w:color w:val="auto"/>
        </w:rPr>
        <w:t>” means, with respect to each Restricted Stock Unit, the period beginning on the Date of Grant and ending on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Vesting Date.</w:t>
      </w:r>
    </w:p>
    <w:p>
      <w:pPr>
        <w:spacing w:after="0" w:line="219" w:lineRule="exact"/>
        <w:rPr>
          <w:sz w:val="20"/>
          <w:szCs w:val="20"/>
          <w:color w:val="auto"/>
        </w:rPr>
      </w:pPr>
    </w:p>
    <w:p>
      <w:pPr>
        <w:jc w:val="both"/>
        <w:ind w:firstLine="1492"/>
        <w:spacing w:after="0" w:line="259" w:lineRule="auto"/>
        <w:tabs>
          <w:tab w:leader="none" w:pos="1732"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 means the total number of restricted stock units granted to Grantee pursuant to this Award as set forth on the attached Long-Term Incentive Awards Summary Schedule. Each Restricted Stock Unit entitles Grantee, upon the Vesting Date of such Restricted Stock Unit, to receive one Share.</w:t>
      </w:r>
    </w:p>
    <w:p>
      <w:pPr>
        <w:spacing w:after="0" w:line="194" w:lineRule="exact"/>
        <w:rPr>
          <w:rFonts w:ascii="Arial" w:cs="Arial" w:eastAsia="Arial" w:hAnsi="Arial"/>
          <w:sz w:val="18"/>
          <w:szCs w:val="18"/>
          <w:color w:val="auto"/>
        </w:rPr>
      </w:pPr>
    </w:p>
    <w:p>
      <w:pPr>
        <w:ind w:left="1780" w:hanging="288"/>
        <w:spacing w:after="0"/>
        <w:tabs>
          <w:tab w:leader="none" w:pos="1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Retired Grantee</w:t>
      </w:r>
      <w:r>
        <w:rPr>
          <w:rFonts w:ascii="Arial" w:cs="Arial" w:eastAsia="Arial" w:hAnsi="Arial"/>
          <w:sz w:val="18"/>
          <w:szCs w:val="18"/>
          <w:color w:val="auto"/>
        </w:rPr>
        <w:t>” means Grantee, following Grantee’s termination of employment pursuant to a Normal Retirement.</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 shares of the Company’s Class A Common Stock, par value $.01 per share.</w:t>
      </w:r>
    </w:p>
    <w:p>
      <w:pPr>
        <w:spacing w:after="0" w:line="225"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Universal Orlando Transaction</w:t>
      </w:r>
      <w:r>
        <w:rPr>
          <w:rFonts w:ascii="Arial" w:cs="Arial" w:eastAsia="Arial" w:hAnsi="Arial"/>
          <w:sz w:val="16"/>
          <w:szCs w:val="16"/>
          <w:color w:val="auto"/>
        </w:rPr>
        <w:t>” means NBCUniversal’s acquisition of a controlling interest in Universal City Development Partners,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Ltd.</w:t>
      </w:r>
    </w:p>
    <w:p>
      <w:pPr>
        <w:spacing w:after="0" w:line="219" w:lineRule="exact"/>
        <w:rPr>
          <w:sz w:val="20"/>
          <w:szCs w:val="20"/>
          <w:color w:val="auto"/>
        </w:rPr>
      </w:pPr>
    </w:p>
    <w:p>
      <w:pPr>
        <w:ind w:right="20" w:firstLine="1492"/>
        <w:spacing w:after="0" w:line="332" w:lineRule="auto"/>
        <w:tabs>
          <w:tab w:leader="none" w:pos="1800" w:val="left"/>
        </w:tabs>
        <w:numPr>
          <w:ilvl w:val="1"/>
          <w:numId w:val="3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the date(s) on which Grantee vests in all or a portion of the Restricted Stock Units, as set forth on the attached Long-Term Incentive Awards Summary Schedule.</w:t>
      </w:r>
    </w:p>
    <w:p>
      <w:pPr>
        <w:spacing w:after="0" w:line="139" w:lineRule="exact"/>
        <w:rPr>
          <w:rFonts w:ascii="Arial" w:cs="Arial" w:eastAsia="Arial" w:hAnsi="Arial"/>
          <w:sz w:val="16"/>
          <w:szCs w:val="16"/>
          <w:color w:val="auto"/>
        </w:rPr>
      </w:pPr>
    </w:p>
    <w:p>
      <w:pPr>
        <w:ind w:left="1820" w:hanging="328"/>
        <w:spacing w:after="0"/>
        <w:tabs>
          <w:tab w:leader="none" w:pos="1820" w:val="left"/>
        </w:tabs>
        <w:numPr>
          <w:ilvl w:val="1"/>
          <w:numId w:val="3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firstLine="921"/>
        <w:spacing w:after="0" w:line="268" w:lineRule="auto"/>
        <w:tabs>
          <w:tab w:leader="none" w:pos="1088"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Grant of Restricted Stock Units</w:t>
      </w:r>
      <w:r>
        <w:rPr>
          <w:rFonts w:ascii="Arial" w:cs="Arial" w:eastAsia="Arial" w:hAnsi="Arial"/>
          <w:sz w:val="18"/>
          <w:szCs w:val="18"/>
          <w:color w:val="auto"/>
        </w:rPr>
        <w:t>. Subject to the terms and conditions set forth herein and in the Plan, the Company hereby grants to Grantee the Restricted Stock Units.</w:t>
      </w:r>
    </w:p>
    <w:p>
      <w:pPr>
        <w:spacing w:after="0" w:line="212" w:lineRule="exact"/>
        <w:rPr>
          <w:rFonts w:ascii="Arial" w:cs="Arial" w:eastAsia="Arial" w:hAnsi="Arial"/>
          <w:sz w:val="18"/>
          <w:szCs w:val="18"/>
          <w:color w:val="auto"/>
        </w:rPr>
      </w:pPr>
    </w:p>
    <w:p>
      <w:pPr>
        <w:ind w:left="1100" w:hanging="179"/>
        <w:spacing w:after="0"/>
        <w:tabs>
          <w:tab w:leader="none" w:pos="1100"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Vesting of Restricted Stock Units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firstLine="1492"/>
        <w:spacing w:after="0" w:line="294" w:lineRule="auto"/>
        <w:tabs>
          <w:tab w:leader="none" w:pos="1727" w:val="left"/>
        </w:tabs>
        <w:numPr>
          <w:ilvl w:val="1"/>
          <w:numId w:val="32"/>
        </w:numPr>
        <w:rPr>
          <w:rFonts w:ascii="Arial" w:cs="Arial" w:eastAsia="Arial" w:hAnsi="Arial"/>
          <w:sz w:val="16"/>
          <w:szCs w:val="16"/>
          <w:color w:val="auto"/>
        </w:rPr>
      </w:pPr>
      <w:r>
        <w:rPr>
          <w:rFonts w:ascii="Arial" w:cs="Arial" w:eastAsia="Arial" w:hAnsi="Arial"/>
          <w:sz w:val="16"/>
          <w:szCs w:val="16"/>
          <w:color w:val="auto"/>
        </w:rPr>
        <w:t>Subject to the terms and conditions set forth herein and in the Plan, Grantee shall vest in the Restricted Stock Units on the Vesting Dates set forth on the attached Long-Term Incentive Awards Summary Schedule, and as of each Vesting Date shall be entitled to the delivery of Shares with respect to such Restricted Stock Units; provided, however, that on the Vesting Date, Grantee is, and has from the Date of Grant continuously been, an employee of the Company or a Subsidiary Company during the Restricted Period, provided further that the applicable Performance Goal as set forth on the attached Long-Term Incentive Awards Summary Schedule has been satisfied, and provided further that Grantee has complied with all applicable provisions of the HSR Act.</w:t>
      </w:r>
    </w:p>
    <w:p>
      <w:pPr>
        <w:spacing w:after="0" w:line="169" w:lineRule="exact"/>
        <w:rPr>
          <w:rFonts w:ascii="Arial" w:cs="Arial" w:eastAsia="Arial" w:hAnsi="Arial"/>
          <w:sz w:val="16"/>
          <w:szCs w:val="16"/>
          <w:color w:val="auto"/>
        </w:rPr>
      </w:pPr>
    </w:p>
    <w:p>
      <w:pPr>
        <w:ind w:firstLine="1492"/>
        <w:spacing w:after="0" w:line="268" w:lineRule="auto"/>
        <w:tabs>
          <w:tab w:leader="none" w:pos="1743" w:val="left"/>
        </w:tabs>
        <w:numPr>
          <w:ilvl w:val="1"/>
          <w:numId w:val="32"/>
        </w:numPr>
        <w:rPr>
          <w:rFonts w:ascii="Arial" w:cs="Arial" w:eastAsia="Arial" w:hAnsi="Arial"/>
          <w:sz w:val="18"/>
          <w:szCs w:val="18"/>
          <w:color w:val="auto"/>
        </w:rPr>
      </w:pPr>
      <w:r>
        <w:rPr>
          <w:rFonts w:ascii="Arial" w:cs="Arial" w:eastAsia="Arial" w:hAnsi="Arial"/>
          <w:sz w:val="18"/>
          <w:szCs w:val="18"/>
          <w:color w:val="auto"/>
        </w:rPr>
        <w:t>Notwithstanding Paragraph 3(a) to the contrary, if Grantee terminates employment with the Company or a Subsidiary Company during the Restricted Period due to (i) Grantee’s death or (ii) Grantee becoming a Disabled Grantee within the meaning of</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4" w:name="page45"/>
    <w:bookmarkEnd w:id="44"/>
    <w:p>
      <w:pPr>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Paragraph 1(j)(1), the Vesting Date for the Restricted Stock Units shall be accelerated so that a Vesting Date will be deemed to occur with respect to the Restricted Stock Units on the date of such termination of employment; provided, however, that Grantee has complied with all applicable provisions of the HSR Act.</w:t>
      </w:r>
    </w:p>
    <w:p>
      <w:pPr>
        <w:spacing w:after="0" w:line="116" w:lineRule="exact"/>
        <w:rPr>
          <w:sz w:val="20"/>
          <w:szCs w:val="20"/>
          <w:color w:val="auto"/>
        </w:rPr>
      </w:pPr>
    </w:p>
    <w:p>
      <w:pPr>
        <w:jc w:val="both"/>
        <w:ind w:firstLine="1492"/>
        <w:spacing w:after="0" w:line="286" w:lineRule="auto"/>
        <w:tabs>
          <w:tab w:leader="none" w:pos="1768" w:val="left"/>
        </w:tabs>
        <w:numPr>
          <w:ilvl w:val="1"/>
          <w:numId w:val="33"/>
        </w:numPr>
        <w:rPr>
          <w:rFonts w:ascii="Arial" w:cs="Arial" w:eastAsia="Arial" w:hAnsi="Arial"/>
          <w:sz w:val="16"/>
          <w:szCs w:val="16"/>
          <w:color w:val="auto"/>
        </w:rPr>
      </w:pPr>
      <w:r>
        <w:rPr>
          <w:rFonts w:ascii="Arial" w:cs="Arial" w:eastAsia="Arial" w:hAnsi="Arial"/>
          <w:sz w:val="16"/>
          <w:szCs w:val="16"/>
          <w:color w:val="auto"/>
        </w:rPr>
        <w:t>Notwithstanding Paragraphs 3(a) to the contrary, and subject to the non-solicitation or non-competition obligations described in Paragraph 3(d), if Grantee terminates employment with the Company or a Subsidiary Company during the Restricted Period for any reason other than</w:t>
      </w:r>
    </w:p>
    <w:p>
      <w:pPr>
        <w:jc w:val="both"/>
        <w:ind w:firstLine="8"/>
        <w:spacing w:after="0" w:line="254" w:lineRule="auto"/>
        <w:tabs>
          <w:tab w:leader="none" w:pos="221" w:val="left"/>
        </w:tabs>
        <w:numPr>
          <w:ilvl w:val="0"/>
          <w:numId w:val="34"/>
        </w:numPr>
        <w:rPr>
          <w:rFonts w:ascii="Arial" w:cs="Arial" w:eastAsia="Arial" w:hAnsi="Arial"/>
          <w:sz w:val="18"/>
          <w:szCs w:val="18"/>
          <w:color w:val="auto"/>
        </w:rPr>
      </w:pPr>
      <w:r>
        <w:rPr>
          <w:rFonts w:ascii="Arial" w:cs="Arial" w:eastAsia="Arial" w:hAnsi="Arial"/>
          <w:sz w:val="18"/>
          <w:szCs w:val="18"/>
          <w:color w:val="auto"/>
        </w:rPr>
        <w:t>Grantee’s death, (ii) Grantee becoming a Disabled Grantee within the meaning of Paragraph 1(j)(1) or (iii) a Company-initiated termination for Cause, after having attained age 62 and completing ten (10) or more years of service with the Company or a Subsidiary Company, the following shall apply, provided further that the applicable Performance Goal as set forth on the attached Long-Term Incentive Awards Summary Schedule has been satisfied, and provided further that Grantee has complied with all applicable provisions of the HSR Act:</w:t>
      </w:r>
    </w:p>
    <w:p>
      <w:pPr>
        <w:spacing w:after="0" w:line="197" w:lineRule="exact"/>
        <w:rPr>
          <w:rFonts w:ascii="Arial" w:cs="Arial" w:eastAsia="Arial" w:hAnsi="Arial"/>
          <w:sz w:val="18"/>
          <w:szCs w:val="18"/>
          <w:color w:val="auto"/>
        </w:rPr>
      </w:pPr>
    </w:p>
    <w:p>
      <w:pPr>
        <w:jc w:val="both"/>
        <w:ind w:firstLine="1948"/>
        <w:spacing w:after="0" w:line="298" w:lineRule="auto"/>
        <w:tabs>
          <w:tab w:leader="none" w:pos="2189" w:val="left"/>
        </w:tabs>
        <w:numPr>
          <w:ilvl w:val="2"/>
          <w:numId w:val="3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ten (10) but less than fifteen (15) years of service with the Company or a Subsidiary Company, any Vesting Date for the Restricted Stock Units that would have occurred on or prior to the date that is the third (3</w:t>
      </w:r>
      <w:r>
        <w:rPr>
          <w:rFonts w:ascii="Arial" w:cs="Arial" w:eastAsia="Arial" w:hAnsi="Arial"/>
          <w:sz w:val="10"/>
          <w:szCs w:val="10"/>
          <w:color w:val="auto"/>
        </w:rPr>
        <w:t>rd</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Grantee shall be entitled to the delivery of Shares with respect to such Restricted Stock Units.</w:t>
      </w:r>
    </w:p>
    <w:p>
      <w:pPr>
        <w:spacing w:after="0" w:line="166" w:lineRule="exact"/>
        <w:rPr>
          <w:rFonts w:ascii="Arial" w:cs="Arial" w:eastAsia="Arial" w:hAnsi="Arial"/>
          <w:sz w:val="16"/>
          <w:szCs w:val="16"/>
          <w:color w:val="auto"/>
        </w:rPr>
      </w:pPr>
    </w:p>
    <w:p>
      <w:pPr>
        <w:jc w:val="both"/>
        <w:ind w:firstLine="1948"/>
        <w:spacing w:after="0" w:line="298" w:lineRule="auto"/>
        <w:tabs>
          <w:tab w:leader="none" w:pos="2201" w:val="left"/>
        </w:tabs>
        <w:numPr>
          <w:ilvl w:val="2"/>
          <w:numId w:val="34"/>
        </w:numPr>
        <w:rPr>
          <w:rFonts w:ascii="Arial" w:cs="Arial" w:eastAsia="Arial" w:hAnsi="Arial"/>
          <w:sz w:val="16"/>
          <w:szCs w:val="16"/>
          <w:color w:val="auto"/>
        </w:rPr>
      </w:pPr>
      <w:r>
        <w:rPr>
          <w:rFonts w:ascii="Arial" w:cs="Arial" w:eastAsia="Arial" w:hAnsi="Arial"/>
          <w:sz w:val="16"/>
          <w:szCs w:val="16"/>
          <w:color w:val="auto"/>
        </w:rPr>
        <w:t>If, at the time of such termination of employment, Grantee has completed at least fifteen (15) but less than twenty (20) years of service with the Company or a Subsidiary Company, any Vesting Date for the Restricted Stock Units that would have occurred on or prior to the date that is the fourth (4</w:t>
      </w:r>
      <w:r>
        <w:rPr>
          <w:rFonts w:ascii="Arial" w:cs="Arial" w:eastAsia="Arial" w:hAnsi="Arial"/>
          <w:sz w:val="10"/>
          <w:szCs w:val="10"/>
          <w:color w:val="auto"/>
        </w:rPr>
        <w:t>th</w:t>
      </w:r>
      <w:r>
        <w:rPr>
          <w:rFonts w:ascii="Arial" w:cs="Arial" w:eastAsia="Arial" w:hAnsi="Arial"/>
          <w:sz w:val="16"/>
          <w:szCs w:val="16"/>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66" w:lineRule="exact"/>
        <w:rPr>
          <w:rFonts w:ascii="Arial" w:cs="Arial" w:eastAsia="Arial" w:hAnsi="Arial"/>
          <w:sz w:val="16"/>
          <w:szCs w:val="16"/>
          <w:color w:val="auto"/>
        </w:rPr>
      </w:pPr>
    </w:p>
    <w:p>
      <w:pPr>
        <w:jc w:val="both"/>
        <w:ind w:firstLine="1948"/>
        <w:spacing w:after="0" w:line="256" w:lineRule="auto"/>
        <w:tabs>
          <w:tab w:leader="none" w:pos="2207" w:val="left"/>
        </w:tabs>
        <w:numPr>
          <w:ilvl w:val="2"/>
          <w:numId w:val="34"/>
        </w:numPr>
        <w:rPr>
          <w:rFonts w:ascii="Arial" w:cs="Arial" w:eastAsia="Arial" w:hAnsi="Arial"/>
          <w:sz w:val="18"/>
          <w:szCs w:val="18"/>
          <w:color w:val="auto"/>
        </w:rPr>
      </w:pPr>
      <w:r>
        <w:rPr>
          <w:rFonts w:ascii="Arial" w:cs="Arial" w:eastAsia="Arial" w:hAnsi="Arial"/>
          <w:sz w:val="18"/>
          <w:szCs w:val="18"/>
          <w:color w:val="auto"/>
        </w:rPr>
        <w:t>If, at the time of such termination of employment, such Grantee has completed twenty (20) or more years of services with the Company or a Subsidiary Company, any Vesting Date for the Restricted Stock Units that would have occurred on or prior to the date that is the fifth (5</w:t>
      </w:r>
      <w:r>
        <w:rPr>
          <w:rFonts w:ascii="Arial" w:cs="Arial" w:eastAsia="Arial" w:hAnsi="Arial"/>
          <w:sz w:val="11"/>
          <w:szCs w:val="11"/>
          <w:color w:val="auto"/>
        </w:rPr>
        <w:t>th</w:t>
      </w:r>
      <w:r>
        <w:rPr>
          <w:rFonts w:ascii="Arial" w:cs="Arial" w:eastAsia="Arial" w:hAnsi="Arial"/>
          <w:sz w:val="18"/>
          <w:szCs w:val="18"/>
          <w:color w:val="auto"/>
        </w:rPr>
        <w:t>) anniversary of such termination of employment shall continue to occur in accordance with the Long-Term Incentive Awards Summary Schedule, and as of each Vesting Date shall be entitled to the delivery of Shares with respect to such Restricted Stock Units.</w:t>
      </w:r>
    </w:p>
    <w:p>
      <w:pPr>
        <w:spacing w:after="0" w:line="197" w:lineRule="exact"/>
        <w:rPr>
          <w:rFonts w:ascii="Arial" w:cs="Arial" w:eastAsia="Arial" w:hAnsi="Arial"/>
          <w:sz w:val="18"/>
          <w:szCs w:val="18"/>
          <w:color w:val="auto"/>
        </w:rPr>
      </w:pPr>
    </w:p>
    <w:p>
      <w:pPr>
        <w:jc w:val="both"/>
        <w:ind w:firstLine="1492"/>
        <w:spacing w:after="0" w:line="259" w:lineRule="auto"/>
        <w:tabs>
          <w:tab w:leader="none" w:pos="17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Paragraph 3(c), the Restricted Stock Units will be subject to forfeiture by the Committee, in its sole discretion, if Grantee breaches either of the following non-solicitation or non-competition obligations during the period following termination of employment and before the applicable Vesting Date:</w:t>
      </w:r>
    </w:p>
    <w:p>
      <w:pPr>
        <w:spacing w:after="0" w:line="194" w:lineRule="exact"/>
        <w:rPr>
          <w:rFonts w:ascii="Arial" w:cs="Arial" w:eastAsia="Arial" w:hAnsi="Arial"/>
          <w:sz w:val="18"/>
          <w:szCs w:val="18"/>
          <w:color w:val="auto"/>
        </w:rPr>
      </w:pPr>
    </w:p>
    <w:p>
      <w:pPr>
        <w:jc w:val="both"/>
        <w:ind w:firstLine="1948"/>
        <w:spacing w:after="0" w:line="259" w:lineRule="auto"/>
        <w:tabs>
          <w:tab w:leader="none" w:pos="2211" w:val="left"/>
        </w:tabs>
        <w:numPr>
          <w:ilvl w:val="2"/>
          <w:numId w:val="34"/>
        </w:numPr>
        <w:rPr>
          <w:rFonts w:ascii="Arial" w:cs="Arial" w:eastAsia="Arial" w:hAnsi="Arial"/>
          <w:sz w:val="18"/>
          <w:szCs w:val="18"/>
          <w:color w:val="auto"/>
        </w:rPr>
      </w:pPr>
      <w:r>
        <w:rPr>
          <w:rFonts w:ascii="Arial" w:cs="Arial" w:eastAsia="Arial" w:hAnsi="Arial"/>
          <w:sz w:val="18"/>
          <w:szCs w:val="18"/>
          <w:color w:val="auto"/>
        </w:rPr>
        <w:t>Grantee shall not, directly or indirectly, solicit, induce, encourage or attempt to influence any customer, employee, consultant, independent contractor, service provider or supplier of the Company to cease to do business or to terminate the employment or other relationship with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5" w:name="page46"/>
    <w:bookmarkEnd w:id="45"/>
    <w:p>
      <w:pPr>
        <w:jc w:val="both"/>
        <w:ind w:firstLine="1948"/>
        <w:spacing w:after="0" w:line="289" w:lineRule="auto"/>
        <w:tabs>
          <w:tab w:leader="none" w:pos="2226" w:val="left"/>
        </w:tabs>
        <w:numPr>
          <w:ilvl w:val="2"/>
          <w:numId w:val="3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Grantee shall not, directly or indirectly, engage or be financially interested in (as an agent, consultant, director, employee, independent contractor, officer, owner, partner, principal or otherwise), any activities for any business (whether conducted by an entity or individuals, including Grantee in self-employment) that is engaged in competition, directly or indirectly through any entity controlling, controlled by or under common control with such business, with any of the business activities carried on by the Company, any of its subsidiaries or any other business unit of the Company, or being planned by the Company, any of its subsidiaries or any other business unit of the Company with Grantee’s knowledge at the time of Grantee’s termination of employment. This restriction shall apply in any geographical area of the United States in which the Company carries out business activities. Nothing herein shall prevent Grantee from owning for investment up to one percent (1%) of any class of equity security of an entity whose securities are traded on a national securities exchange or market.</w:t>
      </w:r>
    </w:p>
    <w:p>
      <w:pPr>
        <w:spacing w:after="0" w:line="172" w:lineRule="exact"/>
        <w:rPr>
          <w:rFonts w:ascii="Arial" w:cs="Arial" w:eastAsia="Arial" w:hAnsi="Arial"/>
          <w:sz w:val="16"/>
          <w:szCs w:val="16"/>
          <w:color w:val="auto"/>
        </w:rPr>
      </w:pPr>
    </w:p>
    <w:p>
      <w:pPr>
        <w:jc w:val="both"/>
        <w:ind w:firstLine="1492"/>
        <w:spacing w:after="0" w:line="298" w:lineRule="auto"/>
        <w:tabs>
          <w:tab w:leader="none" w:pos="1726" w:val="left"/>
        </w:tabs>
        <w:numPr>
          <w:ilvl w:val="1"/>
          <w:numId w:val="36"/>
        </w:numPr>
        <w:rPr>
          <w:rFonts w:ascii="Arial" w:cs="Arial" w:eastAsia="Arial" w:hAnsi="Arial"/>
          <w:sz w:val="16"/>
          <w:szCs w:val="16"/>
          <w:color w:val="auto"/>
        </w:rPr>
      </w:pPr>
      <w:r>
        <w:rPr>
          <w:rFonts w:ascii="Arial" w:cs="Arial" w:eastAsia="Arial" w:hAnsi="Arial"/>
          <w:sz w:val="16"/>
          <w:szCs w:val="16"/>
          <w:color w:val="auto"/>
        </w:rPr>
        <w:t>If Restricted Stock Units would have vested pursuant to the Long-Term Incentive Awards Summary Schedule or Paragraphs 3(b) or 3(c), but did not vest solely because Grantee was not in compliance with all applicable provisions of the HSR Act, the Vesting Date for such Restricted Stock Units shall occur on the first date following the date on which they would have vested pursuant to the Long-Term Incentive Awards Summary Schedule or Paragraphs 3(b) or 3(c) on which Grantee has complied with all applicable provisions of the HSR Act.</w:t>
      </w:r>
    </w:p>
    <w:p>
      <w:pPr>
        <w:spacing w:after="0" w:line="193" w:lineRule="exact"/>
        <w:rPr>
          <w:rFonts w:ascii="Arial" w:cs="Arial" w:eastAsia="Arial" w:hAnsi="Arial"/>
          <w:sz w:val="16"/>
          <w:szCs w:val="16"/>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Forfeiture of Restricted Stock Units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firstLine="1492"/>
        <w:spacing w:after="0" w:line="256" w:lineRule="auto"/>
        <w:tabs>
          <w:tab w:leader="none" w:pos="1752"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Subject to the terms and conditions set forth herein and in the Plan, if Grantee terminates employment with the Company and all Subsidiaries during the Restricted Period, other than due to death or Disability and except as otherwise provided in Paragraph 3(c), Grantee shall forfeit the Restricted Stock Units as of such termination of employment. Upon a forfeiture of the Restricted Stock Units as provided in this Paragraph 4, the Restricted Stock Units shall be deemed canceled.</w:t>
      </w:r>
    </w:p>
    <w:p>
      <w:pPr>
        <w:spacing w:after="0" w:line="197" w:lineRule="exact"/>
        <w:rPr>
          <w:rFonts w:ascii="Arial" w:cs="Arial" w:eastAsia="Arial" w:hAnsi="Arial"/>
          <w:sz w:val="18"/>
          <w:szCs w:val="18"/>
          <w:color w:val="auto"/>
        </w:rPr>
      </w:pPr>
    </w:p>
    <w:p>
      <w:pPr>
        <w:ind w:left="1760" w:hanging="268"/>
        <w:spacing w:after="0"/>
        <w:tabs>
          <w:tab w:leader="none" w:pos="1760" w:val="left"/>
        </w:tabs>
        <w:numPr>
          <w:ilvl w:val="1"/>
          <w:numId w:val="37"/>
        </w:numPr>
        <w:rPr>
          <w:rFonts w:ascii="Arial" w:cs="Arial" w:eastAsia="Arial" w:hAnsi="Arial"/>
          <w:sz w:val="16"/>
          <w:szCs w:val="16"/>
          <w:color w:val="auto"/>
        </w:rPr>
      </w:pPr>
      <w:r>
        <w:rPr>
          <w:rFonts w:ascii="Arial" w:cs="Arial" w:eastAsia="Arial" w:hAnsi="Arial"/>
          <w:sz w:val="16"/>
          <w:szCs w:val="16"/>
          <w:color w:val="auto"/>
        </w:rPr>
        <w:t>The provisions of this Paragraph 4 shall not apply to Shares issued in respect of Restricted Stock Units as to which a Vesting Date has</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occurred.</w:t>
      </w:r>
    </w:p>
    <w:p>
      <w:pPr>
        <w:spacing w:after="0" w:line="245" w:lineRule="exact"/>
        <w:rPr>
          <w:rFonts w:ascii="Arial" w:cs="Arial" w:eastAsia="Arial" w:hAnsi="Arial"/>
          <w:sz w:val="16"/>
          <w:szCs w:val="16"/>
          <w:color w:val="auto"/>
        </w:rPr>
      </w:pPr>
    </w:p>
    <w:p>
      <w:pPr>
        <w:ind w:left="1100" w:hanging="179"/>
        <w:spacing w:after="0"/>
        <w:tabs>
          <w:tab w:leader="none" w:pos="1100"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Grantee may elect to defer the receipt of Shares issuable with respect to Restricted Stock Units, consistent, however, with the following:</w:t>
      </w:r>
    </w:p>
    <w:p>
      <w:pPr>
        <w:spacing w:after="0" w:line="225" w:lineRule="exact"/>
        <w:rPr>
          <w:sz w:val="20"/>
          <w:szCs w:val="20"/>
          <w:color w:val="auto"/>
        </w:rPr>
      </w:pPr>
    </w:p>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firstLine="1948"/>
        <w:spacing w:after="0" w:line="259" w:lineRule="auto"/>
        <w:tabs>
          <w:tab w:leader="none" w:pos="2189" w:val="left"/>
        </w:tabs>
        <w:numPr>
          <w:ilvl w:val="1"/>
          <w:numId w:val="38"/>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 Grantee shall have the right to make an Initial Election to defer the receipt of all or a portion of the Shares issuable with respect to Restricted Stock Units hereby granted by filing an Initial Election to defer the receipt of such Shares on the form provided by the Committee for this purpose.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280" w:right="239" w:bottom="1440" w:gutter="0" w:footer="0" w:header="0"/>
        </w:sectPr>
      </w:pPr>
    </w:p>
    <w:bookmarkStart w:id="46" w:name="page47"/>
    <w:bookmarkEnd w:id="46"/>
    <w:p>
      <w:pPr>
        <w:ind w:firstLine="1948"/>
        <w:spacing w:after="0" w:line="268" w:lineRule="auto"/>
        <w:tabs>
          <w:tab w:leader="none" w:pos="2202"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Deadline for Deferral Election</w:t>
      </w:r>
      <w:r>
        <w:rPr>
          <w:rFonts w:ascii="Arial" w:cs="Arial" w:eastAsia="Arial" w:hAnsi="Arial"/>
          <w:sz w:val="18"/>
          <w:szCs w:val="18"/>
          <w:color w:val="auto"/>
        </w:rPr>
        <w:t>. An Initial Election to defer the receipt of Shares issuable with respect to Restricted Stock Units hereby granted shall not be effective unless it is filed with the Committee on or before June 30, [Year 1].</w:t>
      </w:r>
    </w:p>
    <w:p>
      <w:pPr>
        <w:spacing w:after="0" w:line="185" w:lineRule="exact"/>
        <w:rPr>
          <w:rFonts w:ascii="Arial" w:cs="Arial" w:eastAsia="Arial" w:hAnsi="Arial"/>
          <w:sz w:val="18"/>
          <w:szCs w:val="18"/>
          <w:color w:val="auto"/>
        </w:rPr>
      </w:pPr>
    </w:p>
    <w:p>
      <w:pPr>
        <w:jc w:val="both"/>
        <w:ind w:firstLine="1948"/>
        <w:spacing w:after="0" w:line="298" w:lineRule="auto"/>
        <w:tabs>
          <w:tab w:leader="none" w:pos="2189" w:val="left"/>
        </w:tabs>
        <w:numPr>
          <w:ilvl w:val="1"/>
          <w:numId w:val="39"/>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Subject to Paragraph 5(b), all Shares issuable with respect to Restricted Stock Units that are subject to an Initial Election under this Paragraph 5(a) shall be delivered to Grantee without any legend or restrictions (except those that may be imposed by the Committee, in its sole judgment, under Paragraph 7), on the date designated by Grantee, which shall not be earlier than January 2 of the third calendar year beginning after the Vesting Date, nor later than January 2 of the eleventh calendar year beginning after the Vesting Date.</w:t>
      </w:r>
    </w:p>
    <w:p>
      <w:pPr>
        <w:spacing w:after="0" w:line="166" w:lineRule="exact"/>
        <w:rPr>
          <w:rFonts w:ascii="Arial" w:cs="Arial" w:eastAsia="Arial" w:hAnsi="Arial"/>
          <w:sz w:val="16"/>
          <w:szCs w:val="16"/>
          <w:color w:val="auto"/>
        </w:rPr>
      </w:pPr>
    </w:p>
    <w:p>
      <w:pPr>
        <w:ind w:firstLine="1948"/>
        <w:spacing w:after="0" w:line="268" w:lineRule="auto"/>
        <w:tabs>
          <w:tab w:leader="none" w:pos="2189" w:val="left"/>
        </w:tabs>
        <w:numPr>
          <w:ilvl w:val="1"/>
          <w:numId w:val="39"/>
        </w:numPr>
        <w:rPr>
          <w:rFonts w:ascii="Arial" w:cs="Arial" w:eastAsia="Arial" w:hAnsi="Arial"/>
          <w:sz w:val="18"/>
          <w:szCs w:val="18"/>
          <w:color w:val="auto"/>
        </w:rPr>
      </w:pPr>
      <w:r>
        <w:rPr>
          <w:rFonts w:ascii="Arial" w:cs="Arial" w:eastAsia="Arial" w:hAnsi="Arial"/>
          <w:sz w:val="18"/>
          <w:szCs w:val="18"/>
          <w:u w:val="single" w:color="auto"/>
          <w:color w:val="auto"/>
        </w:rPr>
        <w:t>Effect of Failure of Vesting Date to Occur</w:t>
      </w:r>
      <w:r>
        <w:rPr>
          <w:rFonts w:ascii="Arial" w:cs="Arial" w:eastAsia="Arial" w:hAnsi="Arial"/>
          <w:sz w:val="18"/>
          <w:szCs w:val="18"/>
          <w:color w:val="auto"/>
        </w:rPr>
        <w:t>. An Initial Election shall be null and void if a Vesting Date does not occur with respect to Restricted Stock Units identified in such Initial Election.</w:t>
      </w:r>
    </w:p>
    <w:p>
      <w:pPr>
        <w:spacing w:after="0" w:line="185" w:lineRule="exact"/>
        <w:rPr>
          <w:rFonts w:ascii="Arial" w:cs="Arial" w:eastAsia="Arial" w:hAnsi="Arial"/>
          <w:sz w:val="18"/>
          <w:szCs w:val="18"/>
          <w:color w:val="auto"/>
        </w:rPr>
      </w:pPr>
    </w:p>
    <w:p>
      <w:pPr>
        <w:ind w:left="1740" w:hanging="248"/>
        <w:spacing w:after="0"/>
        <w:tabs>
          <w:tab w:leader="none" w:pos="1740" w:val="left"/>
        </w:tabs>
        <w:numPr>
          <w:ilvl w:val="0"/>
          <w:numId w:val="40"/>
        </w:numPr>
        <w:rPr>
          <w:rFonts w:ascii="Arial" w:cs="Arial" w:eastAsia="Arial" w:hAnsi="Arial"/>
          <w:sz w:val="16"/>
          <w:szCs w:val="16"/>
          <w:color w:val="auto"/>
        </w:rPr>
      </w:pPr>
      <w:r>
        <w:rPr>
          <w:rFonts w:ascii="Arial" w:cs="Arial" w:eastAsia="Arial" w:hAnsi="Arial"/>
          <w:sz w:val="16"/>
          <w:szCs w:val="16"/>
          <w:u w:val="single" w:color="auto"/>
          <w:color w:val="auto"/>
        </w:rPr>
        <w:t>Subsequent Elections</w:t>
      </w:r>
      <w:r>
        <w:rPr>
          <w:rFonts w:ascii="Arial" w:cs="Arial" w:eastAsia="Arial" w:hAnsi="Arial"/>
          <w:sz w:val="16"/>
          <w:szCs w:val="16"/>
          <w:color w:val="auto"/>
        </w:rPr>
        <w:t>. No Subsequent Election shall be effective until 12 months after the date on which a Subsequent Election is filed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with the Committee.</w:t>
      </w:r>
    </w:p>
    <w:p>
      <w:pPr>
        <w:spacing w:after="0" w:line="218" w:lineRule="exact"/>
        <w:rPr>
          <w:rFonts w:ascii="Arial" w:cs="Arial" w:eastAsia="Arial" w:hAnsi="Arial"/>
          <w:sz w:val="16"/>
          <w:szCs w:val="16"/>
          <w:color w:val="auto"/>
        </w:rPr>
      </w:pPr>
    </w:p>
    <w:p>
      <w:pPr>
        <w:jc w:val="both"/>
        <w:ind w:firstLine="1948"/>
        <w:spacing w:after="0" w:line="298" w:lineRule="auto"/>
        <w:tabs>
          <w:tab w:leader="none" w:pos="2199"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Grantee makes an Initial Election, or pursuant to this Paragraph 5(b)(1) makes a Subsequent Election, to defer the distribution date for Shares issuable with respect to some or all of the Restricted Stock Units hereby granted, Grantee may elect to defer the distribution date for a minimum of five years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166" w:lineRule="exact"/>
        <w:rPr>
          <w:rFonts w:ascii="Arial" w:cs="Arial" w:eastAsia="Arial" w:hAnsi="Arial"/>
          <w:sz w:val="16"/>
          <w:szCs w:val="16"/>
          <w:color w:val="auto"/>
        </w:rPr>
      </w:pPr>
    </w:p>
    <w:p>
      <w:pPr>
        <w:jc w:val="both"/>
        <w:ind w:firstLine="1948"/>
        <w:spacing w:after="0" w:line="298" w:lineRule="auto"/>
        <w:tabs>
          <w:tab w:leader="none" w:pos="2203"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Grantee dies before Shares subject to an Initial Election under Paragraph 5(a) are to be delivered, the estate or beneficiary to whom the right to delivery of such Shares shall have passed may make a Subsequent Election to defer receipt of all or any portion of such Shares for five additional years from the date delivery of Shares would otherwise be made, provided that such Subsequent Election must be filed with the Committee at least one year before the date on which the distribution would otherwise be made, as reflected on Grantee’s last Election.</w:t>
      </w:r>
    </w:p>
    <w:p>
      <w:pPr>
        <w:spacing w:after="0" w:line="166" w:lineRule="exact"/>
        <w:rPr>
          <w:rFonts w:ascii="Arial" w:cs="Arial" w:eastAsia="Arial" w:hAnsi="Arial"/>
          <w:sz w:val="16"/>
          <w:szCs w:val="16"/>
          <w:color w:val="auto"/>
        </w:rPr>
      </w:pPr>
    </w:p>
    <w:p>
      <w:pPr>
        <w:jc w:val="both"/>
        <w:ind w:firstLine="1948"/>
        <w:spacing w:after="0" w:line="306" w:lineRule="auto"/>
        <w:tabs>
          <w:tab w:leader="none" w:pos="2189" w:val="left"/>
        </w:tabs>
        <w:numPr>
          <w:ilvl w:val="1"/>
          <w:numId w:val="40"/>
        </w:numPr>
        <w:rPr>
          <w:rFonts w:ascii="Arial" w:cs="Arial" w:eastAsia="Arial" w:hAnsi="Arial"/>
          <w:sz w:val="16"/>
          <w:szCs w:val="16"/>
          <w:color w:val="auto"/>
        </w:rPr>
      </w:pPr>
      <w:r>
        <w:rPr>
          <w:rFonts w:ascii="Arial" w:cs="Arial" w:eastAsia="Arial" w:hAnsi="Arial"/>
          <w:sz w:val="16"/>
          <w:szCs w:val="16"/>
          <w:color w:val="auto"/>
        </w:rPr>
        <w:t>If Grantee becomes a Retired Grantee before Shares subject to an Initial Election under Paragraph 5(a) are to be delivered, Grantee may make a Subsequent Election to defer all or any portion of such Shares for five additional years from the date delivery of Shares would otherwise be made. Such a Subsequent Election must be filed with the Committee at least one year before the date on which the distribution would otherwise be made.</w:t>
      </w:r>
    </w:p>
    <w:p>
      <w:pPr>
        <w:spacing w:after="0" w:line="160" w:lineRule="exact"/>
        <w:rPr>
          <w:rFonts w:ascii="Arial" w:cs="Arial" w:eastAsia="Arial" w:hAnsi="Arial"/>
          <w:sz w:val="16"/>
          <w:szCs w:val="16"/>
          <w:color w:val="auto"/>
        </w:rPr>
      </w:pPr>
    </w:p>
    <w:p>
      <w:pPr>
        <w:ind w:firstLine="1492"/>
        <w:spacing w:after="0" w:line="268" w:lineRule="auto"/>
        <w:tabs>
          <w:tab w:leader="none" w:pos="1736" w:val="left"/>
        </w:tabs>
        <w:numPr>
          <w:ilvl w:val="0"/>
          <w:numId w:val="40"/>
        </w:numPr>
        <w:rPr>
          <w:rFonts w:ascii="Arial" w:cs="Arial" w:eastAsia="Arial" w:hAnsi="Arial"/>
          <w:sz w:val="18"/>
          <w:szCs w:val="18"/>
          <w:color w:val="auto"/>
        </w:rPr>
      </w:pP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As provided in the Plan and as described in the prospectus for the Plan, a Grantee with an Account may be eligible to make a Diversification Election on an election form supplied by the Committee for this purpose.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7" w:name="page48"/>
    <w:bookmarkEnd w:id="47"/>
    <w:p>
      <w:pPr>
        <w:jc w:val="both"/>
        <w:ind w:firstLine="1492"/>
        <w:spacing w:after="0" w:line="255" w:lineRule="auto"/>
        <w:tabs>
          <w:tab w:leader="none" w:pos="1732"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Book Accounts</w:t>
      </w:r>
      <w:r>
        <w:rPr>
          <w:rFonts w:ascii="Arial" w:cs="Arial" w:eastAsia="Arial" w:hAnsi="Arial"/>
          <w:sz w:val="18"/>
          <w:szCs w:val="18"/>
          <w:color w:val="auto"/>
        </w:rPr>
        <w:t>. An Account shall be established for each Grantee who makes an Initial Election. Deferred Stock Units shall be credited to the Account as of the Date an Initial Election becomes effective. Each Deferred Stock Unit will represent a hypothetical Share credited to the Account in lieu of delivery of the Shares to which an Initial Election, Subsequent Election or Acceleration Election applies. If an eligible Grantee makes a Diversification Election, then to the extent an Account is deemed invested in the Income Fund, the Committee shall credit earnings with respect to such Account at the Applicable Interest Rate.</w:t>
      </w:r>
    </w:p>
    <w:p>
      <w:pPr>
        <w:spacing w:after="0" w:line="196" w:lineRule="exact"/>
        <w:rPr>
          <w:rFonts w:ascii="Arial" w:cs="Arial" w:eastAsia="Arial" w:hAnsi="Arial"/>
          <w:sz w:val="18"/>
          <w:szCs w:val="18"/>
          <w:color w:val="auto"/>
        </w:rPr>
      </w:pPr>
    </w:p>
    <w:p>
      <w:pPr>
        <w:jc w:val="both"/>
        <w:ind w:firstLine="1492"/>
        <w:spacing w:after="0" w:line="254" w:lineRule="auto"/>
        <w:tabs>
          <w:tab w:leader="none" w:pos="1736" w:val="left"/>
        </w:tabs>
        <w:numPr>
          <w:ilvl w:val="1"/>
          <w:numId w:val="41"/>
        </w:numPr>
        <w:rPr>
          <w:rFonts w:ascii="Arial" w:cs="Arial" w:eastAsia="Arial" w:hAnsi="Arial"/>
          <w:sz w:val="18"/>
          <w:szCs w:val="18"/>
          <w:color w:val="auto"/>
        </w:rPr>
      </w:pP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Grantee’s right to delivery of Shares subject to an Initial Election, Subsequent Election or Acceleration Election, or to amounts deemed invested in the Income Fund pursuant to a Diversification Election, shall at all times represent the general obligation of the Company. Grantee shall be a general creditor of the Company with respect to this obligation, and shall not have a secured or preferred 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Grantee in a bankruptcy matter with respect to claims for wages.</w:t>
      </w:r>
    </w:p>
    <w:p>
      <w:pPr>
        <w:spacing w:after="0" w:line="198" w:lineRule="exact"/>
        <w:rPr>
          <w:rFonts w:ascii="Arial" w:cs="Arial" w:eastAsia="Arial" w:hAnsi="Arial"/>
          <w:sz w:val="18"/>
          <w:szCs w:val="18"/>
          <w:color w:val="auto"/>
        </w:rPr>
      </w:pPr>
    </w:p>
    <w:p>
      <w:pPr>
        <w:jc w:val="both"/>
        <w:ind w:firstLine="1492"/>
        <w:spacing w:after="0" w:line="306" w:lineRule="auto"/>
        <w:tabs>
          <w:tab w:leader="none" w:pos="1716" w:val="left"/>
        </w:tabs>
        <w:numPr>
          <w:ilvl w:val="1"/>
          <w:numId w:val="4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xml:space="preserve"> The right of Grantee to receive Shares subject to an Election under this Paragraph 5, or to amounts deemed invested in the Income Fund pursuant to a Diversification Election, shall not be subject in any manner to attachment or other legal process for the debts of Grantee; and no right to receive Shares or cash hereunder shall be subject to anticipation, alienation, sale, transfer, assignment or encumbrance.</w:t>
      </w:r>
    </w:p>
    <w:p>
      <w:pPr>
        <w:spacing w:after="0" w:line="160" w:lineRule="exact"/>
        <w:rPr>
          <w:rFonts w:ascii="Arial" w:cs="Arial" w:eastAsia="Arial" w:hAnsi="Arial"/>
          <w:sz w:val="16"/>
          <w:szCs w:val="16"/>
          <w:color w:val="auto"/>
        </w:rPr>
      </w:pPr>
    </w:p>
    <w:p>
      <w:pPr>
        <w:jc w:val="both"/>
        <w:ind w:firstLine="921"/>
        <w:spacing w:after="0" w:line="259" w:lineRule="auto"/>
        <w:tabs>
          <w:tab w:leader="none" w:pos="10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Any notice to the Company under this Agreement shall be made in care of the Committee at the Company’s main office in Philadelphia, Pennsylvania. All notices under this Agreement shall be deemed to have been given when hand-delivered or mailed, first class postage prepaid, and shall be irrevocable once given.</w:t>
      </w:r>
    </w:p>
    <w:p>
      <w:pPr>
        <w:spacing w:after="0" w:line="194" w:lineRule="exact"/>
        <w:rPr>
          <w:rFonts w:ascii="Arial" w:cs="Arial" w:eastAsia="Arial" w:hAnsi="Arial"/>
          <w:sz w:val="18"/>
          <w:szCs w:val="18"/>
          <w:color w:val="auto"/>
        </w:rPr>
      </w:pPr>
    </w:p>
    <w:p>
      <w:pPr>
        <w:jc w:val="both"/>
        <w:ind w:firstLine="921"/>
        <w:spacing w:after="0" w:line="259" w:lineRule="auto"/>
        <w:tabs>
          <w:tab w:leader="none" w:pos="1088"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may from time to time impose any conditions on the Shares issuable with respect to Restricted Stock Units as it deems necessary or advisable to ensure that the Plan satisfies the conditions of Rule 16b-3, and that Shares are issued and resold in compliance with the Securities Act of 1933, as amended.</w:t>
      </w:r>
    </w:p>
    <w:p>
      <w:pPr>
        <w:spacing w:after="0" w:line="221" w:lineRule="exact"/>
        <w:rPr>
          <w:rFonts w:ascii="Arial" w:cs="Arial" w:eastAsia="Arial" w:hAnsi="Arial"/>
          <w:sz w:val="18"/>
          <w:szCs w:val="18"/>
          <w:color w:val="auto"/>
        </w:rPr>
      </w:pPr>
    </w:p>
    <w:p>
      <w:pPr>
        <w:ind w:left="1100" w:hanging="179"/>
        <w:spacing w:after="0"/>
        <w:tabs>
          <w:tab w:leader="none" w:pos="11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Delivery of Shares; Repayment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jc w:val="both"/>
        <w:ind w:firstLine="1492"/>
        <w:spacing w:after="0" w:line="290" w:lineRule="auto"/>
        <w:tabs>
          <w:tab w:leader="none" w:pos="1722" w:val="left"/>
        </w:tabs>
        <w:numPr>
          <w:ilvl w:val="1"/>
          <w:numId w:val="42"/>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in Paragraph 5, the Company shall notify Grantee that a Vesting Date with respect to Restricted Stock Units has occurred. Within ten (10) business days of a Vesting Date, the Company shall, without payment from Grantee, satisfy its obligation to deliver Shares issuable under the Plan either by (i) delivery of a physical certificate for Shares issuable under the Plan or (ii) arranging for the recording of Grantee’s ownership of Shares issuable under the Plan on a book entry recordkeeping system maintained on behalf of the Company, in either case without any legend or restrictions, except for such restrictions as may be imposed by the Committee, in its sole judgment, under Paragraph 7, provided that Shares will not be delivered to Grantee until appropriate arrangements have been made with the Employer for the withholding of any taxes which may be due with respect to such Shares. The Company may condition delivery of certificates for Shares upon the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48" w:name="page49"/>
    <w:bookmarkEnd w:id="48"/>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prior receipt from Grantee of any undertakings which it may determine are required to assure that the certificates are being issued in compliance with federal and state securities laws. The right to payment of any fractional Shares shall be satisfied in cash, measured by the product of the fractional amount times the Fair Market Value of a Share on the Vesting Date, as determined by the Committee.</w:t>
      </w:r>
    </w:p>
    <w:p>
      <w:pPr>
        <w:spacing w:after="0" w:line="194" w:lineRule="exact"/>
        <w:rPr>
          <w:sz w:val="20"/>
          <w:szCs w:val="20"/>
          <w:color w:val="auto"/>
        </w:rPr>
      </w:pPr>
    </w:p>
    <w:p>
      <w:pPr>
        <w:jc w:val="both"/>
        <w:ind w:firstLine="1492"/>
        <w:spacing w:after="0" w:line="289" w:lineRule="auto"/>
        <w:tabs>
          <w:tab w:leader="none" w:pos="1732" w:val="left"/>
        </w:tabs>
        <w:numPr>
          <w:ilvl w:val="2"/>
          <w:numId w:val="43"/>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If it is determined by the Board that gross negligence, intentional misconduct or fraud by Grantee caused or partially caused the Company to have to restate all or a portion of its financial statements, the Board, in its sole discretion, may, to the extent permitted by law and to the extent it determines in its sole judgment that it is in the best interests of the Company to do so, require repayment of Shares delivered pursuant to the vesting of the Restricted Stock Units, or to effect the cancellation of unvested Restricted Stock Units, if (i) the vesting of the Award was calculated based upon, or contingent on, the achievement of financial or operating results that were the subject of or affected by the restatement, and (ii) the extent of vesting of the Award would have been less had the financial statements been correct. In addition, to the extent that the receipt of an Award subject to repayment under this Paragraph 8(b) has been deferred pursuant to Paragraph 5 (or any other plan, program or arrangement that permits the deferral of receipt of an Award), such Award (and any earnings credited with respect thereto) shall be forfeited in lieu of repayment.</w:t>
      </w:r>
    </w:p>
    <w:p>
      <w:pPr>
        <w:spacing w:after="0" w:line="172" w:lineRule="exact"/>
        <w:rPr>
          <w:rFonts w:ascii="Arial" w:cs="Arial" w:eastAsia="Arial" w:hAnsi="Arial"/>
          <w:sz w:val="16"/>
          <w:szCs w:val="16"/>
          <w:color w:val="auto"/>
        </w:rPr>
      </w:pPr>
    </w:p>
    <w:p>
      <w:pPr>
        <w:jc w:val="both"/>
        <w:ind w:firstLine="921"/>
        <w:spacing w:after="0" w:line="291" w:lineRule="auto"/>
        <w:tabs>
          <w:tab w:leader="none" w:pos="1102" w:val="left"/>
        </w:tabs>
        <w:numPr>
          <w:ilvl w:val="1"/>
          <w:numId w:val="4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Notwithstanding the above, to the extent that any Restricted Stock Units are determined by the Company to be “nonqualified deferred compensation” under section 409A of the Code and its implementing regulations and guidance and Shares become deliverable with respect to such Restricted Stock Units as a result of the Grantee’s termination of employment, such Shares will only be delivered if such termination of employment constitutes a “separation from service” within the meaning of Treas. Reg. 1.409A-1(h) and, to the extent compliance with the requirements of Treas. Reg. § 1.409A-3(i)(2) is necessary to avoid the application of an additional tax under Section 409A of the Code, Shares that are otherwise become deliverable upon the Grantee’s “separation from service” will be deferred (without interest) and issued to the Grantee immediately following that six month period.</w:t>
      </w:r>
    </w:p>
    <w:p>
      <w:pPr>
        <w:spacing w:after="0" w:line="174" w:lineRule="exact"/>
        <w:rPr>
          <w:rFonts w:ascii="Arial" w:cs="Arial" w:eastAsia="Arial" w:hAnsi="Arial"/>
          <w:sz w:val="16"/>
          <w:szCs w:val="16"/>
          <w:color w:val="auto"/>
        </w:rPr>
      </w:pPr>
    </w:p>
    <w:p>
      <w:pPr>
        <w:ind w:firstLine="921"/>
        <w:spacing w:after="0" w:line="268" w:lineRule="auto"/>
        <w:tabs>
          <w:tab w:leader="none" w:pos="1176"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Award Not to Affect Employment</w:t>
      </w:r>
      <w:r>
        <w:rPr>
          <w:rFonts w:ascii="Arial" w:cs="Arial" w:eastAsia="Arial" w:hAnsi="Arial"/>
          <w:sz w:val="18"/>
          <w:szCs w:val="18"/>
          <w:color w:val="auto"/>
        </w:rPr>
        <w:t>. The Award granted hereunder shall not confer upon Grantee any right to continue in the employment of the Company or any subsidiary or affiliate of the Company.</w:t>
      </w:r>
    </w:p>
    <w:p>
      <w:pPr>
        <w:spacing w:after="0" w:line="212" w:lineRule="exact"/>
        <w:rPr>
          <w:rFonts w:ascii="Arial" w:cs="Arial" w:eastAsia="Arial" w:hAnsi="Arial"/>
          <w:sz w:val="18"/>
          <w:szCs w:val="18"/>
          <w:color w:val="auto"/>
        </w:rPr>
      </w:pPr>
    </w:p>
    <w:p>
      <w:pPr>
        <w:ind w:left="1180" w:hanging="259"/>
        <w:spacing w:after="0"/>
        <w:tabs>
          <w:tab w:leader="none" w:pos="1180" w:val="left"/>
        </w:tabs>
        <w:numPr>
          <w:ilvl w:val="1"/>
          <w:numId w:val="4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740" w:hanging="248"/>
        <w:spacing w:after="0"/>
        <w:tabs>
          <w:tab w:leader="none" w:pos="1740" w:val="left"/>
        </w:tabs>
        <w:numPr>
          <w:ilvl w:val="2"/>
          <w:numId w:val="44"/>
        </w:numPr>
        <w:rPr>
          <w:rFonts w:ascii="Arial" w:cs="Arial" w:eastAsia="Arial" w:hAnsi="Arial"/>
          <w:sz w:val="16"/>
          <w:szCs w:val="16"/>
          <w:color w:val="auto"/>
        </w:rPr>
      </w:pPr>
      <w:r>
        <w:rPr>
          <w:rFonts w:ascii="Arial" w:cs="Arial" w:eastAsia="Arial" w:hAnsi="Arial"/>
          <w:sz w:val="16"/>
          <w:szCs w:val="16"/>
          <w:color w:val="auto"/>
        </w:rPr>
        <w:t>The Award granted hereunder is subject to the approval of the Plan by the shareholders of the Company to the extent that such approval</w:t>
      </w:r>
    </w:p>
    <w:p>
      <w:pPr>
        <w:spacing w:after="0" w:line="38" w:lineRule="exact"/>
        <w:rPr>
          <w:rFonts w:ascii="Arial" w:cs="Arial" w:eastAsia="Arial" w:hAnsi="Arial"/>
          <w:sz w:val="16"/>
          <w:szCs w:val="16"/>
          <w:color w:val="auto"/>
        </w:rPr>
      </w:pPr>
    </w:p>
    <w:p>
      <w:pPr>
        <w:ind w:right="20" w:firstLine="8"/>
        <w:spacing w:after="0" w:line="261" w:lineRule="auto"/>
        <w:tabs>
          <w:tab w:leader="none" w:pos="2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is required pursuant to the By-Laws of the National Association of Securities Dealers, Inc., and the schedules thereto, in connection with issuers whose securities are included in the NASDAQ National Market System, or (ii) is required to satisfy the conditions of Rule 16b-3.</w:t>
      </w:r>
    </w:p>
    <w:p>
      <w:pPr>
        <w:spacing w:after="0" w:line="191" w:lineRule="exact"/>
        <w:rPr>
          <w:rFonts w:ascii="Arial" w:cs="Arial" w:eastAsia="Arial" w:hAnsi="Arial"/>
          <w:sz w:val="18"/>
          <w:szCs w:val="18"/>
          <w:color w:val="auto"/>
        </w:rPr>
      </w:pPr>
    </w:p>
    <w:p>
      <w:pPr>
        <w:ind w:right="20" w:firstLine="1492"/>
        <w:spacing w:after="0" w:line="268" w:lineRule="auto"/>
        <w:tabs>
          <w:tab w:leader="none" w:pos="1765" w:val="left"/>
        </w:tabs>
        <w:numPr>
          <w:ilvl w:val="2"/>
          <w:numId w:val="45"/>
        </w:numPr>
        <w:rPr>
          <w:rFonts w:ascii="Arial" w:cs="Arial" w:eastAsia="Arial" w:hAnsi="Arial"/>
          <w:sz w:val="18"/>
          <w:szCs w:val="18"/>
          <w:color w:val="auto"/>
        </w:rPr>
      </w:pPr>
      <w:r>
        <w:rPr>
          <w:rFonts w:ascii="Arial" w:cs="Arial" w:eastAsia="Arial" w:hAnsi="Arial"/>
          <w:sz w:val="18"/>
          <w:szCs w:val="18"/>
          <w:color w:val="auto"/>
        </w:rPr>
        <w:t>The address for Grantee to which notice, demands and other communications to be given or delivered under or by reason of the provisions hereof shall be Grantee’s address as reflected in the Company’s personnel records.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49" w:name="page50"/>
    <w:bookmarkEnd w:id="49"/>
    <w:p>
      <w:pPr>
        <w:ind w:left="-20" w:firstLine="1492"/>
        <w:spacing w:after="0" w:line="268" w:lineRule="auto"/>
        <w:tabs>
          <w:tab w:leader="none" w:pos="1714"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validity, performance, construction and effect of this Award shall be governed by the laws of the Commonwealth of Pennsylvania, without giving effect to principles of conflicts of law.</w:t>
      </w:r>
    </w:p>
    <w:p>
      <w:pPr>
        <w:spacing w:after="0" w:line="207"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COMCAST CORPORATION</w:t>
      </w:r>
    </w:p>
    <w:p>
      <w:pPr>
        <w:spacing w:after="0" w:line="225"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4606290</wp:posOffset>
            </wp:positionH>
            <wp:positionV relativeFrom="paragraph">
              <wp:posOffset>14605</wp:posOffset>
            </wp:positionV>
            <wp:extent cx="26327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232" w:lineRule="exact"/>
        <w:rPr>
          <w:sz w:val="20"/>
          <w:szCs w:val="20"/>
          <w:color w:val="auto"/>
        </w:rPr>
      </w:pPr>
    </w:p>
    <w:p>
      <w:pPr>
        <w:ind w:left="6840"/>
        <w:spacing w:after="0"/>
        <w:rPr>
          <w:sz w:val="20"/>
          <w:szCs w:val="20"/>
          <w:color w:val="auto"/>
        </w:rPr>
      </w:pPr>
      <w:r>
        <w:rPr>
          <w:rFonts w:ascii="Arial" w:cs="Arial" w:eastAsia="Arial" w:hAnsi="Arial"/>
          <w:sz w:val="18"/>
          <w:szCs w:val="18"/>
          <w:b w:val="1"/>
          <w:bCs w:val="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14605</wp:posOffset>
            </wp:positionV>
            <wp:extent cx="23152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60" w:top="280"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144" w:lineRule="exact"/>
        <w:rPr>
          <w:sz w:val="20"/>
          <w:szCs w:val="20"/>
          <w:color w:val="auto"/>
        </w:rPr>
      </w:pPr>
    </w:p>
    <w:p>
      <w:pPr>
        <w:ind w:left="460" w:hanging="452"/>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Michael J. Angelakis, certify that:</w:t>
      </w:r>
    </w:p>
    <w:p>
      <w:pPr>
        <w:spacing w:after="0" w:line="144" w:lineRule="exact"/>
        <w:rPr>
          <w:sz w:val="20"/>
          <w:szCs w:val="20"/>
          <w:color w:val="auto"/>
        </w:rPr>
      </w:pPr>
    </w:p>
    <w:p>
      <w:pPr>
        <w:ind w:left="460" w:hanging="452"/>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Comcast Corporation;</w:t>
      </w:r>
    </w:p>
    <w:p>
      <w:pPr>
        <w:spacing w:after="0" w:line="76"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60" w:hanging="452"/>
        <w:spacing w:after="0" w:line="268"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jc w:val="both"/>
        <w:ind w:left="460" w:hanging="452"/>
        <w:spacing w:after="0" w:line="259"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hanging="446"/>
        <w:spacing w:after="0" w:line="325" w:lineRule="auto"/>
        <w:tabs>
          <w:tab w:leader="none" w:pos="900" w:val="left"/>
        </w:tabs>
        <w:numPr>
          <w:ilvl w:val="1"/>
          <w:numId w:val="4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hanging="446"/>
        <w:spacing w:after="0" w:line="259"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hanging="452"/>
        <w:spacing w:after="0" w:line="325" w:lineRule="auto"/>
        <w:tabs>
          <w:tab w:leader="none" w:pos="4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9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2, 2012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ectPr>
          <w:pgSz w:w="11900" w:h="16838" w:orient="portrait"/>
          <w:cols w:equalWidth="0" w:num="1">
            <w:col w:w="11420"/>
          </w:cols>
          <w:pgMar w:left="240" w:top="2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 PURSUANT TO SECTION 906 OF THE SARBANES-OXLEY ACT</w:t>
      </w:r>
    </w:p>
    <w:p>
      <w:pPr>
        <w:spacing w:after="0" w:line="136" w:lineRule="exact"/>
        <w:rPr>
          <w:sz w:val="20"/>
          <w:szCs w:val="20"/>
          <w:color w:val="auto"/>
        </w:rPr>
      </w:pPr>
    </w:p>
    <w:p>
      <w:pPr>
        <w:ind w:left="10520"/>
        <w:spacing w:after="0"/>
        <w:rPr>
          <w:sz w:val="20"/>
          <w:szCs w:val="20"/>
          <w:color w:val="auto"/>
        </w:rPr>
      </w:pPr>
      <w:r>
        <w:rPr>
          <w:rFonts w:ascii="Arial" w:cs="Arial" w:eastAsia="Arial" w:hAnsi="Arial"/>
          <w:sz w:val="16"/>
          <w:szCs w:val="16"/>
          <w:color w:val="auto"/>
        </w:rPr>
        <w:t>May 2, 2012</w:t>
      </w:r>
    </w:p>
    <w:p>
      <w:pPr>
        <w:spacing w:after="0" w:line="15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Washington, D.C. 20549</w:t>
      </w:r>
    </w:p>
    <w:p>
      <w:pPr>
        <w:spacing w:after="0" w:line="124" w:lineRule="exact"/>
        <w:rPr>
          <w:sz w:val="20"/>
          <w:szCs w:val="20"/>
          <w:color w:val="auto"/>
        </w:rPr>
      </w:pPr>
    </w:p>
    <w:p>
      <w:pPr>
        <w:ind w:left="20"/>
        <w:spacing w:after="0"/>
        <w:rPr>
          <w:sz w:val="20"/>
          <w:szCs w:val="20"/>
          <w:color w:val="auto"/>
        </w:rPr>
      </w:pPr>
      <w:r>
        <w:rPr>
          <w:rFonts w:ascii="Arial" w:cs="Arial" w:eastAsia="Arial" w:hAnsi="Arial"/>
          <w:sz w:val="18"/>
          <w:szCs w:val="18"/>
          <w:color w:val="auto"/>
        </w:rPr>
        <w:t>Ladies and Gentlemen: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Quarterly Report on Form 10-Q of Comcast Corporation (the “Report”) for the purpose of complying with Rule 13a-14(b) or Rule 15d-14(b) of the Securities Exchange Act of 1934 (the “Exchange Act”) and Section 1350 of Chapter 63 of Title 18 of the United States Code.</w:t>
      </w:r>
    </w:p>
    <w:p>
      <w:pPr>
        <w:spacing w:after="0" w:line="4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Brian L. Roberts, the Chief Executive Officer, and Michael J. Angelakis, the 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3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Executive Officer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MICHAEL J. ANGELAKIS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Michael J. Angelakis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 Chief Financial Officer</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
      <w:numFmt w:val="bullet"/>
      <w:start w:val="1"/>
    </w:lvl>
  </w:abstractNum>
  <w:abstractNum w:abstractNumId="3">
    <w:nsid w:val="189A769B"/>
    <w:multiLevelType w:val="hybridMultilevel"/>
    <w:lvl w:ilvl="0">
      <w:lvlJc w:val="left"/>
      <w:lvlText w:val="(%1)"/>
      <w:numFmt w:val="lowerLetter"/>
      <w:start w:val="1"/>
    </w:lvl>
  </w:abstractNum>
  <w:abstractNum w:abstractNumId="4">
    <w:nsid w:val="54E49EB4"/>
    <w:multiLevelType w:val="hybridMultilevel"/>
    <w:lvl w:ilvl="0">
      <w:lvlJc w:val="left"/>
      <w:lvlText w:val="(%1)"/>
      <w:numFmt w:val="lowerRoman"/>
      <w:start w:val="2"/>
    </w:lvl>
  </w:abstractNum>
  <w:abstractNum w:abstractNumId="5">
    <w:nsid w:val="71F32454"/>
    <w:multiLevelType w:val="hybridMultilevel"/>
    <w:lvl w:ilvl="0">
      <w:lvlJc w:val="left"/>
      <w:lvlText w:val="•"/>
      <w:numFmt w:val="bullet"/>
      <w:start w:val="1"/>
    </w:lvl>
  </w:abstractNum>
  <w:abstractNum w:abstractNumId="6">
    <w:nsid w:val="2CA88611"/>
    <w:multiLevelType w:val="hybridMultilevel"/>
    <w:lvl w:ilvl="0">
      <w:lvlJc w:val="left"/>
      <w:lvlText w:val="(%1)"/>
      <w:numFmt w:val="lowerLetter"/>
      <w:start w:val="1"/>
    </w:lvl>
  </w:abstractNum>
  <w:abstractNum w:abstractNumId="7">
    <w:nsid w:val="836C40E"/>
    <w:multiLevelType w:val="hybridMultilevel"/>
    <w:lvl w:ilvl="0">
      <w:lvlJc w:val="left"/>
      <w:lvlText w:val="•"/>
      <w:numFmt w:val="bullet"/>
      <w:start w:val="1"/>
    </w:lvl>
  </w:abstractNum>
  <w:abstractNum w:abstractNumId="8">
    <w:nsid w:val="2901D82"/>
    <w:multiLevelType w:val="hybridMultilevel"/>
    <w:lvl w:ilvl="0">
      <w:lvlJc w:val="left"/>
      <w:lvlText w:val="(%1)"/>
      <w:numFmt w:val="lowerLetter"/>
      <w:start w:val="1"/>
    </w:lvl>
  </w:abstractNum>
  <w:abstractNum w:abstractNumId="9">
    <w:nsid w:val="3A95F874"/>
    <w:multiLevelType w:val="hybridMultilevel"/>
    <w:lvl w:ilvl="0">
      <w:lvlJc w:val="left"/>
      <w:lvlText w:val="(%1)"/>
      <w:numFmt w:val="lowerLetter"/>
      <w:start w:val="2"/>
    </w:lvl>
  </w:abstractNum>
  <w:abstractNum w:abstractNumId="10">
    <w:nsid w:val="8138641"/>
    <w:multiLevelType w:val="hybridMultilevel"/>
    <w:lvl w:ilvl="0">
      <w:lvlJc w:val="left"/>
      <w:lvlText w:val="(%1)"/>
      <w:numFmt w:val="lowerLetter"/>
      <w:start w:val="3"/>
    </w:lvl>
    <w:lvl w:ilvl="1">
      <w:lvlJc w:val="left"/>
      <w:lvlText w:val="•"/>
      <w:numFmt w:val="bullet"/>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lowerLetter"/>
      <w:start w:val="1"/>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decimal"/>
      <w:start w:val="31"/>
    </w:lvl>
  </w:abstractNum>
  <w:abstractNum w:abstractNumId="19">
    <w:nsid w:val="419AC241"/>
    <w:multiLevelType w:val="hybridMultilevel"/>
    <w:lvl w:ilvl="0">
      <w:lvlJc w:val="left"/>
      <w:lvlText w:val="%1"/>
      <w:numFmt w:val="decimal"/>
      <w:start w:val="101"/>
    </w:lvl>
  </w:abstractNum>
  <w:abstractNum w:abstractNumId="20">
    <w:nsid w:val="5577F8E1"/>
    <w:multiLevelType w:val="hybridMultilevel"/>
    <w:lvl w:ilvl="0">
      <w:lvlJc w:val="left"/>
      <w:lvlText w:val="*"/>
      <w:numFmt w:val="bullet"/>
      <w:start w:val="1"/>
    </w:lvl>
  </w:abstractNum>
  <w:abstractNum w:abstractNumId="21">
    <w:nsid w:val="440BADFC"/>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1"/>
    </w:lvl>
  </w:abstractNum>
  <w:abstractNum w:abstractNumId="22">
    <w:nsid w:val="5072367"/>
    <w:multiLevelType w:val="hybridMultilevel"/>
    <w:lvl w:ilvl="0">
      <w:lvlJc w:val="left"/>
      <w:lvlText w:val="(%1)"/>
      <w:numFmt w:val="lowerRoman"/>
      <w:start w:val="6"/>
    </w:lvl>
    <w:lvl w:ilvl="1">
      <w:lvlJc w:val="left"/>
      <w:lvlText w:val="%2"/>
      <w:numFmt w:val="decimal"/>
      <w:start w:val="1"/>
    </w:lvl>
    <w:lvl w:ilvl="2">
      <w:lvlJc w:val="left"/>
      <w:lvlText w:val="(%3)"/>
      <w:numFmt w:val="lowerLetter"/>
      <w:start w:val="5"/>
    </w:lvl>
  </w:abstractNum>
  <w:abstractNum w:abstractNumId="23">
    <w:nsid w:val="3804823E"/>
    <w:multiLevelType w:val="hybridMultilevel"/>
    <w:lvl w:ilvl="0">
      <w:lvlJc w:val="left"/>
      <w:lvlText w:val="(%1)"/>
      <w:numFmt w:val="lowerLetter"/>
      <w:start w:val="10"/>
    </w:lvl>
    <w:lvl w:ilvl="1">
      <w:lvlJc w:val="left"/>
      <w:lvlText w:val="(%2)"/>
      <w:numFmt w:val="decimal"/>
      <w:start w:val="1"/>
    </w:lvl>
  </w:abstractNum>
  <w:abstractNum w:abstractNumId="24">
    <w:nsid w:val="77465F01"/>
    <w:multiLevelType w:val="hybridMultilevel"/>
    <w:lvl w:ilvl="0">
      <w:lvlJc w:val="left"/>
      <w:lvlText w:val="(%1)"/>
      <w:numFmt w:val="lowerLetter"/>
      <w:start w:val="12"/>
    </w:lvl>
    <w:lvl w:ilvl="1">
      <w:lvlJc w:val="left"/>
      <w:lvlText w:val="(%2)"/>
      <w:numFmt w:val="decimal"/>
      <w:start w:val="1"/>
    </w:lvl>
    <w:lvl w:ilvl="2">
      <w:lvlJc w:val="left"/>
      <w:lvlText w:val="(%3)"/>
      <w:numFmt w:val="lowerLetter"/>
      <w:start w:val="1"/>
    </w:lvl>
  </w:abstractNum>
  <w:abstractNum w:abstractNumId="25">
    <w:nsid w:val="7724C67E"/>
    <w:multiLevelType w:val="hybridMultilevel"/>
    <w:lvl w:ilvl="0">
      <w:lvlJc w:val="left"/>
      <w:lvlText w:val="(%1)"/>
      <w:numFmt w:val="decimal"/>
      <w:start w:val="3"/>
    </w:lvl>
  </w:abstractNum>
  <w:abstractNum w:abstractNumId="26">
    <w:nsid w:val="5C482A97"/>
    <w:multiLevelType w:val="hybridMultilevel"/>
    <w:lvl w:ilvl="0">
      <w:lvlJc w:val="left"/>
      <w:lvlText w:val="(%1)"/>
      <w:numFmt w:val="lowerLetter"/>
      <w:start w:val="14"/>
    </w:lvl>
  </w:abstractNum>
  <w:abstractNum w:abstractNumId="27">
    <w:nsid w:val="2463B9EA"/>
    <w:multiLevelType w:val="hybridMultilevel"/>
    <w:lvl w:ilvl="0">
      <w:lvlJc w:val="left"/>
      <w:lvlText w:val="(%1)"/>
      <w:numFmt w:val="decimal"/>
      <w:start w:val="1"/>
    </w:lvl>
  </w:abstractNum>
  <w:abstractNum w:abstractNumId="28">
    <w:nsid w:val="5E884ADC"/>
    <w:multiLevelType w:val="hybridMultilevel"/>
    <w:lvl w:ilvl="0">
      <w:lvlJc w:val="left"/>
      <w:lvlText w:val="(%1)"/>
      <w:numFmt w:val="lowerLetter"/>
      <w:start w:val="20"/>
    </w:lvl>
  </w:abstractNum>
  <w:abstractNum w:abstractNumId="29">
    <w:nsid w:val="51EAD36B"/>
    <w:multiLevelType w:val="hybridMultilevel"/>
    <w:lvl w:ilvl="0">
      <w:lvlJc w:val="left"/>
      <w:lvlText w:val="(%1)"/>
      <w:numFmt w:val="lowerLetter"/>
      <w:start w:val="22"/>
    </w:lvl>
  </w:abstractNum>
  <w:abstractNum w:abstractNumId="30">
    <w:nsid w:val="2D517796"/>
    <w:multiLevelType w:val="hybridMultilevel"/>
    <w:lvl w:ilvl="0">
      <w:lvlJc w:val="left"/>
      <w:lvlText w:val="%1"/>
      <w:numFmt w:val="decimal"/>
      <w:start w:val="1"/>
    </w:lvl>
    <w:lvl w:ilvl="1">
      <w:lvlJc w:val="left"/>
      <w:lvlText w:val="(%2)"/>
      <w:numFmt w:val="lowerLetter"/>
      <w:start w:val="27"/>
    </w:lvl>
  </w:abstractNum>
  <w:abstractNum w:abstractNumId="31">
    <w:nsid w:val="580BD78F"/>
    <w:multiLevelType w:val="hybridMultilevel"/>
    <w:lvl w:ilvl="0">
      <w:lvlJc w:val="left"/>
      <w:lvlText w:val="%1."/>
      <w:numFmt w:val="decimal"/>
      <w:start w:val="2"/>
    </w:lvl>
    <w:lvl w:ilvl="1">
      <w:lvlJc w:val="left"/>
      <w:lvlText w:val="(%2)"/>
      <w:numFmt w:val="lowerLetter"/>
      <w:start w:val="1"/>
    </w:lvl>
  </w:abstractNum>
  <w:abstractNum w:abstractNumId="32">
    <w:nsid w:val="153EA438"/>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33">
    <w:nsid w:val="3855585C"/>
    <w:multiLevelType w:val="hybridMultilevel"/>
    <w:lvl w:ilvl="0">
      <w:lvlJc w:val="left"/>
      <w:lvlText w:val="(%1)"/>
      <w:numFmt w:val="lowerLetter"/>
      <w:start w:val="9"/>
    </w:lvl>
    <w:lvl w:ilvl="1">
      <w:lvlJc w:val="left"/>
      <w:lvlText w:val="(%2)"/>
      <w:numFmt w:val="lowerLetter"/>
      <w:start w:val="3"/>
    </w:lvl>
    <w:lvl w:ilvl="2">
      <w:lvlJc w:val="left"/>
      <w:lvlText w:val="(%3)"/>
      <w:numFmt w:val="decimal"/>
      <w:start w:val="1"/>
    </w:lvl>
  </w:abstractNum>
  <w:abstractNum w:abstractNumId="34">
    <w:nsid w:val="70A64E2A"/>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35">
    <w:nsid w:val="6A2342EC"/>
    <w:multiLevelType w:val="hybridMultilevel"/>
    <w:lvl w:ilvl="0">
      <w:lvlJc w:val="left"/>
      <w:lvlText w:val="%1"/>
      <w:numFmt w:val="decimal"/>
      <w:start w:val="1"/>
    </w:lvl>
    <w:lvl w:ilvl="1">
      <w:lvlJc w:val="left"/>
      <w:lvlText w:val="(%2)"/>
      <w:numFmt w:val="lowerLetter"/>
      <w:start w:val="5"/>
    </w:lvl>
    <w:lvl w:ilvl="2">
      <w:lvlJc w:val="left"/>
      <w:lvlText w:val="%3"/>
      <w:numFmt w:val="decimal"/>
      <w:start w:val="1"/>
    </w:lvl>
  </w:abstractNum>
  <w:abstractNum w:abstractNumId="36">
    <w:nsid w:val="2A487CB0"/>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37">
    <w:nsid w:val="1D4ED43B"/>
    <w:multiLevelType w:val="hybridMultilevel"/>
    <w:lvl w:ilvl="0">
      <w:lvlJc w:val="left"/>
      <w:lvlText w:val="(%1)"/>
      <w:numFmt w:val="lowerLetter"/>
      <w:start w:val="1"/>
    </w:lvl>
    <w:lvl w:ilvl="1">
      <w:lvlJc w:val="left"/>
      <w:lvlText w:val="(%2)"/>
      <w:numFmt w:val="decimal"/>
      <w:start w:val="1"/>
    </w:lvl>
  </w:abstractNum>
  <w:abstractNum w:abstractNumId="38">
    <w:nsid w:val="725A06FB"/>
    <w:multiLevelType w:val="hybridMultilevel"/>
    <w:lvl w:ilvl="0">
      <w:lvlJc w:val="left"/>
      <w:lvlText w:val="%1"/>
      <w:numFmt w:val="lowerLetter"/>
      <w:start w:val="1"/>
    </w:lvl>
    <w:lvl w:ilvl="1">
      <w:lvlJc w:val="left"/>
      <w:lvlText w:val="(%2)"/>
      <w:numFmt w:val="decimal"/>
      <w:start w:val="2"/>
    </w:lvl>
  </w:abstractNum>
  <w:abstractNum w:abstractNumId="39">
    <w:nsid w:val="2CD89A32"/>
    <w:multiLevelType w:val="hybridMultilevel"/>
    <w:lvl w:ilvl="0">
      <w:lvlJc w:val="left"/>
      <w:lvlText w:val="(%1)"/>
      <w:numFmt w:val="lowerLetter"/>
      <w:start w:val="2"/>
    </w:lvl>
    <w:lvl w:ilvl="1">
      <w:lvlJc w:val="left"/>
      <w:lvlText w:val="(%2)"/>
      <w:numFmt w:val="decimal"/>
      <w:start w:val="1"/>
    </w:lvl>
  </w:abstractNum>
  <w:abstractNum w:abstractNumId="40">
    <w:nsid w:val="57E4CCAF"/>
    <w:multiLevelType w:val="hybridMultilevel"/>
    <w:lvl w:ilvl="0">
      <w:lvlJc w:val="left"/>
      <w:lvlText w:val="%1"/>
      <w:numFmt w:val="decimal"/>
      <w:start w:val="1"/>
    </w:lvl>
    <w:lvl w:ilvl="1">
      <w:lvlJc w:val="left"/>
      <w:lvlText w:val="(%2)"/>
      <w:numFmt w:val="lowerLetter"/>
      <w:start w:val="4"/>
    </w:lvl>
  </w:abstractNum>
  <w:abstractNum w:abstractNumId="41">
    <w:nsid w:val="7A6D8D3C"/>
    <w:multiLevelType w:val="hybridMultilevel"/>
    <w:lvl w:ilvl="0">
      <w:lvlJc w:val="left"/>
      <w:lvlText w:val="%1."/>
      <w:numFmt w:val="decimal"/>
      <w:start w:val="6"/>
    </w:lvl>
    <w:lvl w:ilvl="1">
      <w:lvlJc w:val="left"/>
      <w:lvlText w:val="(%2)"/>
      <w:numFmt w:val="lowerLetter"/>
      <w:start w:val="1"/>
    </w:lvl>
  </w:abstractNum>
  <w:abstractNum w:abstractNumId="42">
    <w:nsid w:val="4B588F5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3">
    <w:nsid w:val="542289EC"/>
    <w:multiLevelType w:val="hybridMultilevel"/>
    <w:lvl w:ilvl="0">
      <w:lvlJc w:val="left"/>
      <w:lvlText w:val="%1"/>
      <w:numFmt w:val="lowerLetter"/>
      <w:start w:val="1"/>
    </w:lvl>
    <w:lvl w:ilvl="1">
      <w:lvlJc w:val="left"/>
      <w:lvlText w:val="%2."/>
      <w:numFmt w:val="decimal"/>
      <w:start w:val="9"/>
    </w:lvl>
    <w:lvl w:ilvl="2">
      <w:lvlJc w:val="left"/>
      <w:lvlText w:val="(%3)"/>
      <w:numFmt w:val="lowerLetter"/>
      <w:start w:val="1"/>
    </w:lvl>
  </w:abstractNum>
  <w:abstractNum w:abstractNumId="44">
    <w:nsid w:val="6DE91B18"/>
    <w:multiLevelType w:val="hybridMultilevel"/>
    <w:lvl w:ilvl="0">
      <w:lvlJc w:val="left"/>
      <w:lvlText w:val="(%1)"/>
      <w:numFmt w:val="lowerLetter"/>
      <w:start w:val="9"/>
    </w:lvl>
    <w:lvl w:ilvl="1">
      <w:lvlJc w:val="left"/>
      <w:lvlText w:val="%2"/>
      <w:numFmt w:val="decimal"/>
      <w:start w:val="1"/>
    </w:lvl>
    <w:lvl w:ilvl="2">
      <w:lvlJc w:val="left"/>
      <w:lvlText w:val="(%3)"/>
      <w:numFmt w:val="lowerLetter"/>
      <w:start w:val="2"/>
    </w:lvl>
  </w:abstractNum>
  <w:abstractNum w:abstractNumId="45">
    <w:nsid w:val="38437FDB"/>
    <w:multiLevelType w:val="hybridMultilevel"/>
    <w:lvl w:ilvl="0">
      <w:lvlJc w:val="left"/>
      <w:lvlText w:val="(%1)"/>
      <w:numFmt w:val="lowerLetter"/>
      <w:start w:val="3"/>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lvl w:ilvl="1">
      <w:lvlJc w:val="left"/>
      <w:lvlText w:val="%2)"/>
      <w:numFmt w:val="lowerLetter"/>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2019-12-09T15:33:25Z</dcterms:created>
  <dcterms:modified xsi:type="dcterms:W3CDTF">2019-12-09T15:33:25Z</dcterms:modified>
</cp:coreProperties>
</file>