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8880"/>
        <w:spacing w:after="0"/>
        <w:rPr>
          <w:sz w:val="20"/>
          <w:szCs w:val="20"/>
          <w:color w:val="auto"/>
        </w:rPr>
      </w:pPr>
      <w:r>
        <w:rPr>
          <w:rFonts w:ascii="Arial" w:cs="Arial" w:eastAsia="Arial" w:hAnsi="Arial"/>
          <w:sz w:val="16"/>
          <w:szCs w:val="16"/>
          <w:b w:val="1"/>
          <w:bCs w:val="1"/>
          <w:color w:val="auto"/>
        </w:rPr>
        <w:t>Filed Pursuant to Rule 424(b)(2)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333-191239</w:t>
      </w:r>
    </w:p>
    <w:p>
      <w:pPr>
        <w:spacing w:after="0" w:line="144"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b w:val="1"/>
          <w:bCs w:val="1"/>
          <w:color w:val="CC062A"/>
        </w:rPr>
        <w:t>The information in this preliminary prospectus supplement is not complete and may be changed. This preliminary prospectus supplement and the accompanying prospectus are part of an effective registration statement filed with the Securities and Exchange Commission under the Securities Act of 1933. This preliminary prospectus supplement and the accompanying prospectus are neither offers to sell these securities nor solicitations of offers to buy these securities in any jurisdiction where such offer or sale is not permitted.</w:t>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CC062A"/>
        </w:rPr>
        <w:t>SUBJECT TO COMPLETION, DATED May 13, 2016</w:t>
      </w:r>
    </w:p>
    <w:p>
      <w:pPr>
        <w:spacing w:after="0" w:line="226" w:lineRule="auto"/>
        <w:rPr>
          <w:sz w:val="20"/>
          <w:szCs w:val="20"/>
          <w:color w:val="auto"/>
        </w:rPr>
      </w:pPr>
      <w:r>
        <w:rPr>
          <w:rFonts w:ascii="Arial" w:cs="Arial" w:eastAsia="Arial" w:hAnsi="Arial"/>
          <w:sz w:val="14"/>
          <w:szCs w:val="14"/>
          <w:b w:val="1"/>
          <w:bCs w:val="1"/>
          <w:u w:val="single" w:color="auto"/>
          <w:color w:val="auto"/>
        </w:rPr>
        <w:t>PROSPECTUS SUPPLEMENT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(To prospectus dated November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73660</wp:posOffset>
            </wp:positionV>
            <wp:extent cx="139763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tbl>
      <w:tblPr>
        <w:tblLayout w:type="fixed"/>
        <w:tblInd w:w="360" w:type="dxa"/>
        <w:tblCellMar>
          <w:top w:w="0" w:type="dxa"/>
          <w:left w:w="0" w:type="dxa"/>
          <w:bottom w:w="0" w:type="dxa"/>
          <w:right w:w="0" w:type="dxa"/>
        </w:tblCellMar>
      </w:tblPr>
      <w:tr>
        <w:trPr>
          <w:trHeight w:val="281"/>
        </w:trPr>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jc w:val="right"/>
              <w:ind w:right="390"/>
              <w:spacing w:after="0"/>
              <w:rPr>
                <w:sz w:val="20"/>
                <w:szCs w:val="20"/>
                <w:color w:val="auto"/>
              </w:rPr>
            </w:pPr>
            <w:r>
              <w:rPr>
                <w:rFonts w:ascii="Arial" w:cs="Arial" w:eastAsia="Arial" w:hAnsi="Arial"/>
                <w:sz w:val="22"/>
                <w:szCs w:val="22"/>
                <w:b w:val="1"/>
                <w:bCs w:val="1"/>
                <w:color w:val="auto"/>
              </w:rPr>
              <w:t>$</w:t>
            </w:r>
          </w:p>
        </w:tc>
        <w:tc>
          <w:tcPr>
            <w:tcW w:w="3000" w:type="dxa"/>
            <w:vAlign w:val="bottom"/>
            <w:gridSpan w:val="2"/>
          </w:tcPr>
          <w:p>
            <w:pPr>
              <w:ind w:left="1300"/>
              <w:spacing w:after="0"/>
              <w:rPr>
                <w:sz w:val="20"/>
                <w:szCs w:val="20"/>
                <w:color w:val="auto"/>
              </w:rPr>
            </w:pPr>
            <w:r>
              <w:rPr>
                <w:rFonts w:ascii="Arial" w:cs="Arial" w:eastAsia="Arial" w:hAnsi="Arial"/>
                <w:sz w:val="22"/>
                <w:szCs w:val="22"/>
                <w:b w:val="1"/>
                <w:bCs w:val="1"/>
                <w:color w:val="auto"/>
                <w:w w:val="89"/>
              </w:rPr>
              <w:t>% Notes due 2046</w:t>
            </w:r>
          </w:p>
        </w:tc>
        <w:tc>
          <w:tcPr>
            <w:tcW w:w="3480" w:type="dxa"/>
            <w:vAlign w:val="bottom"/>
          </w:tcPr>
          <w:p>
            <w:pPr>
              <w:spacing w:after="0"/>
              <w:rPr>
                <w:sz w:val="24"/>
                <w:szCs w:val="24"/>
                <w:color w:val="auto"/>
              </w:rPr>
            </w:pPr>
          </w:p>
        </w:tc>
      </w:tr>
      <w:tr>
        <w:trPr>
          <w:trHeight w:val="233"/>
        </w:trPr>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4"/>
                <w:szCs w:val="14"/>
                <w:color w:val="auto"/>
              </w:rPr>
              <w:t>We are offering U.S. $</w:t>
            </w:r>
          </w:p>
        </w:tc>
        <w:tc>
          <w:tcPr>
            <w:tcW w:w="740" w:type="dxa"/>
            <w:vAlign w:val="bottom"/>
          </w:tcPr>
          <w:p>
            <w:pPr>
              <w:ind w:left="380"/>
              <w:spacing w:after="0"/>
              <w:rPr>
                <w:sz w:val="20"/>
                <w:szCs w:val="20"/>
                <w:color w:val="auto"/>
              </w:rPr>
            </w:pPr>
            <w:r>
              <w:rPr>
                <w:rFonts w:ascii="Arial" w:cs="Arial" w:eastAsia="Arial" w:hAnsi="Arial"/>
                <w:sz w:val="14"/>
                <w:szCs w:val="14"/>
                <w:color w:val="auto"/>
              </w:rPr>
              <w:t>of</w:t>
            </w:r>
          </w:p>
        </w:tc>
        <w:tc>
          <w:tcPr>
            <w:tcW w:w="4760" w:type="dxa"/>
            <w:vAlign w:val="bottom"/>
            <w:gridSpan w:val="3"/>
          </w:tcPr>
          <w:p>
            <w:pPr>
              <w:ind w:left="240"/>
              <w:spacing w:after="0"/>
              <w:rPr>
                <w:sz w:val="20"/>
                <w:szCs w:val="20"/>
                <w:color w:val="auto"/>
              </w:rPr>
            </w:pPr>
            <w:r>
              <w:rPr>
                <w:rFonts w:ascii="Arial" w:cs="Arial" w:eastAsia="Arial" w:hAnsi="Arial"/>
                <w:sz w:val="14"/>
                <w:szCs w:val="14"/>
                <w:color w:val="auto"/>
              </w:rPr>
              <w:t>% notes due 2046 (the “notes”). The notes will bear interest at a rate of</w:t>
            </w:r>
          </w:p>
        </w:tc>
        <w:tc>
          <w:tcPr>
            <w:tcW w:w="3480" w:type="dxa"/>
            <w:vAlign w:val="bottom"/>
          </w:tcPr>
          <w:p>
            <w:pPr>
              <w:ind w:left="20"/>
              <w:spacing w:after="0"/>
              <w:rPr>
                <w:sz w:val="20"/>
                <w:szCs w:val="20"/>
                <w:color w:val="auto"/>
              </w:rPr>
            </w:pPr>
            <w:r>
              <w:rPr>
                <w:rFonts w:ascii="Arial" w:cs="Arial" w:eastAsia="Arial" w:hAnsi="Arial"/>
                <w:sz w:val="14"/>
                <w:szCs w:val="14"/>
                <w:color w:val="auto"/>
                <w:w w:val="92"/>
              </w:rPr>
              <w:t>% per year and will mature on August 1, 2046 unless earlier</w:t>
            </w:r>
          </w:p>
        </w:tc>
      </w:tr>
    </w:tbl>
    <w:p>
      <w:pPr>
        <w:spacing w:after="0"/>
        <w:rPr>
          <w:sz w:val="20"/>
          <w:szCs w:val="20"/>
          <w:color w:val="auto"/>
        </w:rPr>
      </w:pPr>
      <w:r>
        <w:rPr>
          <w:rFonts w:ascii="Arial" w:cs="Arial" w:eastAsia="Arial" w:hAnsi="Arial"/>
          <w:sz w:val="14"/>
          <w:szCs w:val="14"/>
          <w:color w:val="auto"/>
        </w:rPr>
        <w:t>redeemed. We will pay interest on the notes on February 1 and August 1 of each year, beginning on August 1, 2016 (short first coupon).</w:t>
      </w:r>
    </w:p>
    <w:p>
      <w:pPr>
        <w:spacing w:after="0" w:line="84" w:lineRule="exact"/>
        <w:rPr>
          <w:sz w:val="24"/>
          <w:szCs w:val="24"/>
          <w:color w:val="auto"/>
        </w:rPr>
      </w:pPr>
    </w:p>
    <w:p>
      <w:pPr>
        <w:ind w:right="20" w:firstLine="342"/>
        <w:spacing w:after="0" w:line="264" w:lineRule="auto"/>
        <w:rPr>
          <w:sz w:val="20"/>
          <w:szCs w:val="20"/>
          <w:color w:val="auto"/>
        </w:rPr>
      </w:pPr>
      <w:r>
        <w:rPr>
          <w:rFonts w:ascii="Arial" w:cs="Arial" w:eastAsia="Arial" w:hAnsi="Arial"/>
          <w:sz w:val="13"/>
          <w:szCs w:val="13"/>
          <w:color w:val="auto"/>
        </w:rPr>
        <w:t>We may redeem the notes, in whole but not in part, on each August 1 on or after August 1, 2019 at a redemption price equal to 100% of the principal amount of the notes being redeemed plus accrued and unpaid interest to, but not including, the redemption date. See “Description of Notes—Optional Redemption” on page S-9 of this prospectus supplement. In addition, we may redeem the notes, in whole but not in part, at any time at our option, in the event of certain developments affecting United States taxation. See “Description of Notes—Redemption for Tax Reasons.”</w:t>
      </w:r>
    </w:p>
    <w:p>
      <w:pPr>
        <w:spacing w:after="0" w:line="60" w:lineRule="exact"/>
        <w:rPr>
          <w:sz w:val="24"/>
          <w:szCs w:val="24"/>
          <w:color w:val="auto"/>
        </w:rPr>
      </w:pPr>
    </w:p>
    <w:p>
      <w:pPr>
        <w:ind w:right="240" w:firstLine="342"/>
        <w:spacing w:after="0" w:line="253" w:lineRule="auto"/>
        <w:rPr>
          <w:sz w:val="20"/>
          <w:szCs w:val="20"/>
          <w:color w:val="auto"/>
        </w:rPr>
      </w:pPr>
      <w:r>
        <w:rPr>
          <w:rFonts w:ascii="Arial" w:cs="Arial" w:eastAsia="Arial" w:hAnsi="Arial"/>
          <w:sz w:val="14"/>
          <w:szCs w:val="14"/>
          <w:color w:val="auto"/>
        </w:rPr>
        <w:t>The notes will be unsecured and will rank equally with all of our and the guarantors’ unsecured and unsubordinated indebtedness. The notes will be fully and unconditionally guaranteed by our wholly-owned subsidiaries named in this prospectus supplement and in the accompanying prospectus.</w:t>
      </w:r>
    </w:p>
    <w:p>
      <w:pPr>
        <w:spacing w:after="0" w:line="66"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There is no sinking fund for the notes. The notes will be issued in minimum denominations of U.S. $100,000 and multiples of U.S. $1,000 in excess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9" w:lineRule="exact"/>
        <w:rPr>
          <w:sz w:val="24"/>
          <w:szCs w:val="24"/>
          <w:color w:val="auto"/>
        </w:rPr>
      </w:pPr>
    </w:p>
    <w:p>
      <w:pPr>
        <w:jc w:val="both"/>
        <w:ind w:right="300" w:firstLine="45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these securities involves certain risks. See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S-5 of this prospectus supplement and “Item 1A— Risk Factors” beginning on page 25 of Comcast Corporation’s (“Comcast”) Annual Report on Form 10-K for the year ended December 31, 2015, which is incorporated by reference herein.</w:t>
      </w:r>
    </w:p>
    <w:p>
      <w:pPr>
        <w:spacing w:after="0" w:line="68" w:lineRule="exact"/>
        <w:rPr>
          <w:sz w:val="24"/>
          <w:szCs w:val="24"/>
          <w:color w:val="auto"/>
        </w:rPr>
      </w:pPr>
    </w:p>
    <w:p>
      <w:pPr>
        <w:ind w:right="360" w:firstLine="342"/>
        <w:spacing w:after="0" w:line="248" w:lineRule="auto"/>
        <w:rPr>
          <w:sz w:val="20"/>
          <w:szCs w:val="20"/>
          <w:color w:val="auto"/>
        </w:rPr>
      </w:pPr>
      <w:r>
        <w:rPr>
          <w:rFonts w:ascii="Arial" w:cs="Arial" w:eastAsia="Arial" w:hAnsi="Arial"/>
          <w:sz w:val="13"/>
          <w:szCs w:val="13"/>
          <w:color w:val="auto"/>
        </w:rPr>
        <w:t>Application will be made to the Taipei Exchange (the “TPEx”) for the listing of, and permission to deal in, the notes by way of debt issues only to “professional institutional investors” as defined under Paragraph 2 of Article 4 of the Financial Consumer Protection Act of the Republic of China (the “ROC”), and such permission is expected to become effective on or about</w:t>
      </w:r>
    </w:p>
    <w:p>
      <w:pPr>
        <w:ind w:right="160" w:firstLine="728"/>
        <w:spacing w:after="0" w:line="229" w:lineRule="auto"/>
        <w:tabs>
          <w:tab w:leader="none" w:pos="792"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TPEx is not responsible for the content of this prospectus supplement or the accompanying prospectus, and no representation is made by the TPEx as to the accuracy or completeness of this prospectus supplement or the accompanying prospectus. The TPEx expressly disclaims any and all liability for any losses arising from, or as a result of the reliance on, all or part of the contents of this prospectus supplement or the accompanying prospectus. Admission to the listing and trading of the notes on the TPEx shall not be taken as an indication of the merits of us or the notes. No assurance can be given that such application will be approved, or that the TPEx listing will be maintained.</w:t>
      </w:r>
    </w:p>
    <w:p>
      <w:pPr>
        <w:spacing w:after="0" w:line="76" w:lineRule="exact"/>
        <w:rPr>
          <w:sz w:val="24"/>
          <w:szCs w:val="24"/>
          <w:color w:val="auto"/>
        </w:rPr>
      </w:pPr>
    </w:p>
    <w:p>
      <w:pPr>
        <w:ind w:right="40" w:firstLine="342"/>
        <w:spacing w:after="0" w:line="228" w:lineRule="auto"/>
        <w:rPr>
          <w:sz w:val="20"/>
          <w:szCs w:val="20"/>
          <w:color w:val="auto"/>
        </w:rPr>
      </w:pPr>
      <w:r>
        <w:rPr>
          <w:rFonts w:ascii="Arial" w:cs="Arial" w:eastAsia="Arial" w:hAnsi="Arial"/>
          <w:sz w:val="14"/>
          <w:szCs w:val="14"/>
          <w:color w:val="auto"/>
        </w:rPr>
        <w:t>The notes have not been, and shall not be, offered, sold or re-sold, directly or indirectly, to investors other than “professional institutional investors” as defined under Paragraph 2 of Article 4 of the Financial Consumer Protection Act, which currently include: overseas or domestic (i) banks, securities firms, futures firms and insurance companies (excluding insurance agencies, insurance brokers and insurance notaries), the foregoing as further defined in more details in Paragraph 3 of Article 2 of the Organization Act of the Financial Supervisory Commission, (ii) fund management companies, government investment institutions, government funds, pension funds, mutual funds, unit trusts, and funds managed by financial service enterprises pursuant to the Securities Investment Trust and Consulting Act, the Future Trading Act or the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Price to Investors</w:t>
            </w:r>
          </w:p>
        </w:tc>
        <w:tc>
          <w:tcPr>
            <w:tcW w:w="128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91"/>
              </w:rPr>
              <w:t>Selling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868"/>
              <w:spacing w:after="0"/>
              <w:rPr>
                <w:sz w:val="20"/>
                <w:szCs w:val="20"/>
                <w:color w:val="auto"/>
              </w:rPr>
            </w:pPr>
            <w:r>
              <w:rPr>
                <w:rFonts w:ascii="Arial" w:cs="Arial" w:eastAsia="Arial" w:hAnsi="Arial"/>
                <w:sz w:val="14"/>
                <w:szCs w:val="14"/>
                <w:b w:val="1"/>
                <w:bCs w:val="1"/>
                <w:color w:val="auto"/>
                <w:w w:val="86"/>
              </w:rPr>
              <w:t>Proceeds to Us</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2420" w:type="dxa"/>
            <w:vAlign w:val="bottom"/>
            <w:gridSpan w:val="2"/>
            <w:vMerge w:val="restart"/>
          </w:tcPr>
          <w:p>
            <w:pPr>
              <w:ind w:left="660"/>
              <w:spacing w:after="0"/>
              <w:rPr>
                <w:sz w:val="20"/>
                <w:szCs w:val="20"/>
                <w:color w:val="auto"/>
              </w:rPr>
            </w:pPr>
            <w:r>
              <w:rPr>
                <w:rFonts w:ascii="Arial" w:cs="Arial" w:eastAsia="Arial" w:hAnsi="Arial"/>
                <w:sz w:val="14"/>
                <w:szCs w:val="14"/>
                <w:color w:val="auto"/>
              </w:rPr>
              <w:t>Per note due 2046</w:t>
            </w:r>
            <w:r>
              <w:rPr>
                <w:rFonts w:ascii="Arial" w:cs="Arial" w:eastAsia="Arial" w:hAnsi="Arial"/>
                <w:sz w:val="12"/>
                <w:szCs w:val="12"/>
                <w:color w:val="auto"/>
              </w:rPr>
              <w:t>(1)</w:t>
            </w:r>
          </w:p>
        </w:tc>
        <w:tc>
          <w:tcPr>
            <w:tcW w:w="296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8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90"/>
              </w:rPr>
              <w:t>Discount</w:t>
            </w:r>
          </w:p>
        </w:tc>
        <w:tc>
          <w:tcPr>
            <w:tcW w:w="36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Before Expenses</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296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20" w:type="dxa"/>
            <w:vAlign w:val="bottom"/>
          </w:tcPr>
          <w:p>
            <w:pPr>
              <w:jc w:val="right"/>
              <w:ind w:right="628"/>
              <w:spacing w:after="0" w:line="123"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tcBorders>
          </w:tcPr>
          <w:p>
            <w:pPr>
              <w:spacing w:after="0"/>
              <w:rPr>
                <w:sz w:val="10"/>
                <w:szCs w:val="10"/>
                <w:color w:val="auto"/>
              </w:rPr>
            </w:pPr>
          </w:p>
        </w:tc>
        <w:tc>
          <w:tcPr>
            <w:tcW w:w="460" w:type="dxa"/>
            <w:vAlign w:val="bottom"/>
          </w:tcPr>
          <w:p>
            <w:pPr>
              <w:jc w:val="right"/>
              <w:ind w:right="268"/>
              <w:spacing w:after="0" w:line="123" w:lineRule="exact"/>
              <w:rPr>
                <w:sz w:val="20"/>
                <w:szCs w:val="20"/>
                <w:color w:val="auto"/>
              </w:rPr>
            </w:pPr>
            <w:r>
              <w:rPr>
                <w:rFonts w:ascii="Arial" w:cs="Arial" w:eastAsia="Arial" w:hAnsi="Arial"/>
                <w:sz w:val="14"/>
                <w:szCs w:val="14"/>
                <w:color w:val="auto"/>
                <w:w w:val="79"/>
              </w:rPr>
              <w:t>%</w:t>
            </w: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0" w:type="dxa"/>
            <w:vAlign w:val="bottom"/>
          </w:tcPr>
          <w:p>
            <w:pPr>
              <w:jc w:val="right"/>
              <w:ind w:right="608"/>
              <w:spacing w:after="0" w:line="123"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420" w:type="dxa"/>
            <w:vAlign w:val="bottom"/>
            <w:gridSpan w:val="2"/>
          </w:tcPr>
          <w:p>
            <w:pPr>
              <w:ind w:left="660"/>
              <w:spacing w:after="0"/>
              <w:rPr>
                <w:sz w:val="20"/>
                <w:szCs w:val="20"/>
                <w:color w:val="auto"/>
              </w:rPr>
            </w:pPr>
            <w:r>
              <w:rPr>
                <w:rFonts w:ascii="Arial" w:cs="Arial" w:eastAsia="Arial" w:hAnsi="Arial"/>
                <w:sz w:val="14"/>
                <w:szCs w:val="14"/>
                <w:color w:val="auto"/>
              </w:rPr>
              <w:t>Total</w:t>
            </w:r>
          </w:p>
        </w:tc>
        <w:tc>
          <w:tcPr>
            <w:tcW w:w="4040" w:type="dxa"/>
            <w:vAlign w:val="bottom"/>
            <w:gridSpan w:val="2"/>
          </w:tcPr>
          <w:p>
            <w:pPr>
              <w:ind w:left="29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tcPr>
          <w:p>
            <w:pPr>
              <w:spacing w:after="0"/>
              <w:rPr>
                <w:sz w:val="15"/>
                <w:szCs w:val="15"/>
                <w:color w:val="auto"/>
              </w:rPr>
            </w:pPr>
          </w:p>
        </w:tc>
        <w:tc>
          <w:tcPr>
            <w:tcW w:w="4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4860" w:type="dxa"/>
            <w:vAlign w:val="bottom"/>
            <w:gridSpan w:val="3"/>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60" w:type="dxa"/>
            <w:vAlign w:val="bottom"/>
          </w:tcPr>
          <w:p>
            <w:pPr>
              <w:jc w:val="right"/>
              <w:ind w:right="8"/>
              <w:spacing w:after="0" w:line="151" w:lineRule="exact"/>
              <w:rPr>
                <w:sz w:val="20"/>
                <w:szCs w:val="20"/>
                <w:color w:val="auto"/>
              </w:rPr>
            </w:pPr>
            <w:r>
              <w:rPr>
                <w:rFonts w:ascii="Arial" w:cs="Arial" w:eastAsia="Arial" w:hAnsi="Arial"/>
                <w:sz w:val="14"/>
                <w:szCs w:val="14"/>
                <w:color w:val="auto"/>
                <w:w w:val="93"/>
              </w:rPr>
              <w:t>(1)</w:t>
            </w:r>
          </w:p>
        </w:tc>
        <w:tc>
          <w:tcPr>
            <w:tcW w:w="2420" w:type="dxa"/>
            <w:vAlign w:val="bottom"/>
            <w:gridSpan w:val="2"/>
          </w:tcPr>
          <w:p>
            <w:pPr>
              <w:ind w:left="80"/>
              <w:spacing w:after="0" w:line="151" w:lineRule="exact"/>
              <w:rPr>
                <w:sz w:val="20"/>
                <w:szCs w:val="20"/>
                <w:color w:val="auto"/>
              </w:rPr>
            </w:pPr>
            <w:r>
              <w:rPr>
                <w:rFonts w:ascii="Arial" w:cs="Arial" w:eastAsia="Arial" w:hAnsi="Arial"/>
                <w:sz w:val="14"/>
                <w:szCs w:val="14"/>
                <w:color w:val="auto"/>
                <w:w w:val="97"/>
              </w:rPr>
              <w:t>Plus accrued interest, if any, from May</w:t>
            </w:r>
          </w:p>
        </w:tc>
        <w:tc>
          <w:tcPr>
            <w:tcW w:w="4860" w:type="dxa"/>
            <w:vAlign w:val="bottom"/>
            <w:gridSpan w:val="3"/>
          </w:tcPr>
          <w:p>
            <w:pPr>
              <w:ind w:left="80"/>
              <w:spacing w:after="0" w:line="151" w:lineRule="exact"/>
              <w:rPr>
                <w:sz w:val="20"/>
                <w:szCs w:val="20"/>
                <w:color w:val="auto"/>
              </w:rPr>
            </w:pPr>
            <w:r>
              <w:rPr>
                <w:rFonts w:ascii="Arial" w:cs="Arial" w:eastAsia="Arial" w:hAnsi="Arial"/>
                <w:sz w:val="14"/>
                <w:szCs w:val="14"/>
                <w:color w:val="auto"/>
              </w:rPr>
              <w:t>, 2016, if settlement occurs after that date.</w:t>
            </w: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(2)</w:t>
            </w:r>
          </w:p>
        </w:tc>
        <w:tc>
          <w:tcPr>
            <w:tcW w:w="9040" w:type="dxa"/>
            <w:vAlign w:val="bottom"/>
            <w:gridSpan w:val="9"/>
          </w:tcPr>
          <w:p>
            <w:pPr>
              <w:ind w:left="80"/>
              <w:spacing w:after="0"/>
              <w:rPr>
                <w:sz w:val="20"/>
                <w:szCs w:val="20"/>
                <w:color w:val="auto"/>
              </w:rPr>
            </w:pPr>
            <w:r>
              <w:rPr>
                <w:rFonts w:ascii="Arial" w:cs="Arial" w:eastAsia="Arial" w:hAnsi="Arial"/>
                <w:sz w:val="14"/>
                <w:szCs w:val="14"/>
                <w:color w:val="auto"/>
                <w:w w:val="92"/>
              </w:rPr>
              <w:t>The net proceeds to us reflect the initial price to investors set forth above as reduced by (a) the selling discount set forth above and (b) an aggregate fee of $</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that we will pay to</w:t>
            </w:r>
          </w:p>
        </w:tc>
        <w:tc>
          <w:tcPr>
            <w:tcW w:w="0" w:type="dxa"/>
            <w:vAlign w:val="bottom"/>
          </w:tcPr>
          <w:p>
            <w:pPr>
              <w:spacing w:after="0"/>
              <w:rPr>
                <w:sz w:val="1"/>
                <w:szCs w:val="1"/>
                <w:color w:val="auto"/>
              </w:rPr>
            </w:pPr>
          </w:p>
        </w:tc>
      </w:tr>
    </w:tbl>
    <w:p>
      <w:pPr>
        <w:ind w:left="340" w:right="60"/>
        <w:spacing w:after="0" w:line="229" w:lineRule="auto"/>
        <w:rPr>
          <w:sz w:val="20"/>
          <w:szCs w:val="20"/>
          <w:color w:val="auto"/>
        </w:rPr>
      </w:pPr>
      <w:r>
        <w:rPr>
          <w:rFonts w:ascii="Arial" w:cs="Arial" w:eastAsia="Arial" w:hAnsi="Arial"/>
          <w:sz w:val="14"/>
          <w:szCs w:val="14"/>
          <w:color w:val="auto"/>
        </w:rPr>
        <w:t>Morgan Stanley &amp; Co. LLC, Deutsche Bank AG, Taipei Branch, Mizuho Securities USA Inc. and TD Securities (USA) LLC (each a “structuring agent” and together, the “structuring agents”) in connection with structuring services that they provided in connection with the notes. Morgan Stanley &amp; Co. LLC and Deutsche Bank AG, Taipei Branch have agreed to reimburse us for certain of our expenses. Each structuring agent, other than Deutsche Bank AG, Taipei Branch, is an entity not licensed in the ROC, has not offered or sold, and will not subscribe for or sell or underwrite, any notes offered hereby. See “Selling.”</w:t>
      </w:r>
    </w:p>
    <w:p>
      <w:pPr>
        <w:spacing w:after="0" w:line="72" w:lineRule="exact"/>
        <w:rPr>
          <w:sz w:val="24"/>
          <w:szCs w:val="24"/>
          <w:color w:val="auto"/>
        </w:rPr>
      </w:pPr>
    </w:p>
    <w:p>
      <w:pPr>
        <w:ind w:right="160" w:firstLine="342"/>
        <w:spacing w:after="0" w:line="25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2" w:lineRule="exact"/>
        <w:rPr>
          <w:sz w:val="24"/>
          <w:szCs w:val="24"/>
          <w:color w:val="auto"/>
        </w:rPr>
      </w:pPr>
    </w:p>
    <w:p>
      <w:pPr>
        <w:ind w:left="360"/>
        <w:spacing w:after="0"/>
        <w:rPr>
          <w:sz w:val="20"/>
          <w:szCs w:val="20"/>
          <w:color w:val="auto"/>
        </w:rPr>
      </w:pPr>
      <w:r>
        <w:rPr>
          <w:rFonts w:ascii="Arial" w:cs="Arial" w:eastAsia="Arial" w:hAnsi="Arial"/>
          <w:sz w:val="13"/>
          <w:szCs w:val="13"/>
          <w:color w:val="auto"/>
        </w:rPr>
        <w:t>The manager expects to deliver the notes to investors in book-entry delivery only form through the facilities of Clearstream Banking, société anonyme (“Clearstream”) and Euroclear Bank</w:t>
      </w:r>
    </w:p>
    <w:p>
      <w:pPr>
        <w:spacing w:after="0" w:line="11" w:lineRule="exact"/>
        <w:rPr>
          <w:sz w:val="24"/>
          <w:szCs w:val="24"/>
          <w:color w:val="auto"/>
        </w:rPr>
      </w:pPr>
    </w:p>
    <w:p>
      <w:pPr>
        <w:spacing w:after="0"/>
        <w:tabs>
          <w:tab w:leader="none" w:pos="4800" w:val="left"/>
        </w:tabs>
        <w:rPr>
          <w:sz w:val="20"/>
          <w:szCs w:val="20"/>
          <w:color w:val="auto"/>
        </w:rPr>
      </w:pPr>
      <w:r>
        <w:rPr>
          <w:rFonts w:ascii="Arial" w:cs="Arial" w:eastAsia="Arial" w:hAnsi="Arial"/>
          <w:sz w:val="14"/>
          <w:szCs w:val="14"/>
          <w:color w:val="auto"/>
        </w:rPr>
        <w:t>S.A./N.V. as operator of the Euroclear System (“Euroclear”), on or about May</w:t>
      </w:r>
      <w:r>
        <w:rPr>
          <w:sz w:val="20"/>
          <w:szCs w:val="20"/>
          <w:color w:val="auto"/>
        </w:rPr>
        <w:tab/>
      </w:r>
      <w:r>
        <w:rPr>
          <w:rFonts w:ascii="Arial" w:cs="Arial" w:eastAsia="Arial" w:hAnsi="Arial"/>
          <w:sz w:val="13"/>
          <w:szCs w:val="13"/>
          <w:color w:val="auto"/>
        </w:rPr>
        <w:t>, 2016, which is the ninth business day following the date of this prospectus supplement. See “Selling.”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142240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Book-Running Manager</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Deutsche Bank AG, Taipei Branch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163195</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6"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4"/>
          <w:szCs w:val="14"/>
          <w:b w:val="1"/>
          <w:bCs w:val="1"/>
          <w:color w:val="auto"/>
        </w:rPr>
        <w:t>The date of this prospectus supplement is May</w:t>
      </w:r>
      <w:r>
        <w:rPr>
          <w:sz w:val="20"/>
          <w:szCs w:val="20"/>
          <w:color w:val="auto"/>
        </w:rPr>
        <w:tab/>
      </w:r>
      <w:r>
        <w:rPr>
          <w:rFonts w:ascii="Arial" w:cs="Arial" w:eastAsia="Arial" w:hAnsi="Arial"/>
          <w:sz w:val="12"/>
          <w:szCs w:val="12"/>
          <w:b w:val="1"/>
          <w:bCs w:val="1"/>
          <w:color w:val="auto"/>
        </w:rPr>
        <w:t>, 2016.</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0" w:type="dxa"/>
            <w:vAlign w:val="bottom"/>
            <w:gridSpan w:val="5"/>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0" w:type="dxa"/>
            <w:vAlign w:val="bottom"/>
            <w:gridSpan w:val="5"/>
          </w:tcPr>
          <w:p>
            <w:pPr>
              <w:jc w:val="center"/>
              <w:ind w:right="4000"/>
              <w:spacing w:after="0"/>
              <w:rPr>
                <w:sz w:val="20"/>
                <w:szCs w:val="20"/>
                <w:color w:val="auto"/>
              </w:rPr>
            </w:pPr>
            <w:r>
              <w:rPr>
                <w:rFonts w:ascii="Arial" w:cs="Arial" w:eastAsia="Arial" w:hAnsi="Arial"/>
                <w:sz w:val="18"/>
                <w:szCs w:val="18"/>
                <w:b w:val="1"/>
                <w:bCs w:val="1"/>
                <w:color w:val="auto"/>
                <w:w w:val="87"/>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80" w:type="dxa"/>
            <w:vAlign w:val="bottom"/>
            <w:gridSpan w:val="15"/>
            <w:vMerge w:val="restart"/>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Where You Can Find More Information</w:t>
              </w:r>
            </w:hyperlink>
          </w:p>
        </w:tc>
        <w:tc>
          <w:tcPr>
            <w:tcW w:w="8040" w:type="dxa"/>
            <w:vAlign w:val="bottom"/>
            <w:gridSpan w:val="8"/>
            <w:vMerge w:val="restart"/>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0000EE"/>
            </w:tcBorders>
            <w:gridSpan w:val="15"/>
            <w:vMerge w:val="continue"/>
          </w:tcPr>
          <w:p>
            <w:pPr>
              <w:spacing w:after="0"/>
              <w:rPr>
                <w:sz w:val="13"/>
                <w:szCs w:val="13"/>
                <w:color w:val="auto"/>
              </w:rPr>
            </w:pPr>
          </w:p>
        </w:tc>
        <w:tc>
          <w:tcPr>
            <w:tcW w:w="8040" w:type="dxa"/>
            <w:vAlign w:val="bottom"/>
            <w:gridSpan w:val="8"/>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Information Incorporated by Reference</w:t>
              </w:r>
            </w:hyperlink>
          </w:p>
        </w:tc>
        <w:tc>
          <w:tcPr>
            <w:tcW w:w="8080" w:type="dxa"/>
            <w:vAlign w:val="bottom"/>
            <w:gridSpan w:val="9"/>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848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1000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Use of Proceeds</w:t>
              </w:r>
            </w:hyperlink>
          </w:p>
        </w:tc>
        <w:tc>
          <w:tcPr>
            <w:tcW w:w="974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Ratios of Earnings to Fixed Charges and of Earnings to Combined Fixed Charges and Preferred</w:t>
              </w:r>
            </w:hyperlink>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Dividends</w:t>
              </w:r>
            </w:hyperlink>
          </w:p>
        </w:tc>
        <w:tc>
          <w:tcPr>
            <w:tcW w:w="40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Notes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Material U.S. Federal Income Tax Consequences for Non-U.S. Holders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ROC Taxation</w:t>
              </w:r>
            </w:hyperlink>
          </w:p>
        </w:tc>
        <w:tc>
          <w:tcPr>
            <w:tcW w:w="4080" w:type="dxa"/>
            <w:vAlign w:val="bottom"/>
            <w:tcBorders>
              <w:top w:val="single" w:sz="8" w:color="0000EE"/>
            </w:tcBorders>
            <w:gridSpan w:val="13"/>
          </w:tcPr>
          <w:p>
            <w:pPr>
              <w:spacing w:after="0"/>
              <w:rPr>
                <w:sz w:val="17"/>
                <w:szCs w:val="17"/>
                <w:color w:val="auto"/>
              </w:rPr>
            </w:pPr>
          </w:p>
        </w:tc>
        <w:tc>
          <w:tcPr>
            <w:tcW w:w="578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Selling</w:t>
              </w:r>
            </w:hyperlink>
          </w:p>
        </w:tc>
        <w:tc>
          <w:tcPr>
            <w:tcW w:w="10400" w:type="dxa"/>
            <w:vAlign w:val="bottom"/>
            <w:gridSpan w:val="2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Legal Matters</w:t>
              </w:r>
            </w:hyperlink>
          </w:p>
        </w:tc>
        <w:tc>
          <w:tcPr>
            <w:tcW w:w="9900" w:type="dxa"/>
            <w:vAlign w:val="bottom"/>
            <w:gridSpan w:val="1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S-25</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80" w:type="dxa"/>
            <w:vAlign w:val="bottom"/>
            <w:gridSpan w:val="4"/>
          </w:tcPr>
          <w:p>
            <w:pPr>
              <w:jc w:val="center"/>
              <w:ind w:right="4620"/>
              <w:spacing w:after="0"/>
              <w:rPr>
                <w:sz w:val="20"/>
                <w:szCs w:val="20"/>
                <w:color w:val="auto"/>
              </w:rPr>
            </w:pPr>
            <w:r>
              <w:rPr>
                <w:rFonts w:ascii="Arial" w:cs="Arial" w:eastAsia="Arial" w:hAnsi="Arial"/>
                <w:sz w:val="18"/>
                <w:szCs w:val="18"/>
                <w:b w:val="1"/>
                <w:bCs w:val="1"/>
                <w:color w:val="auto"/>
                <w:w w:val="85"/>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92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The Companies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Caution Concerning Forward-Looking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Use of Proceeds</w:t>
              </w:r>
            </w:hyperlink>
          </w:p>
        </w:tc>
        <w:tc>
          <w:tcPr>
            <w:tcW w:w="2440" w:type="dxa"/>
            <w:vAlign w:val="bottom"/>
            <w:tcBorders>
              <w:top w:val="single" w:sz="8" w:color="0000EE"/>
            </w:tcBorders>
            <w:gridSpan w:val="9"/>
          </w:tcPr>
          <w:p>
            <w:pPr>
              <w:spacing w:after="0"/>
              <w:rPr>
                <w:sz w:val="17"/>
                <w:szCs w:val="17"/>
                <w:color w:val="auto"/>
              </w:rPr>
            </w:pPr>
          </w:p>
        </w:tc>
        <w:tc>
          <w:tcPr>
            <w:tcW w:w="730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Dividend Policy</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Ratios of Earnings to Fixed Charges and of Earnings to Combined Fixed Charges and Preferred Dividends</w:t>
              </w:r>
            </w:hyperlink>
          </w:p>
        </w:tc>
        <w:tc>
          <w:tcPr>
            <w:tcW w:w="3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Debt Securities and Guarantees</w:t>
              </w:r>
            </w:hyperlink>
          </w:p>
        </w:tc>
        <w:tc>
          <w:tcPr>
            <w:tcW w:w="75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Global Securities</w:t>
              </w:r>
            </w:hyperlink>
          </w:p>
        </w:tc>
        <w:tc>
          <w:tcPr>
            <w:tcW w:w="966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Capital Stock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Plan of Distribution</w:t>
              </w:r>
            </w:hyperlink>
          </w:p>
        </w:tc>
        <w:tc>
          <w:tcPr>
            <w:tcW w:w="560" w:type="dxa"/>
            <w:vAlign w:val="bottom"/>
            <w:tcBorders>
              <w:top w:val="single" w:sz="8" w:color="0000EE"/>
            </w:tcBorders>
            <w:gridSpan w:val="2"/>
          </w:tcPr>
          <w:p>
            <w:pPr>
              <w:spacing w:after="0"/>
              <w:rPr>
                <w:sz w:val="17"/>
                <w:szCs w:val="17"/>
                <w:color w:val="auto"/>
              </w:rPr>
            </w:pPr>
          </w:p>
        </w:tc>
        <w:tc>
          <w:tcPr>
            <w:tcW w:w="88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Legal Matters</w:t>
              </w:r>
            </w:hyperlink>
          </w:p>
        </w:tc>
        <w:tc>
          <w:tcPr>
            <w:tcW w:w="990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Experts</w:t>
              </w:r>
            </w:hyperlink>
          </w:p>
        </w:tc>
        <w:tc>
          <w:tcPr>
            <w:tcW w:w="1036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Available Information</w:t>
              </w:r>
            </w:hyperlink>
          </w:p>
        </w:tc>
        <w:tc>
          <w:tcPr>
            <w:tcW w:w="932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Incorporation of Certain Documents by Reference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not, and the manager has not, authorized anyone to provide you any information other than that contained or incorporated by reference in this prospectus supplement, the accompanying prospectus or in any free writing prospectus prepared by or on behalf of us or to which we have referred you. Neither we nor the manager take any responsibility for, or can provide any assurance as to the reliability of, any other information that others may give you. If information in this prospectus supplement is inconsistent with the accompanying prospectus, you should rely on this prospectus supplement. We are not, and the manager is not, making an offer of these securities in any jurisdiction where the offer or sale is not permitted. You should not assume that the information provided in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w:t>
      </w:r>
    </w:p>
    <w:p>
      <w:pPr>
        <w:spacing w:after="0" w:line="179"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References herein to “U.S. $”, “$” and “dollars” are to the currency of the United States. The financial information presented in this prospectus supplement and the accompanying prospectus has been prepared in accordance with Generally Accepted Accounting Principles in the United States.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proxy statements and information statements and amendments to reports filed or furnished pursuant to the Securities Exchange Act of 1934, as amended (the “Exchange Act”), with the Securities and Exchange Commission (the “SEC”). You may read and copy any materials we file at the SEC’s Public Reference Room at 100 F Street, N.E., Washington, D.C. 20549. Please call the SEC at 1-888-SEC-0330 for further information about the Public Reference Room. The SEC also maintains an internet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periodic and current reports, proxy and information statements, and other information regarding registrants that file electronically with the SEC.</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supplement is part of a registration statement that we filed with the SEC, using a “shelf” registration process under the Securities Act of 1933, as amended (the “Securities Act”), relating to the securities to be offered. This prospectus supplement does not contain all of the information set forth in the registration statement, certain parts of which are omitted in accordance with the rules and regulations of the SEC. For further information with respect to Comcast and the notes offered by this prospectus supplement, reference is hereby made to the registration statement. The registration statement, including the exhibits thereto, may be inspected at the Public Reference Room maintained by the SEC at the address set forth above or may be obtained at the SEC’s website set forth above. Statements contained herein concerning any document filed as an exhibit are not necessarily complete, and, in each instance, reference is made to the copy of such document filed as an exhibit to the registration statement. Each such statement is qualified in its entirety by such reference.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7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and NBCUniversal’s combined Annual Report on Form 10-K for the year ended December 31, 2015, filed on February 5, 2016.</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and NBCUniversal’s combined Quarterly Reports on Form 10-Q for the quarter ended March 31, 2016, filed on April 27, 2016.</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Current Reports on Form 8-K and amendments thereto filed on February 17, 2016, February 23, 2016 and March 30, 2016.</w:t>
      </w:r>
    </w:p>
    <w:p>
      <w:pPr>
        <w:spacing w:after="0" w:line="142"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3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653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83" w:lineRule="exact"/>
        <w:rPr>
          <w:sz w:val="20"/>
          <w:szCs w:val="20"/>
          <w:color w:val="auto"/>
        </w:rPr>
      </w:pPr>
    </w:p>
    <w:p>
      <w:pPr>
        <w:ind w:left="1060" w:right="240" w:hanging="431"/>
        <w:spacing w:after="0" w:line="26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 customers and sell advertising.</w:t>
      </w:r>
    </w:p>
    <w:p>
      <w:pPr>
        <w:spacing w:after="0" w:line="81" w:lineRule="exact"/>
        <w:rPr>
          <w:rFonts w:ascii="Arial" w:cs="Arial" w:eastAsia="Arial" w:hAnsi="Arial"/>
          <w:sz w:val="18"/>
          <w:szCs w:val="18"/>
          <w:color w:val="auto"/>
        </w:rPr>
      </w:pPr>
    </w:p>
    <w:p>
      <w:pPr>
        <w:ind w:left="1060" w:right="2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studio production operations.</w:t>
      </w:r>
    </w:p>
    <w:p>
      <w:pPr>
        <w:spacing w:after="0" w:line="67" w:lineRule="exact"/>
        <w:rPr>
          <w:rFonts w:ascii="Arial" w:cs="Arial" w:eastAsia="Arial" w:hAnsi="Arial"/>
          <w:sz w:val="18"/>
          <w:szCs w:val="18"/>
          <w:color w:val="auto"/>
        </w:rPr>
      </w:pPr>
    </w:p>
    <w:p>
      <w:pPr>
        <w:ind w:left="1060" w:right="44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studio production operations.</w:t>
      </w:r>
    </w:p>
    <w:p>
      <w:pPr>
        <w:spacing w:after="0" w:line="67" w:lineRule="exact"/>
        <w:rPr>
          <w:rFonts w:ascii="Arial" w:cs="Arial" w:eastAsia="Arial" w:hAnsi="Arial"/>
          <w:sz w:val="18"/>
          <w:szCs w:val="18"/>
          <w:color w:val="auto"/>
        </w:rPr>
      </w:pPr>
    </w:p>
    <w:p>
      <w:pPr>
        <w:ind w:left="1060" w:right="4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67" w:lineRule="exact"/>
        <w:rPr>
          <w:rFonts w:ascii="Arial" w:cs="Arial" w:eastAsia="Arial" w:hAnsi="Arial"/>
          <w:sz w:val="18"/>
          <w:szCs w:val="18"/>
          <w:color w:val="auto"/>
        </w:rPr>
      </w:pPr>
    </w:p>
    <w:p>
      <w:pPr>
        <w:ind w:left="1060" w:right="70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 In November 2015,</w:t>
      </w:r>
      <w:r>
        <w:rPr>
          <w:rFonts w:ascii="Arial" w:cs="Arial" w:eastAsia="Arial" w:hAnsi="Arial"/>
          <w:sz w:val="18"/>
          <w:szCs w:val="18"/>
          <w:b w:val="1"/>
          <w:bCs w:val="1"/>
          <w:color w:val="auto"/>
        </w:rPr>
        <w:t xml:space="preserve"> </w:t>
      </w:r>
      <w:r>
        <w:rPr>
          <w:rFonts w:ascii="Arial" w:cs="Arial" w:eastAsia="Arial" w:hAnsi="Arial"/>
          <w:sz w:val="18"/>
          <w:szCs w:val="18"/>
          <w:color w:val="auto"/>
        </w:rPr>
        <w:t>NBCUniversal acquired a 51% interest in the Universal Studios theme park located in Osaka, Japan.</w:t>
      </w:r>
    </w:p>
    <w:p>
      <w:pPr>
        <w:spacing w:after="0" w:line="166"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70"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During the three months ended March 31, 2016, our Cable Communications segment generated 65% of our consolidated revenue and 77% of our operating income before depreciation and amortization.</w:t>
      </w:r>
    </w:p>
    <w:p>
      <w:pPr>
        <w:spacing w:after="0" w:line="170" w:lineRule="exact"/>
        <w:rPr>
          <w:sz w:val="20"/>
          <w:szCs w:val="20"/>
          <w:color w:val="auto"/>
        </w:rPr>
      </w:pPr>
    </w:p>
    <w:p>
      <w:pPr>
        <w:ind w:left="200" w:right="520" w:firstLine="443"/>
        <w:spacing w:after="0" w:line="286" w:lineRule="auto"/>
        <w:rPr>
          <w:sz w:val="20"/>
          <w:szCs w:val="20"/>
          <w:color w:val="auto"/>
        </w:rPr>
      </w:pPr>
      <w:r>
        <w:rPr>
          <w:rFonts w:ascii="Arial" w:cs="Arial" w:eastAsia="Arial" w:hAnsi="Arial"/>
          <w:sz w:val="17"/>
          <w:szCs w:val="17"/>
          <w:color w:val="auto"/>
        </w:rPr>
        <w:t>On April 28, 2016, we entered into an agreement to acquire the outstanding stock of DreamWorks Animation SKG, Inc., a global family entertainment company, for $41 per share in cash or approximately $3.8 billion. The acquisition is expected to close by the end of 2016, subject to antitrust approvals in the U.S. and abroad, as well as the satisfaction of other customary closing conditions.</w:t>
      </w:r>
    </w:p>
    <w:p>
      <w:pPr>
        <w:spacing w:after="0" w:line="166"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200" w:right="200" w:hanging="3"/>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53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2053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480"/>
        <w:spacing w:after="0" w:line="264" w:lineRule="auto"/>
        <w:rPr>
          <w:sz w:val="20"/>
          <w:szCs w:val="20"/>
          <w:color w:val="auto"/>
        </w:rPr>
      </w:pPr>
      <w:r>
        <w:rPr>
          <w:rFonts w:ascii="Arial" w:cs="Arial" w:eastAsia="Arial" w:hAnsi="Arial"/>
          <w:sz w:val="18"/>
          <w:szCs w:val="18"/>
          <w:color w:val="auto"/>
        </w:rPr>
        <w:t>Communications”) and NBCUniversal. In this prospectus supplement, we refer to these guarantors as the guarantors and to these guarantees as the guarantees. Effective October 1, 2015, three former guarantors, Comcast Cable Holdings, LLC, Comcast MO of Delaware, LLC and Comcast MO Group, LLC, merged with and into Comcast Cable Communications.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06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237" w:lineRule="exact"/>
        <w:rPr>
          <w:sz w:val="20"/>
          <w:szCs w:val="20"/>
          <w:color w:val="auto"/>
        </w:rPr>
      </w:pPr>
    </w:p>
    <w:p>
      <w:pPr>
        <w:ind w:left="200" w:right="280" w:firstLine="443"/>
        <w:spacing w:after="0" w:line="277"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7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37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500" w:type="dxa"/>
            <w:vAlign w:val="bottom"/>
          </w:tcPr>
          <w:p>
            <w:pPr>
              <w:ind w:left="160"/>
              <w:spacing w:after="0"/>
              <w:rPr>
                <w:sz w:val="20"/>
                <w:szCs w:val="20"/>
                <w:color w:val="auto"/>
              </w:rPr>
            </w:pPr>
            <w:r>
              <w:rPr>
                <w:rFonts w:ascii="Arial" w:cs="Arial" w:eastAsia="Arial" w:hAnsi="Arial"/>
                <w:sz w:val="18"/>
                <w:szCs w:val="18"/>
                <w:b w:val="1"/>
                <w:bCs w:val="1"/>
                <w:color w:val="auto"/>
              </w:rPr>
              <w:t>The Offering</w:t>
            </w:r>
          </w:p>
        </w:tc>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59"/>
        </w:trPr>
        <w:tc>
          <w:tcPr>
            <w:tcW w:w="2980" w:type="dxa"/>
            <w:vAlign w:val="bottom"/>
          </w:tcPr>
          <w:p>
            <w:pPr>
              <w:spacing w:after="0"/>
              <w:rPr>
                <w:sz w:val="20"/>
                <w:szCs w:val="20"/>
                <w:color w:val="auto"/>
              </w:rPr>
            </w:pPr>
            <w:r>
              <w:rPr>
                <w:rFonts w:ascii="Arial" w:cs="Arial" w:eastAsia="Arial" w:hAnsi="Arial"/>
                <w:sz w:val="18"/>
                <w:szCs w:val="18"/>
                <w:color w:val="auto"/>
              </w:rPr>
              <w:t>Issuer</w:t>
            </w:r>
          </w:p>
        </w:tc>
        <w:tc>
          <w:tcPr>
            <w:tcW w:w="4380" w:type="dxa"/>
            <w:vAlign w:val="bottom"/>
            <w:gridSpan w:val="2"/>
          </w:tcPr>
          <w:p>
            <w:pPr>
              <w:ind w:left="880"/>
              <w:spacing w:after="0"/>
              <w:rPr>
                <w:sz w:val="20"/>
                <w:szCs w:val="20"/>
                <w:color w:val="auto"/>
              </w:rPr>
            </w:pPr>
            <w:r>
              <w:rPr>
                <w:rFonts w:ascii="Arial" w:cs="Arial" w:eastAsia="Arial" w:hAnsi="Arial"/>
                <w:sz w:val="18"/>
                <w:szCs w:val="18"/>
                <w:color w:val="auto"/>
              </w:rPr>
              <w:t>Comcast Corporation.</w:t>
            </w: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Securities Offered</w:t>
            </w:r>
          </w:p>
        </w:tc>
        <w:tc>
          <w:tcPr>
            <w:tcW w:w="1880" w:type="dxa"/>
            <w:vAlign w:val="bottom"/>
          </w:tcPr>
          <w:p>
            <w:pPr>
              <w:ind w:left="880"/>
              <w:spacing w:after="0"/>
              <w:rPr>
                <w:sz w:val="20"/>
                <w:szCs w:val="20"/>
                <w:color w:val="auto"/>
              </w:rPr>
            </w:pPr>
            <w:r>
              <w:rPr>
                <w:rFonts w:ascii="Arial" w:cs="Arial" w:eastAsia="Arial" w:hAnsi="Arial"/>
                <w:sz w:val="18"/>
                <w:szCs w:val="18"/>
                <w:color w:val="auto"/>
              </w:rPr>
              <w:t>$</w:t>
            </w:r>
          </w:p>
        </w:tc>
        <w:tc>
          <w:tcPr>
            <w:tcW w:w="2500" w:type="dxa"/>
            <w:vAlign w:val="bottom"/>
          </w:tcPr>
          <w:p>
            <w:pPr>
              <w:ind w:left="40"/>
              <w:spacing w:after="0"/>
              <w:rPr>
                <w:sz w:val="20"/>
                <w:szCs w:val="20"/>
                <w:color w:val="auto"/>
              </w:rPr>
            </w:pPr>
            <w:r>
              <w:rPr>
                <w:rFonts w:ascii="Arial" w:cs="Arial" w:eastAsia="Arial" w:hAnsi="Arial"/>
                <w:sz w:val="18"/>
                <w:szCs w:val="18"/>
                <w:color w:val="auto"/>
              </w:rPr>
              <w:t>aggregate principal amount of</w:t>
            </w: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 Notes due 2046.</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Maturity</w:t>
            </w:r>
          </w:p>
        </w:tc>
        <w:tc>
          <w:tcPr>
            <w:tcW w:w="4380" w:type="dxa"/>
            <w:vAlign w:val="bottom"/>
            <w:gridSpan w:val="2"/>
          </w:tcPr>
          <w:p>
            <w:pPr>
              <w:ind w:left="880"/>
              <w:spacing w:after="0"/>
              <w:rPr>
                <w:sz w:val="20"/>
                <w:szCs w:val="20"/>
                <w:color w:val="auto"/>
              </w:rPr>
            </w:pPr>
            <w:r>
              <w:rPr>
                <w:rFonts w:ascii="Arial" w:cs="Arial" w:eastAsia="Arial" w:hAnsi="Arial"/>
                <w:sz w:val="18"/>
                <w:szCs w:val="18"/>
                <w:color w:val="auto"/>
              </w:rPr>
              <w:t>August 1, 2046.</w:t>
            </w: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58"/>
        </w:trPr>
        <w:tc>
          <w:tcPr>
            <w:tcW w:w="2980" w:type="dxa"/>
            <w:vAlign w:val="bottom"/>
          </w:tcPr>
          <w:p>
            <w:pPr>
              <w:spacing w:after="0"/>
              <w:rPr>
                <w:sz w:val="20"/>
                <w:szCs w:val="20"/>
                <w:color w:val="auto"/>
              </w:rPr>
            </w:pPr>
            <w:r>
              <w:rPr>
                <w:rFonts w:ascii="Arial" w:cs="Arial" w:eastAsia="Arial" w:hAnsi="Arial"/>
                <w:sz w:val="18"/>
                <w:szCs w:val="18"/>
                <w:color w:val="auto"/>
              </w:rPr>
              <w:t>Interest</w:t>
            </w:r>
          </w:p>
        </w:tc>
        <w:tc>
          <w:tcPr>
            <w:tcW w:w="5520" w:type="dxa"/>
            <w:vAlign w:val="bottom"/>
            <w:gridSpan w:val="3"/>
          </w:tcPr>
          <w:p>
            <w:pPr>
              <w:ind w:left="880"/>
              <w:spacing w:after="0"/>
              <w:rPr>
                <w:sz w:val="20"/>
                <w:szCs w:val="20"/>
                <w:color w:val="auto"/>
              </w:rPr>
            </w:pPr>
            <w:r>
              <w:rPr>
                <w:rFonts w:ascii="Arial" w:cs="Arial" w:eastAsia="Arial" w:hAnsi="Arial"/>
                <w:sz w:val="18"/>
                <w:szCs w:val="18"/>
                <w:color w:val="auto"/>
                <w:w w:val="99"/>
              </w:rPr>
              <w:t>The notes will bear interest from May   , 2016 at the rate of</w:t>
            </w:r>
          </w:p>
        </w:tc>
        <w:tc>
          <w:tcPr>
            <w:tcW w:w="2560" w:type="dxa"/>
            <w:vAlign w:val="bottom"/>
          </w:tcPr>
          <w:p>
            <w:pPr>
              <w:ind w:left="300"/>
              <w:spacing w:after="0"/>
              <w:rPr>
                <w:sz w:val="20"/>
                <w:szCs w:val="20"/>
                <w:color w:val="auto"/>
              </w:rPr>
            </w:pPr>
            <w:r>
              <w:rPr>
                <w:rFonts w:ascii="Arial" w:cs="Arial" w:eastAsia="Arial" w:hAnsi="Arial"/>
                <w:sz w:val="18"/>
                <w:szCs w:val="18"/>
                <w:color w:val="auto"/>
              </w:rPr>
              <w:t>% per annum, payable</w:t>
            </w:r>
          </w:p>
        </w:tc>
      </w:tr>
      <w:tr>
        <w:trPr>
          <w:trHeight w:val="216"/>
        </w:trPr>
        <w:tc>
          <w:tcPr>
            <w:tcW w:w="2980" w:type="dxa"/>
            <w:vAlign w:val="bottom"/>
          </w:tcPr>
          <w:p>
            <w:pPr>
              <w:spacing w:after="0"/>
              <w:rPr>
                <w:sz w:val="18"/>
                <w:szCs w:val="18"/>
                <w:color w:val="auto"/>
              </w:rPr>
            </w:pP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3"/>
              </w:rPr>
              <w:t>semiannually in cash in arrears on February 1 and August 1, beginning on August 1, 2016 (short</w:t>
            </w:r>
          </w:p>
        </w:tc>
      </w:tr>
      <w:tr>
        <w:trPr>
          <w:trHeight w:val="230"/>
        </w:trPr>
        <w:tc>
          <w:tcPr>
            <w:tcW w:w="2980" w:type="dxa"/>
            <w:vAlign w:val="bottom"/>
          </w:tcPr>
          <w:p>
            <w:pPr>
              <w:spacing w:after="0"/>
              <w:rPr>
                <w:sz w:val="20"/>
                <w:szCs w:val="20"/>
                <w:color w:val="auto"/>
              </w:rPr>
            </w:pPr>
          </w:p>
        </w:tc>
        <w:tc>
          <w:tcPr>
            <w:tcW w:w="1880" w:type="dxa"/>
            <w:vAlign w:val="bottom"/>
          </w:tcPr>
          <w:p>
            <w:pPr>
              <w:ind w:left="880"/>
              <w:spacing w:after="0"/>
              <w:rPr>
                <w:sz w:val="20"/>
                <w:szCs w:val="20"/>
                <w:color w:val="auto"/>
              </w:rPr>
            </w:pPr>
            <w:r>
              <w:rPr>
                <w:rFonts w:ascii="Arial" w:cs="Arial" w:eastAsia="Arial" w:hAnsi="Arial"/>
                <w:sz w:val="18"/>
                <w:szCs w:val="18"/>
                <w:color w:val="auto"/>
                <w:w w:val="94"/>
              </w:rPr>
              <w:t>first coupon).</w:t>
            </w: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45"/>
        </w:trPr>
        <w:tc>
          <w:tcPr>
            <w:tcW w:w="2980" w:type="dxa"/>
            <w:vAlign w:val="bottom"/>
          </w:tcPr>
          <w:p>
            <w:pPr>
              <w:spacing w:after="0"/>
              <w:rPr>
                <w:sz w:val="20"/>
                <w:szCs w:val="20"/>
                <w:color w:val="auto"/>
              </w:rPr>
            </w:pPr>
            <w:r>
              <w:rPr>
                <w:rFonts w:ascii="Arial" w:cs="Arial" w:eastAsia="Arial" w:hAnsi="Arial"/>
                <w:sz w:val="18"/>
                <w:szCs w:val="18"/>
                <w:color w:val="auto"/>
              </w:rPr>
              <w:t>Ranking</w:t>
            </w: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1"/>
              </w:rPr>
              <w:t>The notes will be unsecured and will rank equally with all of our and the guarantors’ unsecured and</w:t>
            </w:r>
          </w:p>
        </w:tc>
      </w:tr>
      <w:tr>
        <w:trPr>
          <w:trHeight w:val="230"/>
        </w:trPr>
        <w:tc>
          <w:tcPr>
            <w:tcW w:w="2980" w:type="dxa"/>
            <w:vAlign w:val="bottom"/>
          </w:tcPr>
          <w:p>
            <w:pPr>
              <w:spacing w:after="0"/>
              <w:rPr>
                <w:sz w:val="20"/>
                <w:szCs w:val="20"/>
                <w:color w:val="auto"/>
              </w:rPr>
            </w:pPr>
          </w:p>
        </w:tc>
        <w:tc>
          <w:tcPr>
            <w:tcW w:w="4380" w:type="dxa"/>
            <w:vAlign w:val="bottom"/>
            <w:gridSpan w:val="2"/>
          </w:tcPr>
          <w:p>
            <w:pPr>
              <w:ind w:left="880"/>
              <w:spacing w:after="0"/>
              <w:rPr>
                <w:sz w:val="20"/>
                <w:szCs w:val="20"/>
                <w:color w:val="auto"/>
              </w:rPr>
            </w:pPr>
            <w:r>
              <w:rPr>
                <w:rFonts w:ascii="Arial" w:cs="Arial" w:eastAsia="Arial" w:hAnsi="Arial"/>
                <w:sz w:val="18"/>
                <w:szCs w:val="18"/>
                <w:color w:val="auto"/>
              </w:rPr>
              <w:t>unsubordinated indebtedness.</w:t>
            </w:r>
          </w:p>
        </w:tc>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45"/>
        </w:trPr>
        <w:tc>
          <w:tcPr>
            <w:tcW w:w="2980" w:type="dxa"/>
            <w:vAlign w:val="bottom"/>
          </w:tcPr>
          <w:p>
            <w:pPr>
              <w:spacing w:after="0"/>
              <w:rPr>
                <w:sz w:val="20"/>
                <w:szCs w:val="20"/>
                <w:color w:val="auto"/>
              </w:rPr>
            </w:pPr>
            <w:r>
              <w:rPr>
                <w:rFonts w:ascii="Arial" w:cs="Arial" w:eastAsia="Arial" w:hAnsi="Arial"/>
                <w:sz w:val="18"/>
                <w:szCs w:val="18"/>
                <w:color w:val="auto"/>
              </w:rPr>
              <w:t>Currency of Payments</w:t>
            </w: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2"/>
              </w:rPr>
              <w:t>The notes will be denominated in U.S. dollars and we will pay principal, interest and any premium</w:t>
            </w:r>
          </w:p>
        </w:tc>
      </w:tr>
      <w:tr>
        <w:trPr>
          <w:trHeight w:val="230"/>
        </w:trPr>
        <w:tc>
          <w:tcPr>
            <w:tcW w:w="2980" w:type="dxa"/>
            <w:vAlign w:val="bottom"/>
          </w:tcPr>
          <w:p>
            <w:pPr>
              <w:spacing w:after="0"/>
              <w:rPr>
                <w:sz w:val="20"/>
                <w:szCs w:val="20"/>
                <w:color w:val="auto"/>
              </w:rPr>
            </w:pPr>
          </w:p>
        </w:tc>
        <w:tc>
          <w:tcPr>
            <w:tcW w:w="4380" w:type="dxa"/>
            <w:vAlign w:val="bottom"/>
            <w:gridSpan w:val="2"/>
          </w:tcPr>
          <w:p>
            <w:pPr>
              <w:ind w:left="880"/>
              <w:spacing w:after="0"/>
              <w:rPr>
                <w:sz w:val="20"/>
                <w:szCs w:val="20"/>
                <w:color w:val="auto"/>
              </w:rPr>
            </w:pPr>
            <w:r>
              <w:rPr>
                <w:rFonts w:ascii="Arial" w:cs="Arial" w:eastAsia="Arial" w:hAnsi="Arial"/>
                <w:sz w:val="18"/>
                <w:szCs w:val="18"/>
                <w:color w:val="auto"/>
              </w:rPr>
              <w:t>in U.S. dollars.</w:t>
            </w:r>
          </w:p>
        </w:tc>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45"/>
        </w:trPr>
        <w:tc>
          <w:tcPr>
            <w:tcW w:w="2980" w:type="dxa"/>
            <w:vAlign w:val="bottom"/>
          </w:tcPr>
          <w:p>
            <w:pPr>
              <w:spacing w:after="0"/>
              <w:rPr>
                <w:sz w:val="20"/>
                <w:szCs w:val="20"/>
                <w:color w:val="auto"/>
              </w:rPr>
            </w:pPr>
            <w:r>
              <w:rPr>
                <w:rFonts w:ascii="Arial" w:cs="Arial" w:eastAsia="Arial" w:hAnsi="Arial"/>
                <w:sz w:val="18"/>
                <w:szCs w:val="18"/>
                <w:color w:val="auto"/>
              </w:rPr>
              <w:t>Additional Amounts</w:t>
            </w: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5"/>
              </w:rPr>
              <w:t>Subject to certain exceptions and limitations set forth herein, we will pay additional amounts as</w:t>
            </w:r>
          </w:p>
        </w:tc>
      </w:tr>
      <w:tr>
        <w:trPr>
          <w:trHeight w:val="216"/>
        </w:trPr>
        <w:tc>
          <w:tcPr>
            <w:tcW w:w="2980" w:type="dxa"/>
            <w:vAlign w:val="bottom"/>
          </w:tcPr>
          <w:p>
            <w:pPr>
              <w:spacing w:after="0"/>
              <w:rPr>
                <w:sz w:val="18"/>
                <w:szCs w:val="18"/>
                <w:color w:val="auto"/>
              </w:rPr>
            </w:pP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89"/>
              </w:rPr>
              <w:t>may be necessary to ensure that every net payment on a note to a holder who is not a United States</w:t>
            </w:r>
          </w:p>
        </w:tc>
      </w:tr>
      <w:tr>
        <w:trPr>
          <w:trHeight w:val="216"/>
        </w:trPr>
        <w:tc>
          <w:tcPr>
            <w:tcW w:w="2980" w:type="dxa"/>
            <w:vAlign w:val="bottom"/>
          </w:tcPr>
          <w:p>
            <w:pPr>
              <w:spacing w:after="0"/>
              <w:rPr>
                <w:sz w:val="18"/>
                <w:szCs w:val="18"/>
                <w:color w:val="auto"/>
              </w:rPr>
            </w:pP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1"/>
              </w:rPr>
              <w:t>person, after deduction or withholding by us or our paying agent for or on account of any present or</w:t>
            </w:r>
          </w:p>
        </w:tc>
      </w:tr>
      <w:tr>
        <w:trPr>
          <w:trHeight w:val="216"/>
        </w:trPr>
        <w:tc>
          <w:tcPr>
            <w:tcW w:w="2980" w:type="dxa"/>
            <w:vAlign w:val="bottom"/>
          </w:tcPr>
          <w:p>
            <w:pPr>
              <w:spacing w:after="0"/>
              <w:rPr>
                <w:sz w:val="18"/>
                <w:szCs w:val="18"/>
                <w:color w:val="auto"/>
              </w:rPr>
            </w:pP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1"/>
              </w:rPr>
              <w:t>future tax, assessment or other governmental charge imposed upon or as a result of such payment</w:t>
            </w:r>
          </w:p>
        </w:tc>
      </w:tr>
      <w:tr>
        <w:trPr>
          <w:trHeight w:val="216"/>
        </w:trPr>
        <w:tc>
          <w:tcPr>
            <w:tcW w:w="2980" w:type="dxa"/>
            <w:vAlign w:val="bottom"/>
          </w:tcPr>
          <w:p>
            <w:pPr>
              <w:spacing w:after="0"/>
              <w:rPr>
                <w:sz w:val="18"/>
                <w:szCs w:val="18"/>
                <w:color w:val="auto"/>
              </w:rPr>
            </w:pP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2"/>
              </w:rPr>
              <w:t>by the United States or any political subdivision or taxing authority of the United States, will not be</w:t>
            </w:r>
          </w:p>
        </w:tc>
      </w:tr>
      <w:tr>
        <w:trPr>
          <w:trHeight w:val="216"/>
        </w:trPr>
        <w:tc>
          <w:tcPr>
            <w:tcW w:w="2980" w:type="dxa"/>
            <w:vAlign w:val="bottom"/>
          </w:tcPr>
          <w:p>
            <w:pPr>
              <w:spacing w:after="0"/>
              <w:rPr>
                <w:sz w:val="18"/>
                <w:szCs w:val="18"/>
                <w:color w:val="auto"/>
              </w:rPr>
            </w:pP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89"/>
              </w:rPr>
              <w:t>less than the amount provided in such note to be then due and payable. See “Description of Notes—</w:t>
            </w:r>
          </w:p>
        </w:tc>
      </w:tr>
      <w:tr>
        <w:trPr>
          <w:trHeight w:val="230"/>
        </w:trPr>
        <w:tc>
          <w:tcPr>
            <w:tcW w:w="2980" w:type="dxa"/>
            <w:vAlign w:val="bottom"/>
          </w:tcPr>
          <w:p>
            <w:pPr>
              <w:spacing w:after="0"/>
              <w:rPr>
                <w:sz w:val="20"/>
                <w:szCs w:val="20"/>
                <w:color w:val="auto"/>
              </w:rPr>
            </w:pPr>
          </w:p>
        </w:tc>
        <w:tc>
          <w:tcPr>
            <w:tcW w:w="4380" w:type="dxa"/>
            <w:vAlign w:val="bottom"/>
            <w:gridSpan w:val="2"/>
          </w:tcPr>
          <w:p>
            <w:pPr>
              <w:ind w:left="880"/>
              <w:spacing w:after="0"/>
              <w:rPr>
                <w:sz w:val="20"/>
                <w:szCs w:val="20"/>
                <w:color w:val="auto"/>
              </w:rPr>
            </w:pPr>
            <w:r>
              <w:rPr>
                <w:rFonts w:ascii="Arial" w:cs="Arial" w:eastAsia="Arial" w:hAnsi="Arial"/>
                <w:sz w:val="18"/>
                <w:szCs w:val="18"/>
                <w:color w:val="auto"/>
              </w:rPr>
              <w:t>Payment of Additional Amounts.”</w:t>
            </w:r>
          </w:p>
        </w:tc>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59"/>
        </w:trPr>
        <w:tc>
          <w:tcPr>
            <w:tcW w:w="2980" w:type="dxa"/>
            <w:vAlign w:val="bottom"/>
          </w:tcPr>
          <w:p>
            <w:pPr>
              <w:spacing w:after="0"/>
              <w:rPr>
                <w:sz w:val="20"/>
                <w:szCs w:val="20"/>
                <w:color w:val="auto"/>
              </w:rPr>
            </w:pPr>
            <w:r>
              <w:rPr>
                <w:rFonts w:ascii="Arial" w:cs="Arial" w:eastAsia="Arial" w:hAnsi="Arial"/>
                <w:sz w:val="18"/>
                <w:szCs w:val="18"/>
                <w:color w:val="auto"/>
              </w:rPr>
              <w:t>Guarantors</w:t>
            </w:r>
          </w:p>
        </w:tc>
        <w:tc>
          <w:tcPr>
            <w:tcW w:w="5520" w:type="dxa"/>
            <w:vAlign w:val="bottom"/>
            <w:gridSpan w:val="3"/>
          </w:tcPr>
          <w:p>
            <w:pPr>
              <w:ind w:left="880"/>
              <w:spacing w:after="0"/>
              <w:rPr>
                <w:sz w:val="20"/>
                <w:szCs w:val="20"/>
                <w:color w:val="auto"/>
              </w:rPr>
            </w:pPr>
            <w:r>
              <w:rPr>
                <w:rFonts w:ascii="Arial" w:cs="Arial" w:eastAsia="Arial" w:hAnsi="Arial"/>
                <w:sz w:val="18"/>
                <w:szCs w:val="18"/>
                <w:color w:val="auto"/>
              </w:rPr>
              <w:t>Comcast Cable Communications and NBCUniversal.</w:t>
            </w:r>
          </w:p>
        </w:tc>
        <w:tc>
          <w:tcPr>
            <w:tcW w:w="2560" w:type="dxa"/>
            <w:vAlign w:val="bottom"/>
          </w:tcPr>
          <w:p>
            <w:pPr>
              <w:spacing w:after="0"/>
              <w:rPr>
                <w:sz w:val="24"/>
                <w:szCs w:val="24"/>
                <w:color w:val="auto"/>
              </w:rPr>
            </w:pPr>
          </w:p>
        </w:tc>
      </w:tr>
      <w:tr>
        <w:trPr>
          <w:trHeight w:val="458"/>
        </w:trPr>
        <w:tc>
          <w:tcPr>
            <w:tcW w:w="2980" w:type="dxa"/>
            <w:vAlign w:val="bottom"/>
          </w:tcPr>
          <w:p>
            <w:pPr>
              <w:spacing w:after="0"/>
              <w:rPr>
                <w:sz w:val="20"/>
                <w:szCs w:val="20"/>
                <w:color w:val="auto"/>
              </w:rPr>
            </w:pPr>
            <w:r>
              <w:rPr>
                <w:rFonts w:ascii="Arial" w:cs="Arial" w:eastAsia="Arial" w:hAnsi="Arial"/>
                <w:sz w:val="18"/>
                <w:szCs w:val="18"/>
                <w:color w:val="auto"/>
              </w:rPr>
              <w:t>Guarantees</w:t>
            </w: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9"/>
              </w:rPr>
              <w:t>The guarantors will fully and unconditionally guarantee the notes, including the payment of</w:t>
            </w:r>
          </w:p>
        </w:tc>
      </w:tr>
      <w:tr>
        <w:trPr>
          <w:trHeight w:val="216"/>
        </w:trPr>
        <w:tc>
          <w:tcPr>
            <w:tcW w:w="2980" w:type="dxa"/>
            <w:vAlign w:val="bottom"/>
          </w:tcPr>
          <w:p>
            <w:pPr>
              <w:spacing w:after="0"/>
              <w:rPr>
                <w:sz w:val="18"/>
                <w:szCs w:val="18"/>
                <w:color w:val="auto"/>
              </w:rPr>
            </w:pP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6"/>
              </w:rPr>
              <w:t>principal, premium, if any, and interest. The guarantees will rank equally with all other general</w:t>
            </w:r>
          </w:p>
        </w:tc>
      </w:tr>
      <w:tr>
        <w:trPr>
          <w:trHeight w:val="230"/>
        </w:trPr>
        <w:tc>
          <w:tcPr>
            <w:tcW w:w="2980" w:type="dxa"/>
            <w:vAlign w:val="bottom"/>
          </w:tcPr>
          <w:p>
            <w:pPr>
              <w:spacing w:after="0"/>
              <w:rPr>
                <w:sz w:val="20"/>
                <w:szCs w:val="20"/>
                <w:color w:val="auto"/>
              </w:rPr>
            </w:pPr>
          </w:p>
        </w:tc>
        <w:tc>
          <w:tcPr>
            <w:tcW w:w="5520" w:type="dxa"/>
            <w:vAlign w:val="bottom"/>
            <w:gridSpan w:val="3"/>
          </w:tcPr>
          <w:p>
            <w:pPr>
              <w:ind w:left="880"/>
              <w:spacing w:after="0"/>
              <w:rPr>
                <w:sz w:val="20"/>
                <w:szCs w:val="20"/>
                <w:color w:val="auto"/>
              </w:rPr>
            </w:pPr>
            <w:r>
              <w:rPr>
                <w:rFonts w:ascii="Arial" w:cs="Arial" w:eastAsia="Arial" w:hAnsi="Arial"/>
                <w:sz w:val="18"/>
                <w:szCs w:val="18"/>
                <w:color w:val="auto"/>
                <w:w w:val="95"/>
              </w:rPr>
              <w:t>unsecured and unsubordinated obligations of the guarantors.</w:t>
            </w:r>
          </w:p>
        </w:tc>
        <w:tc>
          <w:tcPr>
            <w:tcW w:w="2560" w:type="dxa"/>
            <w:vAlign w:val="bottom"/>
          </w:tcPr>
          <w:p>
            <w:pPr>
              <w:spacing w:after="0"/>
              <w:rPr>
                <w:sz w:val="20"/>
                <w:szCs w:val="20"/>
                <w:color w:val="auto"/>
              </w:rPr>
            </w:pPr>
          </w:p>
        </w:tc>
      </w:tr>
      <w:tr>
        <w:trPr>
          <w:trHeight w:val="445"/>
        </w:trPr>
        <w:tc>
          <w:tcPr>
            <w:tcW w:w="2980" w:type="dxa"/>
            <w:vAlign w:val="bottom"/>
          </w:tcPr>
          <w:p>
            <w:pPr>
              <w:spacing w:after="0"/>
              <w:rPr>
                <w:sz w:val="20"/>
                <w:szCs w:val="20"/>
                <w:color w:val="auto"/>
              </w:rPr>
            </w:pPr>
            <w:r>
              <w:rPr>
                <w:rFonts w:ascii="Arial" w:cs="Arial" w:eastAsia="Arial" w:hAnsi="Arial"/>
                <w:sz w:val="18"/>
                <w:szCs w:val="18"/>
                <w:color w:val="auto"/>
              </w:rPr>
              <w:t>Optional Redemption</w:t>
            </w: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5"/>
              </w:rPr>
              <w:t>We may, at our option, redeem the notes, in whole but not in part, on each August 1 on or after</w:t>
            </w:r>
          </w:p>
        </w:tc>
      </w:tr>
      <w:tr>
        <w:trPr>
          <w:trHeight w:val="216"/>
        </w:trPr>
        <w:tc>
          <w:tcPr>
            <w:tcW w:w="2980" w:type="dxa"/>
            <w:vAlign w:val="bottom"/>
          </w:tcPr>
          <w:p>
            <w:pPr>
              <w:spacing w:after="0"/>
              <w:rPr>
                <w:sz w:val="18"/>
                <w:szCs w:val="18"/>
                <w:color w:val="auto"/>
              </w:rPr>
            </w:pP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1"/>
              </w:rPr>
              <w:t>August 1, 2019. Any redemption described in this paragraph must be on not less than 30 nor more</w:t>
            </w:r>
          </w:p>
        </w:tc>
      </w:tr>
      <w:tr>
        <w:trPr>
          <w:trHeight w:val="216"/>
        </w:trPr>
        <w:tc>
          <w:tcPr>
            <w:tcW w:w="2980" w:type="dxa"/>
            <w:vAlign w:val="bottom"/>
          </w:tcPr>
          <w:p>
            <w:pPr>
              <w:spacing w:after="0"/>
              <w:rPr>
                <w:sz w:val="18"/>
                <w:szCs w:val="18"/>
                <w:color w:val="auto"/>
              </w:rPr>
            </w:pP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1"/>
              </w:rPr>
              <w:t>than 60 days’ notice and will be at a redemption price equal to 100% of the principal amount of the</w:t>
            </w:r>
          </w:p>
        </w:tc>
      </w:tr>
      <w:tr>
        <w:trPr>
          <w:trHeight w:val="230"/>
        </w:trPr>
        <w:tc>
          <w:tcPr>
            <w:tcW w:w="2980" w:type="dxa"/>
            <w:vAlign w:val="bottom"/>
          </w:tcPr>
          <w:p>
            <w:pPr>
              <w:spacing w:after="0"/>
              <w:rPr>
                <w:sz w:val="20"/>
                <w:szCs w:val="20"/>
                <w:color w:val="auto"/>
              </w:rPr>
            </w:pP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1"/>
              </w:rPr>
              <w:t>notes being redeemed plus accrued and unpaid interest to, but not including, the redemption date.</w:t>
            </w:r>
          </w:p>
        </w:tc>
      </w:tr>
      <w:tr>
        <w:trPr>
          <w:trHeight w:val="445"/>
        </w:trPr>
        <w:tc>
          <w:tcPr>
            <w:tcW w:w="2980" w:type="dxa"/>
            <w:vAlign w:val="bottom"/>
          </w:tcPr>
          <w:p>
            <w:pPr>
              <w:spacing w:after="0"/>
              <w:rPr>
                <w:sz w:val="20"/>
                <w:szCs w:val="20"/>
                <w:color w:val="auto"/>
              </w:rPr>
            </w:pPr>
            <w:r>
              <w:rPr>
                <w:rFonts w:ascii="Arial" w:cs="Arial" w:eastAsia="Arial" w:hAnsi="Arial"/>
                <w:sz w:val="18"/>
                <w:szCs w:val="18"/>
                <w:color w:val="auto"/>
              </w:rPr>
              <w:t>Redemption for Tax Reasons</w:t>
            </w: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0"/>
              </w:rPr>
              <w:t>We may redeem the notes, in whole but not in part, in the event of certain changes in the tax laws of</w:t>
            </w:r>
          </w:p>
        </w:tc>
      </w:tr>
      <w:tr>
        <w:trPr>
          <w:trHeight w:val="230"/>
        </w:trPr>
        <w:tc>
          <w:tcPr>
            <w:tcW w:w="2980" w:type="dxa"/>
            <w:vAlign w:val="bottom"/>
          </w:tcPr>
          <w:p>
            <w:pPr>
              <w:spacing w:after="0"/>
              <w:rPr>
                <w:sz w:val="20"/>
                <w:szCs w:val="20"/>
                <w:color w:val="auto"/>
              </w:rPr>
            </w:pPr>
          </w:p>
        </w:tc>
        <w:tc>
          <w:tcPr>
            <w:tcW w:w="8080" w:type="dxa"/>
            <w:vAlign w:val="bottom"/>
            <w:gridSpan w:val="4"/>
          </w:tcPr>
          <w:p>
            <w:pPr>
              <w:ind w:left="880"/>
              <w:spacing w:after="0"/>
              <w:rPr>
                <w:sz w:val="20"/>
                <w:szCs w:val="20"/>
                <w:color w:val="auto"/>
              </w:rPr>
            </w:pPr>
            <w:r>
              <w:rPr>
                <w:rFonts w:ascii="Arial" w:cs="Arial" w:eastAsia="Arial" w:hAnsi="Arial"/>
                <w:sz w:val="18"/>
                <w:szCs w:val="18"/>
                <w:color w:val="auto"/>
                <w:w w:val="91"/>
              </w:rPr>
              <w:t>the United States (or any taxing authority in the United States). This redemption would be at 100%</w:t>
            </w:r>
          </w:p>
        </w:tc>
      </w:tr>
    </w:tbl>
    <w:p>
      <w:pPr>
        <w:ind w:left="4060" w:right="400"/>
        <w:spacing w:after="0" w:line="255" w:lineRule="auto"/>
        <w:rPr>
          <w:sz w:val="20"/>
          <w:szCs w:val="20"/>
          <w:color w:val="auto"/>
        </w:rPr>
      </w:pPr>
      <w:r>
        <w:rPr>
          <w:rFonts w:ascii="Arial" w:cs="Arial" w:eastAsia="Arial" w:hAnsi="Arial"/>
          <w:sz w:val="18"/>
          <w:szCs w:val="18"/>
          <w:color w:val="auto"/>
        </w:rPr>
        <w:t>of the principal amount of the notes to be redeemed (plus any accrued interest and additional amounts then payable with respect to the notes to, but not including, the redemption date). See “Description of Notes—Redemption for Tax Reasons.”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3" w:lineRule="exact"/>
        <w:rPr>
          <w:sz w:val="20"/>
          <w:szCs w:val="20"/>
          <w:color w:val="auto"/>
        </w:rPr>
      </w:pPr>
    </w:p>
    <w:p>
      <w:pPr>
        <w:ind w:left="200" w:right="240"/>
        <w:spacing w:after="0" w:line="261" w:lineRule="auto"/>
        <w:rPr>
          <w:sz w:val="20"/>
          <w:szCs w:val="20"/>
          <w:color w:val="auto"/>
        </w:rPr>
      </w:pPr>
      <w:r>
        <w:rPr>
          <w:rFonts w:ascii="Arial" w:cs="Arial" w:eastAsia="Arial" w:hAnsi="Arial"/>
          <w:sz w:val="18"/>
          <w:szCs w:val="18"/>
          <w:color w:val="auto"/>
        </w:rPr>
        <w:t>We intend to use the net proceeds from the offering, after deducting the selling discount, structuring fee and expenses, for working capital and general corporate purposes.</w:t>
      </w:r>
    </w:p>
    <w:p>
      <w:pPr>
        <w:sectPr>
          <w:pgSz w:w="11900" w:h="16838" w:orient="portrait"/>
          <w:cols w:equalWidth="0" w:num="1">
            <w:col w:w="11240"/>
          </w:cols>
          <w:pgMar w:left="240" w:top="459" w:right="419" w:bottom="1440" w:gutter="0" w:footer="0" w:header="0"/>
        </w:sect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Book-Entry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notes will be issued in book-entry form and will be represented by global notes deposited with, or on behalf of, a common depositary on behalf of Euroclear and Clearstream and registered in the name of the common depositary or its nominee. Beneficial interests in any of the notes will be shown on, and transfers will be effected only through, records maintained by Euroclear and Clearstream and their participants, and these beneficial interests may not be exchanged for certificated notes, except in limited circumstances. See “Description of Notes—Book-Entry System” in this prospectus supplement.</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ind w:right="80"/>
        <w:spacing w:after="0" w:line="270" w:lineRule="auto"/>
        <w:rPr>
          <w:sz w:val="20"/>
          <w:szCs w:val="20"/>
          <w:color w:val="auto"/>
        </w:rPr>
      </w:pPr>
      <w:r>
        <w:rPr>
          <w:rFonts w:ascii="Arial" w:cs="Arial" w:eastAsia="Arial" w:hAnsi="Arial"/>
          <w:sz w:val="17"/>
          <w:szCs w:val="17"/>
          <w:color w:val="auto"/>
        </w:rPr>
        <w:t>To the extent permitted by applicable authorities in the ROC and subject to the receipt of all necessary regulatory and listing approvals from such authorities, including but not limited to the TPEx and the Taiwan Securities Association (the “TSA”), we may from time to time, without notice to or the consent of the holders of notes, create and issue further notes ranking equally and ratably with such notes in all respects, or in all respects except for the payment of interest accruing prior to the issue date or except for the first payment of interest following the issue date of those further notes; provided, that if such additional notes are not fungible with the notes offered hereby for U.S. federal income tax purposes, such additional notes will have one or more separate ISIN numbers. Any further notes will have the same terms as to status, redemption or otherwise as the notes.</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Markets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notes are offered for sale in those jurisdictions in the United States, Europe and Asia where it is legal to make such offers. See “Selling.”</w:t>
      </w:r>
    </w:p>
    <w:p>
      <w:pPr>
        <w:spacing w:after="0" w:line="197"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ind w:right="420"/>
        <w:spacing w:after="0" w:line="264" w:lineRule="auto"/>
        <w:rPr>
          <w:sz w:val="20"/>
          <w:szCs w:val="20"/>
          <w:color w:val="auto"/>
        </w:rPr>
      </w:pPr>
      <w:r>
        <w:rPr>
          <w:rFonts w:ascii="Arial" w:cs="Arial" w:eastAsia="Arial" w:hAnsi="Arial"/>
          <w:sz w:val="18"/>
          <w:szCs w:val="18"/>
          <w:color w:val="auto"/>
        </w:rPr>
        <w:t>Application will be made for the notes to be admitted to listing on the Taipei Exchange. No assurance can be given that such application will be approved, or that the TPEx listing will be maintained.</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You should consider carefully all the information set forth and incorporated by reference in this prospectus supplement and the accompanying prospectus and, in particular, you should evaluate the specific factors set forth under the heading “Risk Factors” beginning on page S-5 of this prospectus supplement and described under “Risk Factors” in our Annual Report on Form 10-K for the year ended December 31, 2015, as well as the other information contained or incorporated herein by reference, before investing in any of the notes offered hereby.</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ind w:right="720"/>
        <w:spacing w:after="0" w:line="277" w:lineRule="auto"/>
        <w:rPr>
          <w:sz w:val="20"/>
          <w:szCs w:val="20"/>
          <w:color w:val="auto"/>
        </w:rPr>
      </w:pPr>
      <w:r>
        <w:rPr>
          <w:rFonts w:ascii="Arial" w:cs="Arial" w:eastAsia="Arial" w:hAnsi="Arial"/>
          <w:sz w:val="18"/>
          <w:szCs w:val="18"/>
          <w:color w:val="auto"/>
        </w:rPr>
        <w:t>The indenture governing the notes is, and the notes will be, governed by, and construed in accordance with, the laws of the State of New York.</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An investment in the notes involves certain risks. You should carefully consider the risk factors described under “Risk Factors” in our Annual Report on Form 10-K for the year ended December 31, 2015, as well as the other information included or incorporated by reference in this prospectus supplement and the accompanying prospectus, before making an investment decision. Additional risks and uncertainties not now known to us or that we now deem immaterial may also adversely affect our business or financial performance. Our business, financial condition, results of operations or cash flows could be materially adversely affected by any of these risks. The market or trading price of the notes could decline due to any of these risks or other factors, and you may lose all or part of your investment.</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to the risks relating to us described in our reports described above and any subsequent filings, the following are additional risks relating to an investment in the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trading markets for the notes may not develop.</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 public market exists for the notes. Application will be made for the listing of the notes on the TPEx. No assurances can be given as to whether the notes will be, or will remain, listed on the TPEx or whether a trading market for the notes will develop or as to the liquidity of any such trading market. If the notes fail to or cease to be listed on the TPEx, certain investors may not invest in, or continue to hold or invest in, the notes. If any of the notes are traded after their initial issue, they may trade at a discount or premium from their initial offering price, depending on prevailing interest rates, the market for similar securities and the market for the notes and other factors, including general economic conditions and our financial condition, performance and prospects. No assurance can be given as to the future price level of the notes after their initial issue. The notes may be sold to a limited number of investors, and liquidity of the notes may be adversely affected if a significant portion of the notes are bought by a limited number of investors.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 the clearing systems is subject to minimum denomination requirements.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terms of the notes provide that notes will be issued with a minimum denomination of $100,000 and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may adversely affect your return on the notes.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the right to redeem the notes, in whole but not in part, prior to maturity on each August 1 on or after August 1, 2019. We may also redeem the notes, in whole but not in part, prior to maturity if certain events occur involving U.S. taxation. The redemption price in each case will not include a premium. We may redeem the notes at times when prevailing interest rates may be relatively low. Accordingly, you may not be able to reinvest the amount received upon a redemption in a comparable security at an effective interest rate as high as that of the notes.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intend to use the net proceeds from the offering, after deducting the selling discount, structuring fee and expenses, for working capital and general corporate purposes.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5"/>
        </w:trPr>
        <w:tc>
          <w:tcPr>
            <w:tcW w:w="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Ended March 31,</w:t>
            </w: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42"/>
        </w:trPr>
        <w:tc>
          <w:tcPr>
            <w:tcW w:w="40" w:type="dxa"/>
            <w:vAlign w:val="bottom"/>
          </w:tcPr>
          <w:p>
            <w:pPr>
              <w:spacing w:after="0"/>
              <w:rPr>
                <w:sz w:val="12"/>
                <w:szCs w:val="12"/>
                <w:color w:val="auto"/>
              </w:rPr>
            </w:pPr>
          </w:p>
        </w:tc>
        <w:tc>
          <w:tcPr>
            <w:tcW w:w="1360" w:type="dxa"/>
            <w:vAlign w:val="bottom"/>
          </w:tcPr>
          <w:p>
            <w:pPr>
              <w:jc w:val="right"/>
              <w:ind w:right="422"/>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gridSpan w:val="2"/>
          </w:tcPr>
          <w:p>
            <w:pPr>
              <w:spacing w:after="0"/>
              <w:rPr>
                <w:sz w:val="12"/>
                <w:szCs w:val="12"/>
                <w:color w:val="auto"/>
              </w:rPr>
            </w:pPr>
          </w:p>
        </w:tc>
        <w:tc>
          <w:tcPr>
            <w:tcW w:w="116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2"/>
                <w:szCs w:val="12"/>
                <w:color w:val="auto"/>
              </w:rPr>
            </w:pPr>
          </w:p>
        </w:tc>
        <w:tc>
          <w:tcPr>
            <w:tcW w:w="116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2014</w:t>
            </w:r>
          </w:p>
        </w:tc>
        <w:tc>
          <w:tcPr>
            <w:tcW w:w="162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12"/>
                <w:szCs w:val="12"/>
                <w:color w:val="auto"/>
              </w:rPr>
            </w:pPr>
          </w:p>
        </w:tc>
        <w:tc>
          <w:tcPr>
            <w:tcW w:w="116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2011</w:t>
            </w:r>
          </w:p>
        </w:tc>
      </w:tr>
      <w:tr>
        <w:trPr>
          <w:trHeight w:val="224"/>
        </w:trPr>
        <w:tc>
          <w:tcPr>
            <w:tcW w:w="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5.40x</w:t>
            </w:r>
          </w:p>
        </w:tc>
        <w:tc>
          <w:tcPr>
            <w:tcW w:w="40" w:type="dxa"/>
            <w:vAlign w:val="bottom"/>
            <w:tcBorders>
              <w:top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5.48x</w:t>
            </w:r>
          </w:p>
        </w:tc>
        <w:tc>
          <w:tcPr>
            <w:tcW w:w="7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5.22x</w:t>
            </w:r>
          </w:p>
        </w:tc>
        <w:tc>
          <w:tcPr>
            <w:tcW w:w="760" w:type="dxa"/>
            <w:vAlign w:val="bottom"/>
          </w:tcPr>
          <w:p>
            <w:pPr>
              <w:spacing w:after="0"/>
              <w:rPr>
                <w:sz w:val="19"/>
                <w:szCs w:val="19"/>
                <w:color w:val="auto"/>
              </w:rPr>
            </w:pPr>
          </w:p>
        </w:tc>
        <w:tc>
          <w:tcPr>
            <w:tcW w:w="8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86"/>
              </w:rPr>
              <w:t>4.85x</w:t>
            </w:r>
          </w:p>
        </w:tc>
        <w:tc>
          <w:tcPr>
            <w:tcW w:w="7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4.82x</w:t>
            </w:r>
          </w:p>
        </w:tc>
        <w:tc>
          <w:tcPr>
            <w:tcW w:w="7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4.04x</w:t>
            </w:r>
          </w:p>
        </w:tc>
      </w:tr>
    </w:tbl>
    <w:p>
      <w:pPr>
        <w:spacing w:after="0" w:line="18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5" w:lineRule="exact"/>
        <w:rPr>
          <w:sz w:val="20"/>
          <w:szCs w:val="20"/>
          <w:color w:val="auto"/>
        </w:rPr>
      </w:pPr>
    </w:p>
    <w:p>
      <w:pPr>
        <w:ind w:right="240" w:firstLine="8"/>
        <w:spacing w:after="0" w:line="254"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2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200" w:type="dxa"/>
            <w:vAlign w:val="bottom"/>
          </w:tcPr>
          <w:p>
            <w:pPr>
              <w:spacing w:after="0"/>
              <w:rPr>
                <w:sz w:val="17"/>
                <w:szCs w:val="17"/>
                <w:color w:val="auto"/>
              </w:rPr>
            </w:pPr>
          </w:p>
        </w:tc>
        <w:tc>
          <w:tcPr>
            <w:tcW w:w="56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8880" w:type="dxa"/>
            <w:vAlign w:val="bottom"/>
            <w:gridSpan w:val="2"/>
          </w:tcPr>
          <w:p>
            <w:pPr>
              <w:ind w:left="2420"/>
              <w:spacing w:after="0"/>
              <w:rPr>
                <w:sz w:val="20"/>
                <w:szCs w:val="20"/>
                <w:color w:val="auto"/>
              </w:rPr>
            </w:pPr>
            <w:r>
              <w:rPr>
                <w:rFonts w:ascii="Arial" w:cs="Arial" w:eastAsia="Arial" w:hAnsi="Arial"/>
                <w:sz w:val="18"/>
                <w:szCs w:val="18"/>
                <w:b w:val="1"/>
                <w:bCs w:val="1"/>
                <w:color w:val="auto"/>
              </w:rPr>
              <w:t>DESCRIPTION OF NOTES</w:t>
            </w:r>
          </w:p>
        </w:tc>
      </w:tr>
      <w:tr>
        <w:trPr>
          <w:trHeight w:val="432"/>
        </w:trPr>
        <w:tc>
          <w:tcPr>
            <w:tcW w:w="2200" w:type="dxa"/>
            <w:vAlign w:val="bottom"/>
            <w:gridSpan w:val="2"/>
          </w:tcPr>
          <w:p>
            <w:pPr>
              <w:ind w:left="460"/>
              <w:spacing w:after="0"/>
              <w:rPr>
                <w:sz w:val="20"/>
                <w:szCs w:val="20"/>
                <w:color w:val="auto"/>
              </w:rPr>
            </w:pPr>
            <w:r>
              <w:rPr>
                <w:rFonts w:ascii="Arial" w:cs="Arial" w:eastAsia="Arial" w:hAnsi="Arial"/>
                <w:sz w:val="18"/>
                <w:szCs w:val="18"/>
                <w:color w:val="auto"/>
              </w:rPr>
              <w:t>We are offering $</w:t>
            </w:r>
          </w:p>
        </w:tc>
        <w:tc>
          <w:tcPr>
            <w:tcW w:w="3200" w:type="dxa"/>
            <w:vAlign w:val="bottom"/>
          </w:tcPr>
          <w:p>
            <w:pPr>
              <w:ind w:left="460"/>
              <w:spacing w:after="0"/>
              <w:rPr>
                <w:sz w:val="20"/>
                <w:szCs w:val="20"/>
                <w:color w:val="auto"/>
              </w:rPr>
            </w:pPr>
            <w:r>
              <w:rPr>
                <w:rFonts w:ascii="Arial" w:cs="Arial" w:eastAsia="Arial" w:hAnsi="Arial"/>
                <w:sz w:val="18"/>
                <w:szCs w:val="18"/>
                <w:color w:val="auto"/>
              </w:rPr>
              <w:t>aggregate principal amount of our</w:t>
            </w:r>
          </w:p>
        </w:tc>
        <w:tc>
          <w:tcPr>
            <w:tcW w:w="5680" w:type="dxa"/>
            <w:vAlign w:val="bottom"/>
          </w:tcPr>
          <w:p>
            <w:pPr>
              <w:ind w:left="300"/>
              <w:spacing w:after="0"/>
              <w:rPr>
                <w:sz w:val="20"/>
                <w:szCs w:val="20"/>
                <w:color w:val="auto"/>
              </w:rPr>
            </w:pPr>
            <w:r>
              <w:rPr>
                <w:rFonts w:ascii="Arial" w:cs="Arial" w:eastAsia="Arial" w:hAnsi="Arial"/>
                <w:sz w:val="18"/>
                <w:szCs w:val="18"/>
                <w:color w:val="auto"/>
                <w:w w:val="89"/>
              </w:rPr>
              <w:t>% Notes due 2046. The notes will be issued under a senior indenture dated</w:t>
            </w:r>
          </w:p>
        </w:tc>
      </w:tr>
    </w:tbl>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Copies of the indenture and the form of notes are available from us upon request.</w:t>
      </w:r>
    </w:p>
    <w:p>
      <w:pPr>
        <w:spacing w:after="0" w:line="16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tabs>
          <w:tab w:leader="none" w:pos="3780" w:val="left"/>
          <w:tab w:leader="none" w:pos="6520" w:val="left"/>
        </w:tabs>
        <w:rPr>
          <w:sz w:val="20"/>
          <w:szCs w:val="20"/>
          <w:color w:val="auto"/>
        </w:rPr>
      </w:pPr>
      <w:r>
        <w:rPr>
          <w:rFonts w:ascii="Arial" w:cs="Arial" w:eastAsia="Arial" w:hAnsi="Arial"/>
          <w:sz w:val="18"/>
          <w:szCs w:val="18"/>
          <w:color w:val="auto"/>
        </w:rPr>
        <w:t>We will initially issue a total of $</w:t>
      </w:r>
      <w:r>
        <w:rPr>
          <w:sz w:val="20"/>
          <w:szCs w:val="20"/>
          <w:color w:val="auto"/>
        </w:rPr>
        <w:tab/>
      </w:r>
      <w:r>
        <w:rPr>
          <w:rFonts w:ascii="Arial" w:cs="Arial" w:eastAsia="Arial" w:hAnsi="Arial"/>
          <w:sz w:val="18"/>
          <w:szCs w:val="18"/>
          <w:color w:val="auto"/>
        </w:rPr>
        <w:t>aggregate principal amount of</w:t>
      </w:r>
      <w:r>
        <w:rPr>
          <w:sz w:val="20"/>
          <w:szCs w:val="20"/>
          <w:color w:val="auto"/>
        </w:rPr>
        <w:tab/>
      </w:r>
      <w:r>
        <w:rPr>
          <w:rFonts w:ascii="Arial" w:cs="Arial" w:eastAsia="Arial" w:hAnsi="Arial"/>
          <w:sz w:val="16"/>
          <w:szCs w:val="16"/>
          <w:color w:val="auto"/>
        </w:rPr>
        <w:t>% Senior Notes that will mature on August 1, 2046 (the “notes”),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unless earlier redeemed. We may issue additional notes as described under “—Further Issuances.”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redeem the notes, in whole but not in part, on each August 1 on or after August 1, 2019 as described under “—Optional Redemption” below.</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may also redeem the notes, in whole but not in part, prior to maturity if certain events occur involving U.S. taxation. If any of these special tax events do occur, the notes will be redeemed at a redemption price of 100% of their principal amount plus any accrued interest and additional amounts payable with respect to the notes to, but not including, the redemption date. See “—Redemption for Tax Reasons.”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in registered form in denominations of $100,000 and multiples of $1,000 in excess thereof.</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term “business day” when used with respect to any note means any day, other than a Saturday or Sunday, which is not a day on which banking institutions in the City of New York, London or Taipei, are authorized or required by law, regulation or executive order to close.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subject to any sinking fund.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subject to compliance with applicable law, at any time purchase notes in the open market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left="460"/>
        <w:spacing w:after="0"/>
        <w:tabs>
          <w:tab w:leader="none" w:pos="3740" w:val="left"/>
          <w:tab w:leader="none" w:pos="5720" w:val="left"/>
        </w:tabs>
        <w:rPr>
          <w:sz w:val="20"/>
          <w:szCs w:val="20"/>
          <w:color w:val="auto"/>
        </w:rPr>
      </w:pPr>
      <w:r>
        <w:rPr>
          <w:rFonts w:ascii="Arial" w:cs="Arial" w:eastAsia="Arial" w:hAnsi="Arial"/>
          <w:sz w:val="18"/>
          <w:szCs w:val="18"/>
          <w:color w:val="auto"/>
        </w:rPr>
        <w:t>Interest on the notes will accrue from May</w:t>
        <w:tab/>
        <w:t>, 2016 at the rate of</w:t>
      </w:r>
      <w:r>
        <w:rPr>
          <w:sz w:val="20"/>
          <w:szCs w:val="20"/>
          <w:color w:val="auto"/>
        </w:rPr>
        <w:tab/>
      </w:r>
      <w:r>
        <w:rPr>
          <w:rFonts w:ascii="Arial" w:cs="Arial" w:eastAsia="Arial" w:hAnsi="Arial"/>
          <w:sz w:val="16"/>
          <w:szCs w:val="16"/>
          <w:color w:val="auto"/>
        </w:rPr>
        <w:t>% per annum, payable semi-annually in arrears on February 1 and August 1 of</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each year, beginning on August 1, 2016 (short first coupon). Interest on the notes will be paid to the person in whose name that note is registered at the close of business on January 15 or July 15, as the case may be, immediately preceding the relevant interest payment date. Interest on the notes will be computed on the basis of a 360-day year composed of twelve 30-day months. 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46"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period from and after that interest or other payment date, as the case may be, to the date of that payment on the next succeeding business day. Unless we default on a payment, no interest will accrue for that period from and after the applicable interest payment date, maturity date or redemption date. All payment dates with respect to the notes, whether at maturity, upon earlier redemption or on any interest payment date, shall be determined in accordance with the time-zone applicable to The City of New York. Because of time zone differences, the interest payment date on which we make payment may not be the same business day in the applicable jurisdiction of the relevant holder of notes. In addition, deliveries, payments and other communications involving the notes are likely to be carried out through Euroclear and Clearstream, which means such transaction can only be carried out on days when those systems are open for business. Those systems may not be open for business on days when banks, brokers and other institutions are open for business in the United States or Taiwan. See also “—Book-Entry System—Clearance and Settlement Procedures”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 or Exchange</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Principal of and premium, if any, and interest on the notes will be payable at the office of the paying agent in London, United Kingdom and any other location we designate. The notes may be registered for transfer or exchanged without payment of any charge (other than any tax or other governmental charge payable in connection therewith) at the office of the registrar in New York, New York. Initially, the paying agent’s office in London, United Kingdom and the registrar’s office in New York, New York will serve as our office and agency for these respective purposes. We may elect that payment of interest on notes be made by wire transfer or by check mailed to the address of the appropriate person as it appears on the security register. So long as the registered owner of the notes is a common depositary of Euroclear and Clearstream or their nominee, payment of principal and interest shall be made in accordance with the requirements of Euroclear and Clearstream. See “—Book-Entry System” below.</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are not required to transfer or exchange any note selected for redemption during a period of 15 days before the electronic delivery or mailing of a notice of redemption of notes to be redeemed.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that note for all purposes.</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Subject to applicable escheat laws, all amounts of principal and of premium, if any, and interest on the notes paid by us that remain unclaimed two years after such payment was due and payable will be repaid to us upon our request, and the holders of such notes will thereafter look solely to us for payment.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the option to redeem the notes then outstanding, in whole but not in part, on each August 1 on or after August 1, 2019. Any redemption described in this paragraph will be at a redemption price equal to 100% of the principal amount of the notes being redeemed plus accrued and unpaid interest to, but not including, the redemption date. We will calculate the redemption price in connection with any redemption hereunder. Unless we default in payment of the redemption price, on and after the redemption date, interest will cease to accrue on the notes called for redemption.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Notice of any redemption will be electronically delivered or mailed at least 30 days but not more than 60 days before the redemption date to each holder of the notes to be redeemed.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addition, the notes are subject to redemption prior to maturity if certain events occur involving U.S. taxation. If any of these special tax events do occur, the notes will be redeemed at a redemption price of 100% of their principal amount plus any accrued and unpaid interest and additional amounts then payable with respect to the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To the extent permitted by applicable authorities in the ROC and subject to the receipt of all necessary regulatory and listing approvals from such authorities, including but not limited to the TPEx and the TSA, we may from time to time, without notice to or the consent of the holders of the notes, create and issue additional notes having the same terms as, and ranking equally and ratably with, the notes in all respects (except for the issue date, the offering price and, if applicable, the payment of interest accruing prior to the issue date of such additional notes and the first payment of interest following the issue date of such additional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additional notes are not fungible with the notes offered hereby for U.S. federal income tax purposes, such additional notes will have one or more separate ISIN numbers. Such additional notes may be consolidated and form a single series with, and will have the same terms as to ranking, redemption, waivers, amendments or otherwise, as the notes, and will vote together as one class on all matters with respect to such notes.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in order that the net payment by us or our paying agent of the principal of and interest on the notes to a holder who is not a United States person (as defined below), after withholding or deduction for any present or future tax, assessment or other governmental charge (“Tax”)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94" w:lineRule="exact"/>
        <w:rPr>
          <w:sz w:val="20"/>
          <w:szCs w:val="20"/>
          <w:color w:val="auto"/>
        </w:rPr>
      </w:pPr>
    </w:p>
    <w:p>
      <w:pPr>
        <w:jc w:val="both"/>
        <w:ind w:left="900" w:right="1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notes), or a fiduciary, settlor, beneficiary, member or shareholder of the holder if the holder is an estate, trust, partnership or corporation, or a person holding a power over an estate or trust administered by a fiduciary holder, being considered as:</w:t>
      </w:r>
    </w:p>
    <w:p>
      <w:pPr>
        <w:spacing w:after="0" w:line="86"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ind w:left="1480" w:right="100" w:hanging="567"/>
        <w:spacing w:after="0" w:line="264"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ind w:left="1480" w:right="340" w:hanging="567"/>
        <w:spacing w:after="0" w:line="308" w:lineRule="auto"/>
        <w:tabs>
          <w:tab w:leader="none" w:pos="1480" w:val="left"/>
        </w:tabs>
        <w:numPr>
          <w:ilvl w:val="1"/>
          <w:numId w:val="7"/>
        </w:numPr>
        <w:rPr>
          <w:rFonts w:ascii="Arial" w:cs="Arial" w:eastAsia="Arial" w:hAnsi="Arial"/>
          <w:sz w:val="17"/>
          <w:szCs w:val="17"/>
          <w:color w:val="auto"/>
        </w:rPr>
      </w:pPr>
      <w:r>
        <w:rPr>
          <w:rFonts w:ascii="Arial" w:cs="Arial" w:eastAsia="Arial" w:hAnsi="Arial"/>
          <w:sz w:val="17"/>
          <w:szCs w:val="17"/>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51" w:lineRule="exact"/>
        <w:rPr>
          <w:rFonts w:ascii="Arial" w:cs="Arial" w:eastAsia="Arial" w:hAnsi="Arial"/>
          <w:sz w:val="17"/>
          <w:szCs w:val="17"/>
          <w:color w:val="auto"/>
        </w:rPr>
      </w:pPr>
    </w:p>
    <w:p>
      <w:pPr>
        <w:ind w:left="1480" w:right="28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or having been a “10-percent shareholder” of us or the applicable guarantor as defined in Section 871(h)(3) of the United States Internal Revenue Code of 1986, as amended (the “Code”);</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a controlled foreign corporation that is related to us or the applicable guarantor within the meaning of Section 864(d)(4) of the Code; or</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76" w:lineRule="exact"/>
        <w:rPr>
          <w:rFonts w:ascii="Arial" w:cs="Arial" w:eastAsia="Arial" w:hAnsi="Arial"/>
          <w:sz w:val="17"/>
          <w:szCs w:val="17"/>
          <w:color w:val="auto"/>
        </w:rPr>
      </w:pPr>
    </w:p>
    <w:p>
      <w:pPr>
        <w:ind w:left="900" w:right="4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withholding or deduction that is imposed on a payment to an individual and that is required to be made pursuant to European Council Directive 2003/48/EC on the taxing of savings income or any law implementing or complying with, or introduced in order to conform to, such European Council Directive on the taxation of savings (the “EC Directive”);</w:t>
      </w:r>
    </w:p>
    <w:p>
      <w:pPr>
        <w:spacing w:after="0" w:line="86"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Note, if such payment can be made without such withholding by at least one other paying agent;</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any combination of items (1)-(10) above.</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imposed by any government or a political subdivision or taxing authority of or in any government or political subdivision. As used under this heading “—Payment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additional amounts payable and when the additional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To the extent permitted by law, we will maintain a paying agent in a jurisdiction that will not require withholding or deduction of Tax pursuant to the EC Directive.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additional amounts paid on the notes will be in U.S.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notes, then we may at any time at our option redeem, in whole but not in part, the notes on not less than 10 nor more than 60 days prior notice, at a redemption price equal to 100% of their principal amount, together with accrued and unpaid interest on those notes to, but not including, the date fixed for redemption.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notes will be issued in registered, global form, in minimum denominations of $100,000 and multiples of $1,000 above that amount. Initially, the notes will be represented by one or more permanent global certificates (the “global notes”) (which may be subdivided) in definitive, fully registered form without interest coupons.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such global note will be deposited with, or on behalf of, a common depositary, and registered in the name of the common depositary or its nominee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 entry interests in the notes and all transfers relating to the notes will be reflected in the book entry records of Clearstream and Euroclear.</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 entry interests in the notes will take place through Clearstream and Euroclear participants and will settle in same day funds. Owners of book entry interests in the notes will receive payments relating to their notes in U.S. dollars.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policies of Clearstream and Euroclear will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been advised by Clearstream and Euroclear, respectively,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 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manager. Indirect access to Clearstream is also available to others, such as banks, brokers, dealers and trust companies that clear through or maintain a custodial relationship with a Clearstream Participant, either directly or indirectly.</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Clearstream will be credited to cash accounts of Clearstream Participants in accordance with its rules and procedures.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All operations are conducted by the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manager. Indirect access to Euroclear is also available to other firms that clear through or maintain a custodial relationship with a Euroclear Participant, either directly or indirectly.</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transfers of securities and cash within Euroclear;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withdrawal of securities and cash from Euroclear;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receipt of payments with respect to securities in Euroclear.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Euroclear will be credited to the cash accounts of Euroclear Participants in accordance with the Euroclear Terms and Conditions.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and Taiwan.</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or Taiwan. U.S. or Taiwanese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ROC Trading</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Investors with a securities book-entry account with a Taiwan securities broker and a foreign currency deposit account with a Taiwan bank, may request the approval of the Taiwan Depositary &amp; Clearing Corporation (the “TDCC”) for the settlement of the notes through the account of TDCC with Clearstream or Euroclear and if such approval is granted by the TDCC, the notes may be so cleared and settled. In such circumstances, the TDCC will allocate the respective book-entry interest of such investor in the notes position to the securities book-entry account designated by such investor in the ROC. The notes will be traded and settled pursuant to the applicable rules and operating procedures of TDCC and the TPEx as domestic bonds.</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addition, an investor may apply to TDCC (by filing in a prescribed form) to transfer the notes in its own account with Euroclear or Clearstream to the TDCC account with Euroclear or Clearstream for trading in the domestic market or vice versa for trading in overseas markets.</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such investors who hold their interest in the notes through an account opened and held by TDCC with Euroclear or Clearstream, distributions of principal and/or interest for the notes to such holders may be made by payment services banks whose systems are connected to TDCC to the foreign currency deposit accounts of the holders. Such payment is expected to be made on the second Taiwanese business day following TDCC’s receipt of such payment (due to time difference, the payment is expected to be received by TDCC one Taiwanese business day after the distribution date). However, when the holders will actually receive such distributions may vary depending upon the daily operations of the Taiwan banks with which the holder has the foreign currency deposit account.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$100,000 principal amount and multiples of $1,000 in excess thereof if:</w:t>
      </w:r>
    </w:p>
    <w:p>
      <w:pPr>
        <w:spacing w:after="0" w:line="76" w:lineRule="exact"/>
        <w:rPr>
          <w:sz w:val="20"/>
          <w:szCs w:val="20"/>
          <w:color w:val="auto"/>
        </w:rPr>
      </w:pPr>
    </w:p>
    <w:p>
      <w:pPr>
        <w:ind w:left="900" w:right="62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depositary (1) notifies us that it is unwilling or unable to continue as depositary for the global notes and we fail to appoint a successor depositary within 90 days or (2) has ceased to be a clearing agency registered under the Exchange Act and we fail to appoint a successor depositary within 90 days;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all cases, certificated notes delivered in exchange for any global notes or beneficial interests therein will be registered in the names, and issued in any approved denominations, requested by or on behalf of the depositary. It is expected that the depositary’s instructions will be based upon directions received by the depositary from participants with respect to ownership of beneficial interests in the relevant global note or notes that had been held by the depositary.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90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the notes is urged to consult his, her or its tax advisor.</w:t>
      </w:r>
    </w:p>
    <w:p>
      <w:pPr>
        <w:spacing w:after="0" w:line="18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This summary is based on the United States Internal Revenue Code of 1986, as amended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7" w:lineRule="exact"/>
        <w:rPr>
          <w:sz w:val="20"/>
          <w:szCs w:val="20"/>
          <w:color w:val="auto"/>
        </w:rPr>
      </w:pPr>
    </w:p>
    <w:p>
      <w:pPr>
        <w:ind w:left="900" w:right="20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a note, unless the gain is effectively connected with the conduct by the holder of a trade or business in the United States.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 Non-U.S. Holder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Such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 imposed under FATCA.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ROC TAXATION</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certain ROC tax consequences with respect to the holders of the notes, and is prepared based on current laws and regulations of the ROC. It does not purport to be comprehensive and does not constitute legal or tax advice. Investors (particularly those subject to special tax rules, such as banks, dealers, insurance companies and tax-exempt entities) should consult with their own tax advisers regarding the tax consequences of an investment in the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we, the issuer of the notes, are not an ROC statutory tax withholder, there is no ROC withholding tax on any payment to be paid on the notes. ROC corporate holders must include the interest receivable under the notes as part of their taxable income and pay income tax at a flat rate of 17 percent (unless the total taxable income for a fiscal year is under $120,000 New Taiwan Dollars), as they are subject to income tax on their worldwide income on an accrual basis. The alternative minimum tax (“AMT”) is not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the Notes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the sale of corporate bonds or financial bonds is subject to 0.1 percent securities transaction tax (“STT”) on the transaction price. However, Article 2-1 of the Securities Transaction Tax Act prescribes that STT will cease to be levied on the sale of corporate bonds and financial bonds for seven years from 1 January 2010 to 31 December 2016. Therefore, the sale of the notes will be exempt from STT if the sale is conducted on or before 31 December 2016. Starting from 1 January 2017, any sale of the notes will be subject to STT at 0.1 percent of the transaction price, unless otherwise provided by the tax laws that may be in force at that time.</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Capital gains generated from the sale of bonds are exempt from income tax. Accordingly, ROC corporate holders are not subject to income tax on any capital gains generated from the sale of the notes. However, ROC corporate holders should include the capital gains in calculating their basic income for the purpose of calculating their AMT. If the amount of the AMT exceeds the ordinary income tax calculated pursuant to the Income Basic Tax Act (also known as the AMT Act), the excess becomes the ROC corporate holders’ AMT payable. Capital losses, if any, incurred by such holders could be carried over 5 years to offset against capital gains of same category of income for the purposes of calculating their AMT.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Comcast Corporation and the manager for the offering named below have entered into a subscription agreement with respect to the notes. Subject to certain conditions, the manager has agreed to purchase the principal amount of notes indicated in the following table.</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Manager</w:t>
            </w:r>
          </w:p>
        </w:tc>
        <w:tc>
          <w:tcPr>
            <w:tcW w:w="2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6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Amount of notes</w:t>
            </w: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Deutsche</w:t>
            </w:r>
          </w:p>
        </w:tc>
        <w:tc>
          <w:tcPr>
            <w:tcW w:w="59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Bank AG, Taipei Branch</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99"/>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 manager is committed to take and pay for all of the notes being offered, if any are taken. To the extent permitted by applicable laws and regulations, the manager may make offers and sales in the United States through one or more U.S. registered broker-dealers. See “—Other Relationships.”</w:t>
      </w:r>
    </w:p>
    <w:p>
      <w:pPr>
        <w:spacing w:after="0" w:line="124"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Notes sold by the manager to the public will initially be offered at the initial public offering price set forth on the cover of this prospectus supplement. If all the notes are not sold at the initial public offering price, the manager may change the offering prices and the other selling terms. The offering of the notes by the manager is subject to receipt and acceptance and subject to the manager’s right to reject any order in whole or in part.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selling discount that we will pay to the manager in connection with this offering: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980" w:type="dxa"/>
            <w:vAlign w:val="bottom"/>
            <w:gridSpan w:val="3"/>
          </w:tcPr>
          <w:p>
            <w:pPr>
              <w:ind w:left="140"/>
              <w:spacing w:after="0"/>
              <w:rPr>
                <w:sz w:val="20"/>
                <w:szCs w:val="20"/>
                <w:color w:val="auto"/>
              </w:rPr>
            </w:pPr>
            <w:r>
              <w:rPr>
                <w:rFonts w:ascii="Arial" w:cs="Arial" w:eastAsia="Arial" w:hAnsi="Arial"/>
                <w:sz w:val="14"/>
                <w:szCs w:val="14"/>
                <w:b w:val="1"/>
                <w:bCs w:val="1"/>
                <w:color w:val="auto"/>
              </w:rPr>
              <w:t>Paid By Us</w:t>
            </w:r>
          </w:p>
        </w:tc>
      </w:tr>
      <w:tr>
        <w:trPr>
          <w:trHeight w:val="210"/>
        </w:trPr>
        <w:tc>
          <w:tcPr>
            <w:tcW w:w="1380" w:type="dxa"/>
            <w:vAlign w:val="bottom"/>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5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7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1520" w:type="dxa"/>
            <w:vAlign w:val="bottom"/>
          </w:tcPr>
          <w:p>
            <w:pPr>
              <w:ind w:left="360"/>
              <w:spacing w:after="0"/>
              <w:rPr>
                <w:sz w:val="20"/>
                <w:szCs w:val="20"/>
                <w:color w:val="auto"/>
              </w:rPr>
            </w:pPr>
            <w:r>
              <w:rPr>
                <w:rFonts w:ascii="Arial" w:cs="Arial" w:eastAsia="Arial" w:hAnsi="Arial"/>
                <w:sz w:val="18"/>
                <w:szCs w:val="18"/>
                <w:color w:val="auto"/>
              </w:rPr>
              <w:t>Total</w:t>
            </w:r>
          </w:p>
        </w:tc>
        <w:tc>
          <w:tcPr>
            <w:tcW w:w="60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18"/>
        </w:trPr>
        <w:tc>
          <w:tcPr>
            <w:tcW w:w="2900" w:type="dxa"/>
            <w:vAlign w:val="bottom"/>
            <w:gridSpan w:val="2"/>
          </w:tcPr>
          <w:p>
            <w:pPr>
              <w:spacing w:after="0"/>
              <w:rPr>
                <w:sz w:val="20"/>
                <w:szCs w:val="20"/>
                <w:color w:val="auto"/>
              </w:rPr>
            </w:pPr>
            <w:r>
              <w:rPr>
                <w:rFonts w:ascii="Arial" w:cs="Arial" w:eastAsia="Arial" w:hAnsi="Arial"/>
                <w:sz w:val="18"/>
                <w:szCs w:val="18"/>
                <w:color w:val="auto"/>
              </w:rPr>
              <w:t>We will pay an aggregate fee of $</w:t>
            </w:r>
          </w:p>
        </w:tc>
        <w:tc>
          <w:tcPr>
            <w:tcW w:w="8020" w:type="dxa"/>
            <w:vAlign w:val="bottom"/>
            <w:gridSpan w:val="4"/>
          </w:tcPr>
          <w:p>
            <w:pPr>
              <w:ind w:left="460"/>
              <w:spacing w:after="0"/>
              <w:rPr>
                <w:sz w:val="20"/>
                <w:szCs w:val="20"/>
                <w:color w:val="auto"/>
              </w:rPr>
            </w:pPr>
            <w:r>
              <w:rPr>
                <w:rFonts w:ascii="Arial" w:cs="Arial" w:eastAsia="Arial" w:hAnsi="Arial"/>
                <w:sz w:val="18"/>
                <w:szCs w:val="18"/>
                <w:color w:val="auto"/>
                <w:w w:val="91"/>
              </w:rPr>
              <w:t>(the “structuring fee”) to the structuring agents in connection with structuring services that they provided</w:t>
            </w:r>
          </w:p>
        </w:tc>
      </w:tr>
    </w:tbl>
    <w:p>
      <w:pPr>
        <w:ind w:right="20"/>
        <w:spacing w:after="0" w:line="277" w:lineRule="auto"/>
        <w:rPr>
          <w:sz w:val="20"/>
          <w:szCs w:val="20"/>
          <w:color w:val="auto"/>
        </w:rPr>
      </w:pPr>
      <w:r>
        <w:rPr>
          <w:rFonts w:ascii="Arial" w:cs="Arial" w:eastAsia="Arial" w:hAnsi="Arial"/>
          <w:sz w:val="17"/>
          <w:szCs w:val="17"/>
          <w:color w:val="auto"/>
        </w:rPr>
        <w:t>in connection with the notes. Each structuring agent, other than Deutsche Bank AG, Taipei Branch, is an entity not licensed in the ROC, has not offered or sold, and will not subscribe for or sell or underwrite, any notes offered hereby. We will pay Morgan Stanley &amp; Co. LLC the full amount of the structuring fee, and Morgan Stanley &amp; Co. LLC will, on our behalf, remit to each structuring agent its portion of the structuring fee.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our expenses in connection with this offering, other than the selling discount and the structuring fee, will be approximately</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 Morgan Stanley &amp; Co. LLC and Deutsche Bank AG, Taipei Branch have agreed to reimburse us for $ of our expenses associated with the offering.</w:t>
      </w:r>
    </w:p>
    <w:p>
      <w:pPr>
        <w:spacing w:after="0" w:line="1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also agreed to indemnify the manager against certain liabilities, including liabilities under the Securities Act, or to contribute to payments which the manager may be required to make in respect of any such liabilities. Separately, in connection with structuring services that the structuring agents provided in connection with the notes, we have agreed to indemnify the structuring agents against certain liabilities in connection with this offering, including liabilities under the Securities Act, or to contribute to payments made in respect of those liabilities.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notes are a new issue of securities with no established trading market. Application will be made to the TPEx for the listing of, and permission to deal in, the notes by way of debt issues to “professional institutional investors” as defined under Paragraph 2 of Article 4 of the Financial Consumer Protection Act of the ROC only and such permission is expected to become effective on or about May , 2016. We cannot make any assurance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that the TPEx listing will be maintained. The manager is not obligated to carry out market-making activities with respect to the notes. Accordingly, we cannot assure you as to the liquidity of, or the trading market for, the notes.</w:t>
      </w:r>
    </w:p>
    <w:p>
      <w:pPr>
        <w:spacing w:after="0" w:line="170"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We expect to deliver the notes against payment therefor on or about the date specified in the last paragraph of the cover page of this prospectus supplement, which will be the ninth business day following the date of the pricing of the notes. Under Rule 15c6-1 of the Exchange Act, trades in the secondary market are required to settle in three business days, unless the parties to a trade expressly agree otherwise. Accordingly, purchasers who wish to trade notes prior to the third business day preceding the settlement date will be required, by virtue of the fact that the notes initially will settle in T+9, to specify alternative settlement arrangements to prevent a failed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Deutsche Bank AG, Taipei Branch is not a U.S. registered broker-dealer and, therefore, to the extent permitted by ROC laws and regulations and that it intends to effect any sales of the notes in the United States, it will do so through one or more U.S. registered broker-dealers as permitted by FINRA regulations.</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manager, the structuring agents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manager, the structuring agents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the ordinary course of their various business activities, the manager, the structuring agents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ours. If any of the manager, the structuring agents or their respective affiliates has a lending relationship with us, certain of those manager and structuring agents or their respective affiliates routinely hedge, and certain other of those manager or structuring agents or their respective affiliates may hedge, their credit exposure to us consistent with their customary risk management policies. Typically, these manager and structuring agents or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manager, the structuring agents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the manager has represented and agreed that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such offer that has been approved by the competent authority in that Relevant Member State or, where appropriate, approved in another Relevant Member State and notified to the competent authority in that Relevant Member State, all in accordance with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Prospectus Directive, except that, it may, with effect from and including the relevant implementation date, make an offer of notes to the public in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Relevant Member State at any time:</w:t>
      </w:r>
    </w:p>
    <w:p>
      <w:pPr>
        <w:spacing w:after="0" w:line="103" w:lineRule="exact"/>
        <w:rPr>
          <w:sz w:val="20"/>
          <w:szCs w:val="20"/>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460" w:right="480" w:firstLine="4"/>
        <w:spacing w:after="0" w:line="277" w:lineRule="auto"/>
        <w:tabs>
          <w:tab w:leader="none" w:pos="7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provided that no such offer of notes shall require us or the manager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expression may be varied in that Relevant Member State by any measure implementing the Prospectus Directive in that Relevant Member State. The expression “Prospectus Directive” means Directive 2003/71/EC 9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manager has represented and agreed that:</w:t>
      </w:r>
    </w:p>
    <w:p>
      <w:pPr>
        <w:spacing w:after="0" w:line="117" w:lineRule="exact"/>
        <w:rPr>
          <w:sz w:val="20"/>
          <w:szCs w:val="20"/>
          <w:color w:val="auto"/>
        </w:rPr>
      </w:pPr>
    </w:p>
    <w:p>
      <w:pPr>
        <w:ind w:left="460" w:right="120" w:firstLine="4"/>
        <w:spacing w:after="0" w:line="312"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w:t>
      </w:r>
    </w:p>
    <w:p>
      <w:pPr>
        <w:spacing w:after="0" w:line="38" w:lineRule="exact"/>
        <w:rPr>
          <w:rFonts w:ascii="Arial" w:cs="Arial" w:eastAsia="Arial" w:hAnsi="Arial"/>
          <w:sz w:val="16"/>
          <w:szCs w:val="16"/>
          <w:color w:val="auto"/>
        </w:rPr>
      </w:pPr>
    </w:p>
    <w:p>
      <w:pPr>
        <w:ind w:left="460" w:right="200" w:firstLine="4"/>
        <w:spacing w:after="0" w:line="277" w:lineRule="auto"/>
        <w:tabs>
          <w:tab w:leader="none" w:pos="7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has not been approved by or registered with the Securities and Futures Commission of Hong Kong or the Registrar of Companies of Hong Kong. The notes will not be offered or sold in Hong Kong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which is directed at, or the contents of which are likely to be accessed or read by, the public of Hong Kong (except if permitted to do so under the securities laws of Hong Kong) has been issued or will be issued in Hong Kong or elsewhere other than with respect to notes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The manager has agreed that it has not, directly or indirectly, offered or sold and will not offer or sell any notes, directly or indirectly, in Japan or to, or for the benefit of, any resident of Japan (which term as used herein means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(the “SFA”), (ii) to a relevant person, or any person pursuant to Section 275(1A) of the SFA,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then securities, debentures and units of securities and debentures of that corporation or the beneficiaries’ rights and interest in that trust shall not be transferable for 6 months after that corporation or that trust has acquired the notes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Republic of China</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notes have not been, and shall not be, offered, sold or re-sold, directly or indirectly, to investors other than “professional institutional investors” as defined under Paragraph 2 of Article 4 of the Financial Consumer Protection Act, which currently include: overseas or domestic (i) banks, securities firms, futures firms and insurance companies (excluding insurance agencies, insurance brokers and insurance notaries), the foregoing as further defined in more details in Paragraph 3 of Article 2 of the Organization Act of the Financial Supervisory Commission, (ii) fund management companies, government investment institutions, government funds, pension funds, mutual funds, unit trusts, and funds managed by financial service enterprises pursuant to the Securities Investment Trust and Consulting Act, the Future Trading Act or the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LLP, New York, New York will issue a legal opinion on certain legal matters for the manager. Lee and Li, Attorneys-at-Law, is acting as special Taiwanese legal counsel to us and will issue an opinion on certain legal matters to the manager.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2015,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and its subsidiaries, incorporated herein by reference from NBCUniversal’s Annual Report on Form 10-K for the year ended December 31, 2015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rPr>
              <w:t>• Class A common stock</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 Units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w w:val="89"/>
              </w:rPr>
              <w:t>• Class A Special common stock</w:t>
            </w:r>
          </w:p>
        </w:tc>
      </w:tr>
    </w:tbl>
    <w:p>
      <w:pPr>
        <w:spacing w:after="0" w:line="15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November 20, 2015, the reported last sale prices on the Nasdaq Global Select Market for our Class A common stock and our Class A Special common stock were $62.90 and $63.01,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30 of Comcast’s and NBCUniversal’s combined annual report on Form 10-K for the year ended December 31, 2014,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23, 2015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377"/>
        </w:trPr>
        <w:tc>
          <w:tcPr>
            <w:tcW w:w="1120" w:type="dxa"/>
            <w:vAlign w:val="bottom"/>
            <w:gridSpan w:val="3"/>
            <w:vMerge w:val="restart"/>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The Companies</w:t>
              </w:r>
            </w:hyperlink>
          </w:p>
        </w:tc>
        <w:tc>
          <w:tcPr>
            <w:tcW w:w="9920" w:type="dxa"/>
            <w:vAlign w:val="bottom"/>
            <w:gridSpan w:val="12"/>
            <w:vMerge w:val="restart"/>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20" w:type="dxa"/>
            <w:vAlign w:val="bottom"/>
            <w:gridSpan w:val="1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Caution Concerning Forward-Looking Statements</w:t>
              </w:r>
            </w:hyperlink>
          </w:p>
        </w:tc>
        <w:tc>
          <w:tcPr>
            <w:tcW w:w="7500" w:type="dxa"/>
            <w:vAlign w:val="bottom"/>
            <w:gridSpan w:val="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Dividend Policy</w:t>
              </w:r>
            </w:hyperlink>
          </w:p>
        </w:tc>
        <w:tc>
          <w:tcPr>
            <w:tcW w:w="9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Debt Securities and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Global Securities</w:t>
              </w:r>
            </w:hyperlink>
          </w:p>
        </w:tc>
        <w:tc>
          <w:tcPr>
            <w:tcW w:w="77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Description of Capital Stock</w:t>
              </w:r>
            </w:hyperlink>
          </w:p>
        </w:tc>
        <w:tc>
          <w:tcPr>
            <w:tcW w:w="9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Legal Matters</w:t>
              </w:r>
            </w:hyperlink>
          </w:p>
        </w:tc>
        <w:tc>
          <w:tcPr>
            <w:tcW w:w="9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100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Incorporation of Certain Documents by Reference</w:t>
              </w:r>
            </w:hyperlink>
          </w:p>
        </w:tc>
        <w:tc>
          <w:tcPr>
            <w:tcW w:w="75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56" w:lineRule="exact"/>
        <w:rPr>
          <w:sz w:val="20"/>
          <w:szCs w:val="20"/>
          <w:color w:val="auto"/>
        </w:rPr>
      </w:pPr>
    </w:p>
    <w:p>
      <w:pPr>
        <w:ind w:left="900" w:right="240" w:hanging="325"/>
        <w:spacing w:after="0" w:line="262"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businesses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production operations.</w:t>
      </w:r>
    </w:p>
    <w:p>
      <w:pPr>
        <w:spacing w:after="0" w:line="38" w:lineRule="exact"/>
        <w:rPr>
          <w:rFonts w:ascii="Arial" w:cs="Arial" w:eastAsia="Arial" w:hAnsi="Arial"/>
          <w:sz w:val="18"/>
          <w:szCs w:val="18"/>
          <w:color w:val="auto"/>
        </w:rPr>
      </w:pPr>
    </w:p>
    <w:p>
      <w:pPr>
        <w:ind w:left="90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stations, the NBC Universo national cable network, and our broadcast television production operations.</w:t>
      </w:r>
    </w:p>
    <w:p>
      <w:pPr>
        <w:spacing w:after="0" w:line="38" w:lineRule="exact"/>
        <w:rPr>
          <w:rFonts w:ascii="Arial" w:cs="Arial" w:eastAsia="Arial" w:hAnsi="Arial"/>
          <w:sz w:val="18"/>
          <w:szCs w:val="18"/>
          <w:color w:val="auto"/>
        </w:rPr>
      </w:pPr>
    </w:p>
    <w:p>
      <w:pPr>
        <w:ind w:left="900" w:right="16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In 2014, our Cable Communications segment generated 64% of our consolidated revenue and 79% of our operating income before depreciation and amortization. The Cable Networks, Broadcast Television, Filmed Entertainment and Theme Parks segments comprise NBCUniversal’s businesses.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2014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consumer behavior driven by new products and services may adversely affect our businesses and challenge existing business models;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businesses;</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 ;</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retains the right to change our dividend policy at any time.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w w:val="91"/>
              </w:rPr>
              <w:t>For the Nine Months</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87"/>
              </w:rPr>
              <w:t>For the Years Ended December 31,</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130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w w:val="87"/>
              </w:rPr>
              <w:t>Ended September 30,</w:t>
            </w:r>
          </w:p>
        </w:tc>
        <w:tc>
          <w:tcPr>
            <w:tcW w:w="68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gridSpan w:val="4"/>
            <w:vMerge w:val="continue"/>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jc w:val="right"/>
              <w:ind w:right="446"/>
              <w:spacing w:after="0"/>
              <w:rPr>
                <w:sz w:val="20"/>
                <w:szCs w:val="20"/>
                <w:color w:val="auto"/>
              </w:rPr>
            </w:pPr>
            <w:r>
              <w:rPr>
                <w:rFonts w:ascii="Arial" w:cs="Arial" w:eastAsia="Arial" w:hAnsi="Arial"/>
                <w:sz w:val="14"/>
                <w:szCs w:val="14"/>
                <w:b w:val="1"/>
                <w:bCs w:val="1"/>
                <w:color w:val="auto"/>
              </w:rPr>
              <w:t>2015</w:t>
            </w:r>
          </w:p>
        </w:tc>
        <w:tc>
          <w:tcPr>
            <w:tcW w:w="238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22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1600" w:type="dxa"/>
            <w:vAlign w:val="bottom"/>
          </w:tcPr>
          <w:p>
            <w:pPr>
              <w:jc w:val="right"/>
              <w:ind w:right="58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3"/>
        </w:trPr>
        <w:tc>
          <w:tcPr>
            <w:tcW w:w="5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5.51x</w:t>
            </w:r>
          </w:p>
        </w:tc>
        <w:tc>
          <w:tcPr>
            <w:tcW w:w="6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5.22x</w:t>
            </w: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ind w:left="302"/>
              <w:spacing w:after="0" w:line="203" w:lineRule="exact"/>
              <w:rPr>
                <w:sz w:val="20"/>
                <w:szCs w:val="20"/>
                <w:color w:val="auto"/>
              </w:rPr>
            </w:pPr>
            <w:r>
              <w:rPr>
                <w:rFonts w:ascii="Arial" w:cs="Arial" w:eastAsia="Arial" w:hAnsi="Arial"/>
                <w:sz w:val="18"/>
                <w:szCs w:val="18"/>
                <w:color w:val="auto"/>
                <w:w w:val="86"/>
              </w:rPr>
              <w:t>4.85x</w:t>
            </w: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4.82x</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4.04x</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3.57x</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1"/>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28"/>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28"/>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may terminate our obligations and the obligations of the Guarantors under the indenture with respect to the senior debt securities of any series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hanging="446"/>
        <w:spacing w:after="0" w:line="294" w:lineRule="auto"/>
        <w:tabs>
          <w:tab w:leader="none" w:pos="14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20" w:hanging="325"/>
        <w:spacing w:after="0" w:line="370"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0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“Dividend Policy” above.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As of December 31, 2014,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2014,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September 30, 2015, if Mr. Roberts were to convert the Class B common stock he beneficially owns into Class A common stock, Mr. Roberts would beneficially own 15,182,592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will, when issued, be, fully paid and nonassessable. We have been advised that the Class A common stock and Class A Special common stock are exempt from existing Pennsylvania personal property tax.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 ’s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2014, filed on February 27, 2015.</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2015, June 30, 2015 and September 30, 2015, filed on May 4, 2015, July 23, 2015 and October 27, 2015, respectively.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29, 2015, March 31, 2015, April 24, 2015, May 11, 2015, May 22, 2015, May 27, 2015, June 18, 2015, July 1, 2015 and July 7, 2015.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NBCUniversal’s Current Reports on Form 8-K and amendments thereto filed on March 31, 2015, May 11, 2015 and July 1, 2015.</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2015 annual meeting of shareholders incorporated by reference in Comcast’s Annual Report on Form 10-K for the year ended December 31, 2014.</w:t>
      </w:r>
    </w:p>
    <w:p>
      <w:pPr>
        <w:spacing w:after="0" w:line="5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983615</wp:posOffset>
            </wp:positionV>
            <wp:extent cx="1397635" cy="488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40"/>
        <w:spacing w:after="0"/>
        <w:tabs>
          <w:tab w:leader="none" w:pos="582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1174750</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22"/>
          <w:szCs w:val="22"/>
          <w:i w:val="1"/>
          <w:iCs w:val="1"/>
          <w:color w:val="auto"/>
        </w:rPr>
        <w:t>Book-Running Manager</w:t>
      </w:r>
    </w:p>
    <w:p>
      <w:pPr>
        <w:spacing w:after="0" w:line="205"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auto"/>
        </w:rPr>
        <w:t>Deutsche Bank AG, Taipei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18"/>
          <w:szCs w:val="18"/>
          <w:b w:val="1"/>
          <w:bCs w:val="1"/>
          <w:color w:val="auto"/>
        </w:rPr>
        <w:t>May</w:t>
        <w:tab/>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215"/>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lowerLetter"/>
      <w:start w:val="23"/>
    </w:lvl>
  </w:abstractNum>
  <w:abstractNum w:abstractNumId="6">
    <w:nsid w:val="189A769B"/>
    <w:multiLevelType w:val="hybridMultilevel"/>
    <w:lvl w:ilvl="0">
      <w:lvlJc w:val="left"/>
      <w:lvlText w:val="%1."/>
      <w:numFmt w:val="decimal"/>
      <w:start w:val="1"/>
    </w:lvl>
    <w:lvl w:ilvl="1">
      <w:lvlJc w:val="left"/>
      <w:lvlText w:val="%2."/>
      <w:numFmt w:val="lowerLetter"/>
      <w:start w:val="1"/>
    </w:lvl>
  </w:abstractNum>
  <w:abstractNum w:abstractNumId="7">
    <w:nsid w:val="54E49EB4"/>
    <w:multiLevelType w:val="hybridMultilevel"/>
    <w:lvl w:ilvl="0">
      <w:lvlJc w:val="left"/>
      <w:lvlText w:val="%1."/>
      <w:numFmt w:val="decimal"/>
      <w:start w:val="2"/>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lowerLetter"/>
      <w:start w:val="3"/>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3"/>
    </w:lvl>
  </w:abstractNum>
  <w:abstractNum w:abstractNumId="27">
    <w:nsid w:val="77465F01"/>
    <w:multiLevelType w:val="hybridMultilevel"/>
    <w:lvl w:ilvl="0">
      <w:lvlJc w:val="left"/>
      <w:lvlText w:val="%1"/>
      <w:numFmt w:val="lowerLetter"/>
      <w:start w:val="1"/>
    </w:lvl>
    <w:lvl w:ilvl="1">
      <w:lvlJc w:val="left"/>
      <w:lvlText w:val="(%2)"/>
      <w:numFmt w:val="lowerLetter"/>
      <w:start w:val="13"/>
    </w:lvl>
  </w:abstractNum>
  <w:abstractNum w:abstractNumId="28">
    <w:nsid w:val="7724C67E"/>
    <w:multiLevelType w:val="hybridMultilevel"/>
    <w:lvl w:ilvl="0">
      <w:lvlJc w:val="left"/>
      <w:lvlText w:val="(%1)"/>
      <w:numFmt w:val="lowerLetter"/>
      <w:start w:val="61"/>
    </w:lvl>
    <w:lvl w:ilvl="1">
      <w:lvlJc w:val="left"/>
      <w:lvlText w:val="(%2)"/>
      <w:numFmt w:val="lowerLetter"/>
      <w:start w:val="19"/>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
      <w:numFmt w:val="bullet"/>
      <w:start w:val="1"/>
    </w:lvl>
    <w:lvl w:ilvl="1">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lvl w:ilvl="1">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2019-12-07T16:03:20Z</dcterms:created>
  <dcterms:modified xsi:type="dcterms:W3CDTF">2019-12-07T16:03:20Z</dcterms:modified>
</cp:coreProperties>
</file>