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8-K</w:t>
      </w:r>
    </w:p>
    <w:p>
      <w:pPr>
        <w:spacing w:after="0" w:line="338"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Date of Report (Date of earliest event reported): July 31, 2003</w:t>
      </w:r>
    </w:p>
    <w:p>
      <w:pPr>
        <w:spacing w:after="0" w:line="200" w:lineRule="exact"/>
        <w:rPr>
          <w:sz w:val="24"/>
          <w:szCs w:val="24"/>
          <w:color w:val="auto"/>
        </w:rPr>
      </w:pPr>
    </w:p>
    <w:p>
      <w:pPr>
        <w:spacing w:after="0" w:line="3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Pennsylvania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000-50093</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27-0000798</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7" w:lineRule="exact"/>
        <w:rPr>
          <w:sz w:val="24"/>
          <w:szCs w:val="24"/>
          <w:color w:val="auto"/>
        </w:rPr>
      </w:pPr>
    </w:p>
    <w:p>
      <w:pPr>
        <w:sectPr>
          <w:pgSz w:w="11900" w:h="16838" w:orient="portrait"/>
          <w:cols w:equalWidth="0" w:num="3">
            <w:col w:w="2040" w:space="720"/>
            <w:col w:w="1640" w:space="700"/>
            <w:col w:w="513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incorporation)</w:t>
      </w:r>
    </w:p>
    <w:p>
      <w:pPr>
        <w:spacing w:after="0" w:line="200" w:lineRule="exact"/>
        <w:rPr>
          <w:sz w:val="24"/>
          <w:szCs w:val="24"/>
          <w:color w:val="auto"/>
        </w:rPr>
      </w:pPr>
    </w:p>
    <w:p>
      <w:pPr>
        <w:spacing w:after="0" w:line="304" w:lineRule="exact"/>
        <w:rPr>
          <w:sz w:val="24"/>
          <w:szCs w:val="24"/>
          <w:color w:val="auto"/>
        </w:rPr>
      </w:pPr>
    </w:p>
    <w:p>
      <w:pPr>
        <w:ind w:left="1120"/>
        <w:spacing w:after="0"/>
        <w:tabs>
          <w:tab w:leader="none" w:pos="4980" w:val="left"/>
        </w:tabs>
        <w:rPr>
          <w:sz w:val="20"/>
          <w:szCs w:val="20"/>
          <w:color w:val="auto"/>
        </w:rPr>
      </w:pPr>
      <w:r>
        <w:rPr>
          <w:rFonts w:ascii="Courier New" w:cs="Courier New" w:eastAsia="Courier New" w:hAnsi="Courier New"/>
          <w:sz w:val="14"/>
          <w:szCs w:val="14"/>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tabs>
          <w:tab w:leader="none" w:pos="498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right"/>
        <w:ind w:left="700" w:right="3939"/>
        <w:spacing w:after="0" w:line="255" w:lineRule="auto"/>
        <w:rPr>
          <w:sz w:val="20"/>
          <w:szCs w:val="20"/>
          <w:color w:val="auto"/>
        </w:rPr>
      </w:pPr>
      <w:r>
        <w:rPr>
          <w:rFonts w:ascii="Courier New" w:cs="Courier New" w:eastAsia="Courier New" w:hAnsi="Courier New"/>
          <w:sz w:val="14"/>
          <w:szCs w:val="14"/>
          <w:color w:val="auto"/>
        </w:rPr>
        <w:t>Registrant's telephone number, including area code (215) 665-1700 --------------</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7(c). Exhibits</w:t>
      </w:r>
    </w:p>
    <w:p>
      <w:pPr>
        <w:spacing w:after="0" w:line="17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Exhibit 99.1</w:t>
      </w:r>
      <w:r>
        <w:rPr>
          <w:sz w:val="20"/>
          <w:szCs w:val="20"/>
          <w:color w:val="auto"/>
        </w:rPr>
        <w:tab/>
      </w:r>
      <w:r>
        <w:rPr>
          <w:rFonts w:ascii="Courier New" w:cs="Courier New" w:eastAsia="Courier New" w:hAnsi="Courier New"/>
          <w:sz w:val="14"/>
          <w:szCs w:val="14"/>
          <w:color w:val="auto"/>
        </w:rPr>
        <w:t>Comcast Corporation press release dated July 31, 2003.</w:t>
      </w:r>
    </w:p>
    <w:p>
      <w:pPr>
        <w:spacing w:after="0" w:line="200" w:lineRule="exact"/>
        <w:rPr>
          <w:sz w:val="24"/>
          <w:szCs w:val="24"/>
          <w:color w:val="auto"/>
        </w:rPr>
      </w:pPr>
    </w:p>
    <w:p>
      <w:pPr>
        <w:spacing w:after="0" w:line="304"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Regulation FD Disclosure</w:t>
      </w:r>
    </w:p>
    <w:p>
      <w:pPr>
        <w:spacing w:after="0" w:line="173" w:lineRule="exact"/>
        <w:rPr>
          <w:sz w:val="24"/>
          <w:szCs w:val="24"/>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following information is furnished pursuant to Item 9, "Regulation FD Disclosure," and Item 12, "Results of Operations and Financial Condition."</w:t>
      </w:r>
    </w:p>
    <w:p>
      <w:pPr>
        <w:spacing w:after="0" w:line="160" w:lineRule="exact"/>
        <w:rPr>
          <w:sz w:val="24"/>
          <w:szCs w:val="24"/>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July 31, 2003, Comcast Corporation ("Comcast") issued a press release reporting the results of its operations for the three and six months ended June 30, 2003. The press release is attached hereto as Exhibit 99.1. Comcast does not intend for this Item 9 or Exhibit 99.1 to be treated as "filed" under the Securities Exchange Act of 1934, as amended, or incorporated by reference into its filings under the Securities Act of 1933, as amended.</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 2003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sectPr>
          <w:pgSz w:w="11900" w:h="16838" w:orient="portrait"/>
          <w:cols w:equalWidth="0" w:num="3">
            <w:col w:w="520" w:space="180"/>
            <w:col w:w="2460" w:space="720"/>
            <w:col w:w="6359"/>
          </w:cols>
          <w:pgMar w:left="220" w:top="616"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4"/>
          <w:szCs w:val="14"/>
          <w:color w:val="auto"/>
        </w:rPr>
        <w:t>By: /s/ Lawrence J. Salva</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Lawrence J. Salva</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Controller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239"/>
          </w:cols>
          <w:pgMar w:left="220" w:top="616" w:right="1440" w:bottom="1440" w:gutter="0" w:footer="0" w:header="0"/>
          <w:type w:val="continuous"/>
        </w:sectPr>
      </w:pPr>
    </w:p>
    <w:bookmarkStart w:id="2" w:name="page3"/>
    <w:bookmarkEnd w:id="2"/>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w:t>
      </w:r>
    </w:p>
    <w:p>
      <w:pPr>
        <w:spacing w:after="0" w:line="173"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[GRAPHIC OMITTED]</w:t>
      </w:r>
      <w:r>
        <w:rPr>
          <w:sz w:val="20"/>
          <w:szCs w:val="20"/>
          <w:color w:val="auto"/>
        </w:rPr>
        <w:tab/>
      </w:r>
      <w:r>
        <w:rPr>
          <w:rFonts w:ascii="Courier New" w:cs="Courier New" w:eastAsia="Courier New" w:hAnsi="Courier New"/>
          <w:sz w:val="14"/>
          <w:szCs w:val="14"/>
          <w:color w:val="auto"/>
        </w:rPr>
        <w:t>PRESS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Contact:</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Marlene S. Dooner, Vice President,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981-7392</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Leslie A. Arena, Director,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981-8511</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Daniel J. Goodwin, Director,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981-7518</w:t>
            </w:r>
          </w:p>
        </w:tc>
      </w:tr>
    </w:tbl>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COMCAST REPORTS SECOND QUARTER 2003 RESULTS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Revenue Increased to $5.685 Billion</w:t>
      </w:r>
    </w:p>
    <w:p>
      <w:pPr>
        <w:spacing w:after="0" w:line="7" w:lineRule="exact"/>
        <w:rPr>
          <w:sz w:val="20"/>
          <w:szCs w:val="20"/>
          <w:color w:val="auto"/>
        </w:rPr>
      </w:pPr>
    </w:p>
    <w:p>
      <w:pPr>
        <w:ind w:left="1120" w:right="4199" w:hanging="257"/>
        <w:spacing w:after="0" w:line="255" w:lineRule="auto"/>
        <w:rPr>
          <w:sz w:val="20"/>
          <w:szCs w:val="20"/>
          <w:color w:val="auto"/>
        </w:rPr>
      </w:pPr>
      <w:r>
        <w:rPr>
          <w:rFonts w:ascii="Courier New" w:cs="Courier New" w:eastAsia="Courier New" w:hAnsi="Courier New"/>
          <w:sz w:val="14"/>
          <w:szCs w:val="14"/>
          <w:color w:val="auto"/>
        </w:rPr>
        <w:t>Consolidated Operating Cash Flow Increased to $1.831 Billion Consolidated Operating Income Increased to $611 Million</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INTEGRATION OF NEWLY ACQUIRED CABLE SYSTEMS AHEAD OF SCHEDULE</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Basic Cable Subscribers Increased by 12,100</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Pro Forma Cable Operating Cash Flow Increased 35.7% to $1.597 Billion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Operating Cash Flow Margin Reached 36.5%</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 Forma Cable Operating Income Increased to $464 Million</w:t>
      </w:r>
    </w:p>
    <w:p>
      <w:pPr>
        <w:spacing w:after="0" w:line="173" w:lineRule="exact"/>
        <w:rPr>
          <w:sz w:val="20"/>
          <w:szCs w:val="20"/>
          <w:color w:val="auto"/>
        </w:rPr>
      </w:pPr>
    </w:p>
    <w:p>
      <w:pPr>
        <w:ind w:left="780" w:right="3599" w:hanging="430"/>
        <w:spacing w:after="0" w:line="255" w:lineRule="auto"/>
        <w:rPr>
          <w:sz w:val="20"/>
          <w:szCs w:val="20"/>
          <w:color w:val="auto"/>
        </w:rPr>
      </w:pPr>
      <w:r>
        <w:rPr>
          <w:rFonts w:ascii="Courier New" w:cs="Courier New" w:eastAsia="Courier New" w:hAnsi="Courier New"/>
          <w:sz w:val="14"/>
          <w:szCs w:val="14"/>
          <w:color w:val="auto"/>
        </w:rPr>
        <w:t>COMCAST INCREASES 2003 GUIDANCE FOR BASIC CABLE SUBSCRIBERS AND FOR CABLE OPERATING CASH FLOW AND REAFFIRMS ALL OTHER FULL YEAR GUIDANCE</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Philadelphia, PA - July 31, 2003...Comcast Corporation (Nasdaq: CMCSA, CMCSK) today reported results for the quarter ended June 30, 2003. Comcast will discuss second quarter results on a conference call and webcast today at 10:30 AM Eastern Time. A live broadcast of the conference call will be available on the investor relations website at www.cmcsa.com or www.cmcsk.com.</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Brian L. Roberts, president and CEO of Comcast Corporation said, "Our integration is continuing to exceed all of our previous expectations. In this quarter, we have delivered outstanding financial and operational performance. Every one of our key integration initiatives - basic subscriber and operating cash flow growth, operating margin improvement and the pace of our cable system upgrades - is proceeding beyond our original schedule."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second quarter, we added 12,100 basic subscribers, a significant accomplishment in a seasonally slow quarter and a remarkable turnaround from the loss of 133,300 subscribers in the second quarter of 2002. As a result, we are again increasing our guidance for basic cable subscriber additions for 2003. We now expect to add 125,000 to 150,000 basic cable subscribers, significantly above our expectation of flat subscriber growth at the beginning of this year."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also continuing to realize significant operating efficiencies in our cable operations, driving our cable cash flow margin up to 36.5% and our annualized cable operating cash flow per subscriber to nearly $300. As a result, we are increasing our guidance for full year cable operating cash flow by $100 million to between $6.3 and $6.4 billion. We continue to see significant opportunities to accelerate revenue and cash flow growth from the newly-acquired cable systems to match the performance of our historical cable systems as well as to maximize the performance of all our cable systems."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Roberts continued, "At the same time, we continue to attract new customers to our digital and high-speed Internet products and to expand the range of our new product offerings to consumers. Our Digital Cable service is being enhanced with broader availability of Comcast-on-Demand and HDTV, and later this year, DVR. We introduced a new broadband portal to our high-speed Internet customers in July and continue to extend availability of the service and our retail distribution capability."</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recently announced our agreement to sell our 57% ownership stake in QVC. The sale will solidify our balance sheet and provide significant financial flexibility to support future growth."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Cable results for the quarter ended June 30, 2003 are presented on a pro forma basis. Pro forma results adjust only for acquisitions and are presented as if the acquisition of AT&amp;T Broadband completed in November 2002 was effective on January 1, 2002. Please refer to Table 8-A and B for reconciliation of historical and pro forma data.</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 forma Comcast Cable revenue for the quarter ended June 30, 2003 was $4.379 billion, representing a 9.2% increase over the $4.009 billion in the second quarter of 2002. Pro forma operating income before depreciation and amortization (Operating Cash Flow) for the quarter was $1.597 billion, an increase of 35.7% over the $1.177 billion for the same period of 2002. Pro forma results include $100 million of acquisition and employee termination-related costs incurred by AT&amp;T Broadband in the second quarter of 2002. Excluding these costs, pro forma cable operating cash flow grew 25.0%. Pro forma operating cash flow margins reached 36.5% as overhead reductions and other cost cutting measures took effect. Pro forma cable operating income was $464 million in the second quarter compared to a pro forma operating loss of $16.4 billion in the second quarter of 2002 reflecting AT&amp;T Broadband's write-down of goodwill and cable franchise rights prior to our acquisition.</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Pro forma cable video revenue increased 5.1% in the second quarter of 2003 compared with the prior year quarter driven by continuing increases in average</w:t>
      </w:r>
    </w:p>
    <w:p>
      <w:pPr>
        <w:sectPr>
          <w:pgSz w:w="11900" w:h="16890" w:orient="portrait"/>
          <w:cols w:equalWidth="0" w:num="1">
            <w:col w:w="10239"/>
          </w:cols>
          <w:pgMar w:left="220" w:top="307" w:right="1440" w:bottom="0" w:gutter="0" w:footer="0" w:header="0"/>
        </w:sectPr>
      </w:pPr>
    </w:p>
    <w:bookmarkStart w:id="3" w:name="page4"/>
    <w:bookmarkEnd w:id="3"/>
    <w:p>
      <w:pPr>
        <w:jc w:val="both"/>
        <w:ind w:right="3339"/>
        <w:spacing w:after="0" w:line="250" w:lineRule="auto"/>
        <w:rPr>
          <w:sz w:val="20"/>
          <w:szCs w:val="20"/>
          <w:color w:val="auto"/>
        </w:rPr>
      </w:pPr>
      <w:r>
        <w:rPr>
          <w:rFonts w:ascii="Courier New" w:cs="Courier New" w:eastAsia="Courier New" w:hAnsi="Courier New"/>
          <w:sz w:val="14"/>
          <w:szCs w:val="14"/>
          <w:color w:val="auto"/>
        </w:rPr>
        <w:t>monthly revenue per basic subscriber and growth in Digital Cable revenue. Our Digital Cable customer base grew by 19.4% to 6.950 million subscribers and our average monthly revenue per digital subscriber grew 5.7% to $15.28 during the second quarter of 2003. These increases were offset by lower pay-per-view revenue due to the absence of major boxing events in the second quarter of 2003 and the continuing impact of pre-acquisition basic subscriber losses in the newly-acquired cable systems. Pro forma high-speed Internet service revenue for the second quarter of 2003 increased 56.6% over the prior year quarter to $548 million, reflecting a 50.6% increase in the customer base and average revenue per subscriber of $43.34 in the second quarter, a 3.6% increase over the prior year period. Pro forma cable phone revenue declined 1.9% from the second quarter of 2002 to $205 million, reflecting a decrease in net subscriber additions as a result of our reduced marketing efforts. Pro forma advertising revenue increased 8.3% over the prior year quarter to $285 million, reflecting 17% growth in regional/national advertising as a</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4" w:name="page5"/>
    <w:bookmarkEnd w:id="4"/>
    <w:p>
      <w:pPr>
        <w:jc w:val="both"/>
        <w:ind w:right="3339"/>
        <w:spacing w:after="0" w:line="255" w:lineRule="auto"/>
        <w:rPr>
          <w:sz w:val="20"/>
          <w:szCs w:val="20"/>
          <w:color w:val="auto"/>
        </w:rPr>
      </w:pPr>
      <w:r>
        <w:rPr>
          <w:rFonts w:ascii="Courier New" w:cs="Courier New" w:eastAsia="Courier New" w:hAnsi="Courier New"/>
          <w:sz w:val="14"/>
          <w:szCs w:val="14"/>
          <w:color w:val="auto"/>
        </w:rPr>
        <w:t>result of the continuing success of our regional interconnects, and growth of 3% in a soft local advertising market.</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second quarter of 2003, Comcast Cable added 12,100 basic cable subscribers, a dramatic improvement over the combined loss of 133,300 subscribers in 2002. The increase reflects basic subscriber gains of 35,200 in the newly-acquired cable systems, as the Company continues to focus on these markets with successful new customer initiatives including expanded Hispanic video offerings. The second quarter results represent a marked turnaround from the second quarter of 2002 when those systems lost 122,800 subscribers.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Cable added 162,100 Digital Cable subscribers to end the second quarter with 6.950 million Digital Cable subscribers, a pro forma increase of 19.4% over the same prior year period, representing a subscriber penetration rate of 32.5%. Digital Cable subscriber additions slowed primarily reflecting the continuing impact of digital repackaging and re-pricing in the newly-acquired cable systems as the Company focuses on improving the profitability of the Digital Cable service in those systems. In the second quarter of 2003, each Digital Cable subscriber contributed, on average, $15.28 in revenue per month, up 5.7% from the second quarter of 2002. The Company reaffirms its previous guidance for Digital Cable subscriber additions of between 950,000 and 1 million in 2003.</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Cable continued to enhance its Digital Cable offering as it expanded the availability of video-on-demand (VOD) and high-definition television (HDTV). VOD is now available to 20% of our subscribers and is expected to increase to 50% by the end of this year as we accelerate the deployment into new markets during the second half of 2003. HDTV is available to 54% of our customer base at the end of the second quarter and is expected to increase to 65% by year end.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Cable added 350,900 high-speed Internet customers, a pro forma increase in net additions of 32.8% over the same prior year period, to finish the second quarter with nearly 4.4 million subscribers, representing a penetration rate of 13.7%. In the second quarter of 2003, each Comcast High-Speed Internet subscriber contributed, on average, $43.34 in revenue per month, up 3.6% from the second quarter of 2002. More than 81% of the homes in Comcast's footprint, or 32.1 million homes, now have access to high-speed Internet service. This represents the addition of over 1.0 million homes to the service's footprint during the second quarter. Growth in the second half of 2003 is expected to be driven by continuing expansion of the service's footprint, to 34 million homes, expanded retail distribution through more than 3,800 retail outlets and creative marketing initiatives including "Instant Install." The Company reaffirms its guidance for high-speed Internet customer additions of 1.6 million in 2003.</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Capital expenditures totaled $1.05 billion as Comcast Cable completed the upgrade of nearly 16,000 miles of plant to end the quarter with more than 89% of its footprint upgraded to provide two-way digital and high-speed Internet services. The newly-acquired systems are now 85% upgraded to deliver two-way digital cable and high-speed Internet service, up from 80% at March 31, 2003. With more than 28,100 miles upgraded this year, the Company expects to comfortably meet its target of upgrading approximately 94% of all its cable systems to provide two-way digital and high-speed Internet services by year-end 2003.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Commerce:</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QVC</w:t>
            </w:r>
          </w:p>
        </w:tc>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gridSpan w:val="3"/>
          </w:tcPr>
          <w:p>
            <w:pPr>
              <w:spacing w:after="0"/>
              <w:rPr>
                <w:sz w:val="20"/>
                <w:szCs w:val="20"/>
                <w:color w:val="auto"/>
              </w:rPr>
            </w:pPr>
            <w:r>
              <w:rPr>
                <w:rFonts w:ascii="Courier New" w:cs="Courier New" w:eastAsia="Courier New" w:hAnsi="Courier New"/>
                <w:sz w:val="14"/>
                <w:szCs w:val="14"/>
                <w:color w:val="auto"/>
              </w:rPr>
              <w:t>QVC's  consolidated  revenues  for the  quarter  ended June 30, 2003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were $1.101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billion,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 11.3%</w:t>
            </w:r>
          </w:p>
        </w:tc>
        <w:tc>
          <w:tcPr>
            <w:tcW w:w="5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increase from the $990 million reported in the second quarter</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of 2002.</w:t>
            </w:r>
          </w:p>
        </w:tc>
        <w:tc>
          <w:tcPr>
            <w:tcW w:w="5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operating cash flow for the quarter was $219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million, an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of 13.2%</w:t>
            </w:r>
          </w:p>
        </w:tc>
        <w:tc>
          <w:tcPr>
            <w:tcW w:w="4300" w:type="dxa"/>
            <w:vAlign w:val="bottom"/>
          </w:tcPr>
          <w:p>
            <w:pPr>
              <w:jc w:val="right"/>
              <w:ind w:right="2288"/>
              <w:spacing w:after="0"/>
              <w:rPr>
                <w:sz w:val="20"/>
                <w:szCs w:val="20"/>
                <w:color w:val="auto"/>
              </w:rPr>
            </w:pPr>
            <w:r>
              <w:rPr>
                <w:rFonts w:ascii="Courier New" w:cs="Courier New" w:eastAsia="Courier New" w:hAnsi="Courier New"/>
                <w:sz w:val="14"/>
                <w:szCs w:val="14"/>
                <w:color w:val="auto"/>
              </w:rPr>
              <w:t>over the $194  million</w:t>
            </w:r>
          </w:p>
        </w:tc>
        <w:tc>
          <w:tcPr>
            <w:tcW w:w="1000" w:type="dxa"/>
            <w:vAlign w:val="bottom"/>
          </w:tcPr>
          <w:p>
            <w:pPr>
              <w:spacing w:after="0"/>
              <w:rPr>
                <w:sz w:val="14"/>
                <w:szCs w:val="14"/>
                <w:color w:val="auto"/>
              </w:rPr>
            </w:pPr>
          </w:p>
        </w:tc>
      </w:tr>
      <w:tr>
        <w:trPr>
          <w:trHeight w:val="497"/>
        </w:trPr>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00" w:type="dxa"/>
            <w:vAlign w:val="bottom"/>
          </w:tcPr>
          <w:p>
            <w:pPr>
              <w:jc w:val="right"/>
              <w:ind w:right="236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5" w:name="page6"/>
    <w:bookmarkEnd w:id="5"/>
    <w:p>
      <w:pPr>
        <w:jc w:val="both"/>
        <w:ind w:right="3339"/>
        <w:spacing w:after="0" w:line="252" w:lineRule="auto"/>
        <w:rPr>
          <w:sz w:val="20"/>
          <w:szCs w:val="20"/>
          <w:color w:val="auto"/>
        </w:rPr>
      </w:pPr>
      <w:r>
        <w:rPr>
          <w:rFonts w:ascii="Courier New" w:cs="Courier New" w:eastAsia="Courier New" w:hAnsi="Courier New"/>
          <w:sz w:val="14"/>
          <w:szCs w:val="14"/>
          <w:color w:val="auto"/>
        </w:rPr>
        <w:t>reported in the prior year quarter. Consolidated operating income was $185 million, an 11.8% increase over operating income of $165 million in the second quarter of 2002.</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QVC's international operations contributed significantly to the double-digit growth in QVC's consolidated results in the second quarter of 2003. International revenue grew 63.3% to $239 million for the quarter while international operating cash flow grew from $2 million in the second quarter of 2002 to $23 million in the second quarter of 2003. QVC's domestic revenue of $862 million increased 2.3% and operating cash flow of $196 million increased 2.6% from the second quarter of 2002.</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July 3, 2003, Comcast announced its decision to sell its 57% stake in QVC to Liberty Media for approximately $7.9 billion in the form of $2.6 billion of Liberty Media stock and a $5.3 billion three-year note. Comcast expects that the transaction will close before year-end and plans to report QVC's results as discontinued operations beginning in the third quarter of 2003.</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Content and Other includes the Company's content businesses, corporate overhead and eliminations. Content businesses include E! Networks (E! Entertainment and Style), Comcast-Spectacor, The Golf Channel, Outdoor Life Network, and G4.</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Comcast's content and other segment reported second quarter 2003 revenue of $205 million, a 26.8% increase over the second quarter of 2002 and operating cash flow of $15 million, down from the $19 million reported in the second quarter of 2002. Operating cash flow for the segment reflected continuing investments in Outdoor Life and G4, as well as an increase in corporate overhead as a result of the AT&amp;T Broadband acquisition.</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 Networks, The Golf Channel and Comcast-Spectacor each reported revenue growth above 17% and operating cash flow growth above 25%, reflecting increases in distribution and advertising revenues at each of the cable channels and additional playoff activity at Comcast-Spectacor.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The Company acquired AT&amp;T Broadband in November 2002 adding over 13 million cable subscribers to its customer base. Results of operations from 314,000 cable subscribers sold to Bresnan Communications on March 20, 2003 are not included in operating results for any periods.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three months ended June 30, 2003, the Company reported consolidated revenues of $5.685 billion, as compared to $2.704 billion reported in the second quarter of 2002. Consolidated operating cash flow increased to $1.831 billion from the $866 million reported in the second quarter of 2002. Increases in revenue, operating cash flow, depreciation and amortization and interest expense primarily reflect the acquisition of AT&amp;T Broadband in November 2002. For the three months ended June 30, 2003, the Company reported operating income of $611 million compared to operating income of $478 million in the second quarter of 2002. The Company reported a consolidated net loss of $22 million or $0.01 per share as compared to a net loss of $210 million or $0.22 per share in the second quarter of 2002. Please refer to Table 8-A, B and C of this release for a reconciliation of historical and pro forma data and for details regarding non-operating items.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Pro forma consolidated results are presented as if the acquisition of AT&amp;T Broadband were effective on January 1, 2002. For the second quarter of 2003, the Company reported pro forma consolidated revenues of $5.685 billion, a 10.2% increase from the $5.159 billion in the second quarter of 2002. Pro forma consolidated operating cash flow for the second quarter of 2003 was $1.831 billion, a 31.7% increase from the $1.390 billion in the prior year quarter. Included in the second quarter of 2002 is $100 million of acquisition and employee termination related costs. Excluding these costs, pro forma consolidated operating cash flow grew 22.9%. Pro forma consolidated operating income was $611 million, as compared to an operating loss of $16.3 billion in the second quarter of 2002 reflecting AT&amp;T Broadband's write-down of goodwill and cable franchise rights prior to our acquisition.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and Liquidity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second quarter, the Company continued to make significant progress to improve its balance sheet and liquidity position. At June 30, 2003, the Company's total debt was $32.3 billion, including $5.6 billion of exchangeable notes collateralized by equity securities that the Company owns. Debt excluding exchangeables was $26.7 billion. The Company reduced total debt by over $500 million during the quarter primarily through the use of cash proceeds from the sale of our interest in a cable joint venture to Paul Allen, the Chairman of Charter Communications, Inc., for $728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Guidance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 is increasing its guidance for basic cable subscribers and for cable operating cash flow for 2003. The Company is increasing guidance for basic subscribers to 125,000 to 150,000 net additions from previous guidance of 75,000 to 100,000 net additions. Cable operating cash flow guidance is increasing by $100 million to $6.3 to $6.4 billion from previous guidance of $6.2 to $6.3 billion. The Company reaffirms all other guidance for 2003 for its cable and content businesses.</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Annual Report on Form 10-K for a description of such risks and uncertainties.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will host a conference call with the financial community today July 31, 2003 at 10:30 a.m. Eastern Time (ET). The conference call will be available on the Company's Investor Relations website at www.cmcsa.com or www.cmcsk.com. A recording of the call will be available on the Investor Relations website starting at 12:30 p.m. ET on July 31, 2003.</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Those parties interested in participating via telephone should dial (847) 413-3237. A telephone replay will begin immediately following the call until August 1, 2003 at midnight ET. To access the rebroadcast, please dial (630) 652-3000 and enter passcode number 7404164.</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To automatically receive Comcast financial news by email, please visit www.cmcsa.com or www.cmcsk.com and subscribe to e-mail Alerts.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The Company is the largest cable company in the United States, serving over 21 million cable subscribers. The Company's commerce and content businesses include majority ownership of QVC, Comcast-Spectacor,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4"/>
          <w:szCs w:val="14"/>
          <w:color w:val="auto"/>
        </w:rPr>
        <w:t>[COMCAST LOGO OMITTED]</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TABLE 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gridSpan w:val="3"/>
          </w:tcPr>
          <w:p>
            <w:pPr>
              <w:jc w:val="right"/>
              <w:ind w:right="1428"/>
              <w:spacing w:after="0"/>
              <w:rPr>
                <w:sz w:val="20"/>
                <w:szCs w:val="20"/>
                <w:color w:val="auto"/>
              </w:rPr>
            </w:pPr>
            <w:r>
              <w:rPr>
                <w:rFonts w:ascii="Courier New" w:cs="Courier New" w:eastAsia="Courier New" w:hAnsi="Courier New"/>
                <w:sz w:val="14"/>
                <w:szCs w:val="14"/>
                <w:color w:val="auto"/>
              </w:rPr>
              <w:t>(amounts in millions, except per share data)</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4880" w:type="dxa"/>
            <w:vAlign w:val="bottom"/>
          </w:tcPr>
          <w:p>
            <w:pPr>
              <w:spacing w:after="0"/>
              <w:rPr>
                <w:sz w:val="24"/>
                <w:szCs w:val="24"/>
                <w:color w:val="auto"/>
              </w:rPr>
            </w:pPr>
          </w:p>
        </w:tc>
        <w:tc>
          <w:tcPr>
            <w:tcW w:w="35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Three Months Ended</w:t>
            </w:r>
          </w:p>
        </w:tc>
        <w:tc>
          <w:tcPr>
            <w:tcW w:w="2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880" w:type="dxa"/>
            <w:vAlign w:val="bottom"/>
          </w:tcPr>
          <w:p>
            <w:pPr>
              <w:spacing w:after="0"/>
              <w:rPr>
                <w:sz w:val="14"/>
                <w:szCs w:val="14"/>
                <w:color w:val="auto"/>
              </w:rPr>
            </w:pPr>
          </w:p>
        </w:tc>
        <w:tc>
          <w:tcPr>
            <w:tcW w:w="352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June 30,</w:t>
            </w:r>
          </w:p>
        </w:tc>
        <w:tc>
          <w:tcPr>
            <w:tcW w:w="29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80" w:type="dxa"/>
            <w:vAlign w:val="bottom"/>
          </w:tcPr>
          <w:p>
            <w:pPr>
              <w:spacing w:after="0"/>
              <w:rPr>
                <w:sz w:val="20"/>
                <w:szCs w:val="20"/>
                <w:color w:val="auto"/>
              </w:rPr>
            </w:pPr>
            <w:r>
              <w:rPr>
                <w:rFonts w:ascii="Courier New" w:cs="Courier New" w:eastAsia="Courier New" w:hAnsi="Courier New"/>
                <w:sz w:val="14"/>
                <w:szCs w:val="14"/>
                <w:color w:val="auto"/>
              </w:rPr>
              <w:t>Service revenues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$4,584</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$3,393</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1,978</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4"/>
                <w:szCs w:val="2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5,685</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2,704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11,203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5,371</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697</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3,157</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1,831</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1,674</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1,220</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388</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(369)</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Investment income (loss), net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(707)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(676)</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(1,139)</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Basic net loss per common share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($0.01)</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($0.31)</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Diluted net loss per common share</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($0.01)</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($0.31)</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Basic and Diluted weighted average number of</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outstanding</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2,255</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6"/>
        </w:trPr>
        <w:tc>
          <w:tcPr>
            <w:tcW w:w="48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880" w:type="dxa"/>
            <w:vAlign w:val="bottom"/>
          </w:tcPr>
          <w:p>
            <w:pPr>
              <w:ind w:left="3360"/>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80"/>
          </w:cols>
          <w:pgMar w:left="220" w:top="948" w:right="299" w:bottom="1440" w:gutter="0" w:footer="0" w:header="0"/>
        </w:sectPr>
      </w:pPr>
    </w:p>
    <w:bookmarkStart w:id="8" w:name="page9"/>
    <w:bookmarkEnd w:id="8"/>
    <w:p>
      <w:pPr>
        <w:ind w:left="3540"/>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4"/>
          <w:szCs w:val="14"/>
          <w:color w:val="auto"/>
        </w:rPr>
        <w:t>TABLE 2</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4"/>
          <w:szCs w:val="14"/>
          <w:color w:val="auto"/>
        </w:rPr>
        <w:t>Condensed Consolidated Balance Sheet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ind w:left="3460"/>
              <w:spacing w:after="0"/>
              <w:rPr>
                <w:sz w:val="20"/>
                <w:szCs w:val="20"/>
                <w:color w:val="auto"/>
              </w:rPr>
            </w:pPr>
            <w:r>
              <w:rPr>
                <w:rFonts w:ascii="Courier New" w:cs="Courier New" w:eastAsia="Courier New" w:hAnsi="Courier New"/>
                <w:sz w:val="14"/>
                <w:szCs w:val="14"/>
                <w:color w:val="auto"/>
              </w:rPr>
              <w:t>(dollars in millions)</w:t>
            </w:r>
          </w:p>
        </w:tc>
        <w:tc>
          <w:tcPr>
            <w:tcW w:w="21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97"/>
        </w:trPr>
        <w:tc>
          <w:tcPr>
            <w:tcW w:w="6940" w:type="dxa"/>
            <w:vAlign w:val="bottom"/>
          </w:tcPr>
          <w:p>
            <w:pPr>
              <w:spacing w:after="0"/>
              <w:rPr>
                <w:sz w:val="24"/>
                <w:szCs w:val="24"/>
                <w:color w:val="auto"/>
              </w:rPr>
            </w:pP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June 30,</w:t>
            </w:r>
          </w:p>
        </w:tc>
        <w:tc>
          <w:tcPr>
            <w:tcW w:w="22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2003</w:t>
            </w:r>
          </w:p>
        </w:tc>
        <w:tc>
          <w:tcPr>
            <w:tcW w:w="2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Cash and cash equivalents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$ 1,324</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$ 781</w:t>
            </w: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Investments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2,161</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3,266</w:t>
            </w: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Accounts receivable, net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1,376</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1,408</w:t>
            </w: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Inventories, net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w:t>
            </w: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Other current assets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1,142</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assets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5,893</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7,076</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13,386</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15,207</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PROPERTY AND EQUIPMENT, NET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19,079</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18,866</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FRANCHISE RIGHTS AND GOODWILL</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65,514</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65,619</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ASSETS - including other intangible assets, net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5,650</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6,337</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4"/>
                <w:szCs w:val="2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$ 109,522</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$ 113,105</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Accounts payable, accrued expenses and other current liabilities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$ 7,124</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$ 8,430</w:t>
            </w:r>
          </w:p>
        </w:tc>
      </w:tr>
      <w:tr>
        <w:trPr>
          <w:trHeight w:val="166"/>
        </w:trPr>
        <w:tc>
          <w:tcPr>
            <w:tcW w:w="6940" w:type="dxa"/>
            <w:vAlign w:val="bottom"/>
          </w:tcPr>
          <w:p>
            <w:pPr>
              <w:ind w:left="1040"/>
              <w:spacing w:after="0"/>
              <w:rPr>
                <w:sz w:val="20"/>
                <w:szCs w:val="20"/>
                <w:color w:val="auto"/>
              </w:rPr>
            </w:pPr>
            <w:r>
              <w:rPr>
                <w:rFonts w:ascii="Courier New" w:cs="Courier New" w:eastAsia="Courier New" w:hAnsi="Courier New"/>
                <w:sz w:val="14"/>
                <w:szCs w:val="14"/>
                <w:color w:val="auto"/>
              </w:rPr>
              <w:t>Short-term debt and current portion of long-term debt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2,416</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6,953</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liabilities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9,540</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15,383</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LONG-TERM DEBT, less current portion</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29,923</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27,957</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LIABILITIES &amp; MINORITY INTEREST</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31,978</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31,436</w:t>
            </w:r>
          </w:p>
        </w:tc>
      </w:tr>
      <w:tr>
        <w:trPr>
          <w:trHeight w:val="331"/>
        </w:trPr>
        <w:tc>
          <w:tcPr>
            <w:tcW w:w="694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38,081</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38,329</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4"/>
                <w:szCs w:val="2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$ 109,522</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$ 113,105</w:t>
            </w:r>
          </w:p>
        </w:tc>
      </w:tr>
      <w:tr>
        <w:trPr>
          <w:trHeight w:val="166"/>
        </w:trPr>
        <w:tc>
          <w:tcPr>
            <w:tcW w:w="6940" w:type="dxa"/>
            <w:vAlign w:val="bottom"/>
          </w:tcPr>
          <w:p>
            <w:pPr>
              <w:spacing w:after="0"/>
              <w:rPr>
                <w:sz w:val="14"/>
                <w:szCs w:val="14"/>
                <w:color w:val="auto"/>
              </w:rPr>
            </w:pPr>
          </w:p>
        </w:tc>
        <w:tc>
          <w:tcPr>
            <w:tcW w:w="2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1040" w:right="4400"/>
        <w:spacing w:after="0" w:line="251" w:lineRule="auto"/>
        <w:rPr>
          <w:sz w:val="20"/>
          <w:szCs w:val="20"/>
          <w:color w:val="auto"/>
        </w:rPr>
      </w:pPr>
      <w:r>
        <w:rPr>
          <w:rFonts w:ascii="Courier New" w:cs="Courier New" w:eastAsia="Courier New" w:hAnsi="Courier New"/>
          <w:sz w:val="14"/>
          <w:szCs w:val="14"/>
          <w:color w:val="auto"/>
        </w:rPr>
        <w:t>The value of certain assets and liabilities in the November 2002 AT&amp;T Broadband acquisition are based on preliminary valuations and are subject to adjustment as additional information is obtained, including reports from valuation specialists and information related to the cost of terminating or meeting contractual obligations.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300"/>
          </w:cols>
          <w:pgMar w:left="220" w:top="947" w:right="379" w:bottom="1440" w:gutter="0" w:footer="0" w:header="0"/>
        </w:sectPr>
      </w:pPr>
    </w:p>
    <w:bookmarkStart w:id="9" w:name="page10"/>
    <w:bookmarkEnd w:id="9"/>
    <w:p>
      <w:pPr>
        <w:ind w:left="3880"/>
        <w:spacing w:after="0"/>
        <w:rPr>
          <w:sz w:val="20"/>
          <w:szCs w:val="20"/>
          <w:color w:val="auto"/>
        </w:rPr>
      </w:pPr>
      <w:r>
        <w:rPr>
          <w:rFonts w:ascii="Courier New" w:cs="Courier New" w:eastAsia="Courier New" w:hAnsi="Courier New"/>
          <w:sz w:val="14"/>
          <w:szCs w:val="14"/>
          <w:color w:val="auto"/>
        </w:rPr>
        <w:t>TABLE 3</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Condensed Consolidated Statement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ind w:left="3280"/>
              <w:spacing w:after="0"/>
              <w:rPr>
                <w:sz w:val="20"/>
                <w:szCs w:val="20"/>
                <w:color w:val="auto"/>
              </w:rPr>
            </w:pPr>
            <w:r>
              <w:rPr>
                <w:rFonts w:ascii="Courier New" w:cs="Courier New" w:eastAsia="Courier New" w:hAnsi="Courier New"/>
                <w:sz w:val="14"/>
                <w:szCs w:val="14"/>
                <w:color w:val="auto"/>
              </w:rPr>
              <w:t>(dollars in millions)</w:t>
            </w:r>
          </w:p>
        </w:tc>
        <w:tc>
          <w:tcPr>
            <w:tcW w:w="24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5780" w:type="dxa"/>
            <w:vAlign w:val="bottom"/>
          </w:tcPr>
          <w:p>
            <w:pPr>
              <w:spacing w:after="0"/>
              <w:rPr>
                <w:sz w:val="24"/>
                <w:szCs w:val="24"/>
                <w:color w:val="auto"/>
              </w:rPr>
            </w:pPr>
          </w:p>
        </w:tc>
        <w:tc>
          <w:tcPr>
            <w:tcW w:w="430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780" w:type="dxa"/>
            <w:vAlign w:val="bottom"/>
          </w:tcPr>
          <w:p>
            <w:pPr>
              <w:spacing w:after="0"/>
              <w:rPr>
                <w:sz w:val="14"/>
                <w:szCs w:val="14"/>
                <w:color w:val="auto"/>
              </w:rPr>
            </w:pPr>
          </w:p>
        </w:tc>
        <w:tc>
          <w:tcPr>
            <w:tcW w:w="430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2003</w:t>
            </w:r>
          </w:p>
        </w:tc>
        <w:tc>
          <w:tcPr>
            <w:tcW w:w="1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Proceeds from borrowings</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8,848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Retirements and repayments of debt</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(11,545)</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(1,169)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(2,700)</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2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(789)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Proceeds from restructuring of TWE investment</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Proceeds from sales of investments and assets held for sale</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1,249</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$1,324</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w:t>
            </w:r>
          </w:p>
        </w:tc>
      </w:tr>
      <w:tr>
        <w:trPr>
          <w:trHeight w:val="166"/>
        </w:trPr>
        <w:tc>
          <w:tcPr>
            <w:tcW w:w="5780" w:type="dxa"/>
            <w:vAlign w:val="bottom"/>
          </w:tcPr>
          <w:p>
            <w:pPr>
              <w:spacing w:after="0"/>
              <w:rPr>
                <w:sz w:val="14"/>
                <w:szCs w:val="14"/>
                <w:color w:val="auto"/>
              </w:rPr>
            </w:pPr>
          </w:p>
        </w:tc>
        <w:tc>
          <w:tcPr>
            <w:tcW w:w="2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11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[COMCAST LOGO</w:t>
            </w:r>
          </w:p>
        </w:tc>
        <w:tc>
          <w:tcPr>
            <w:tcW w:w="298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OMITTED]</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500" w:type="dxa"/>
            <w:vAlign w:val="bottom"/>
          </w:tcPr>
          <w:p>
            <w:pPr>
              <w:spacing w:after="0"/>
              <w:rPr>
                <w:sz w:val="24"/>
                <w:szCs w:val="24"/>
                <w:color w:val="auto"/>
              </w:rPr>
            </w:pPr>
          </w:p>
        </w:tc>
        <w:tc>
          <w:tcPr>
            <w:tcW w:w="4740" w:type="dxa"/>
            <w:vAlign w:val="bottom"/>
            <w:gridSpan w:val="2"/>
          </w:tcPr>
          <w:p>
            <w:pPr>
              <w:jc w:val="right"/>
              <w:ind w:right="2728"/>
              <w:spacing w:after="0"/>
              <w:rPr>
                <w:sz w:val="20"/>
                <w:szCs w:val="20"/>
                <w:color w:val="auto"/>
              </w:rPr>
            </w:pPr>
            <w:r>
              <w:rPr>
                <w:rFonts w:ascii="Courier New" w:cs="Courier New" w:eastAsia="Courier New" w:hAnsi="Courier New"/>
                <w:sz w:val="14"/>
                <w:szCs w:val="14"/>
                <w:color w:val="auto"/>
              </w:rPr>
              <w:t>TABLE 4</w:t>
            </w: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8240" w:type="dxa"/>
            <w:vAlign w:val="bottom"/>
            <w:gridSpan w:val="3"/>
          </w:tcPr>
          <w:p>
            <w:pPr>
              <w:ind w:left="2860"/>
              <w:spacing w:after="0"/>
              <w:rPr>
                <w:sz w:val="20"/>
                <w:szCs w:val="20"/>
                <w:color w:val="auto"/>
              </w:rPr>
            </w:pPr>
            <w:r>
              <w:rPr>
                <w:rFonts w:ascii="Courier New" w:cs="Courier New" w:eastAsia="Courier New" w:hAnsi="Courier New"/>
                <w:sz w:val="14"/>
                <w:szCs w:val="14"/>
                <w:color w:val="auto"/>
              </w:rPr>
              <w:t>Pro Forma Financial Data by Business Segment (Unaudited) (1)</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8240" w:type="dxa"/>
            <w:vAlign w:val="bottom"/>
            <w:gridSpan w:val="3"/>
          </w:tcPr>
          <w:p>
            <w:pPr>
              <w:ind w:left="28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740" w:type="dxa"/>
            <w:vAlign w:val="bottom"/>
            <w:gridSpan w:val="2"/>
          </w:tcPr>
          <w:p>
            <w:pPr>
              <w:jc w:val="right"/>
              <w:ind w:right="2208"/>
              <w:spacing w:after="0"/>
              <w:rPr>
                <w:sz w:val="20"/>
                <w:szCs w:val="20"/>
                <w:color w:val="auto"/>
              </w:rPr>
            </w:pPr>
            <w:r>
              <w:rPr>
                <w:rFonts w:ascii="Courier New" w:cs="Courier New" w:eastAsia="Courier New" w:hAnsi="Courier New"/>
                <w:sz w:val="14"/>
                <w:szCs w:val="14"/>
                <w:color w:val="auto"/>
              </w:rPr>
              <w:t>(dollars in millions)</w:t>
            </w: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3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Content and</w:t>
            </w: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29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Cable</w:t>
            </w:r>
          </w:p>
        </w:tc>
        <w:tc>
          <w:tcPr>
            <w:tcW w:w="29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Commerce</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Other</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500" w:type="dxa"/>
            <w:vAlign w:val="bottom"/>
          </w:tcPr>
          <w:p>
            <w:pPr>
              <w:spacing w:after="0"/>
              <w:rPr>
                <w:sz w:val="14"/>
                <w:szCs w:val="14"/>
                <w:color w:val="auto"/>
              </w:rPr>
            </w:pP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9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50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2003</w:t>
            </w:r>
          </w:p>
        </w:tc>
        <w:tc>
          <w:tcPr>
            <w:tcW w:w="1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$4,379</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$1,101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$5,685</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$219</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$185</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Expenditures (8)</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$16</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2002</w:t>
            </w:r>
          </w:p>
        </w:tc>
        <w:tc>
          <w:tcPr>
            <w:tcW w:w="1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$4,009</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$990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(5)</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$1,177</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$194</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Income (Loss) (6)</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($16,431)</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$165</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($16,308)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Margin (5)</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19.6%</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Expenditures (7)</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$51</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$1,340</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Six Months Ended June 30, 2003</w:t>
            </w:r>
          </w:p>
        </w:tc>
        <w:tc>
          <w:tcPr>
            <w:tcW w:w="1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$8,610</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$2,163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$430</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$365</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Expenditures (8)</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$29</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$2,041</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Six Months Ended June 30, 2002</w:t>
            </w:r>
          </w:p>
        </w:tc>
        <w:tc>
          <w:tcPr>
            <w:tcW w:w="1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$7,853</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$1,978</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(5)</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$386</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$2,643</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Income (Loss) (6)</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($16,437)</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$330</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($16,201)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Operating Cash Flow Margin (5)</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Capital Expenditures (7)</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$2,378</w:t>
            </w:r>
          </w:p>
        </w:tc>
        <w:tc>
          <w:tcPr>
            <w:tcW w:w="2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$83</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$2,478</w:t>
            </w:r>
          </w:p>
        </w:tc>
      </w:tr>
    </w:tbl>
    <w:p>
      <w:pPr>
        <w:spacing w:after="0" w:line="335" w:lineRule="exact"/>
        <w:rPr>
          <w:sz w:val="20"/>
          <w:szCs w:val="20"/>
          <w:color w:val="auto"/>
        </w:rPr>
      </w:pPr>
    </w:p>
    <w:p>
      <w:pPr>
        <w:jc w:val="both"/>
        <w:ind w:left="440" w:right="4300"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 Historical financial data by business segment, as required under generally accepted accounting principles, is available in the Company's quarterly report on Form 10-Q.</w:t>
      </w:r>
    </w:p>
    <w:p>
      <w:pPr>
        <w:spacing w:after="0" w:line="162" w:lineRule="exact"/>
        <w:rPr>
          <w:rFonts w:ascii="Courier New" w:cs="Courier New" w:eastAsia="Courier New" w:hAnsi="Courier New"/>
          <w:sz w:val="14"/>
          <w:szCs w:val="14"/>
          <w:color w:val="auto"/>
        </w:rPr>
      </w:pPr>
    </w:p>
    <w:p>
      <w:pPr>
        <w:jc w:val="both"/>
        <w:ind w:left="440" w:right="4300" w:hanging="432"/>
        <w:spacing w:after="0" w:line="25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164" w:lineRule="exact"/>
        <w:rPr>
          <w:rFonts w:ascii="Courier New" w:cs="Courier New" w:eastAsia="Courier New" w:hAnsi="Courier New"/>
          <w:sz w:val="14"/>
          <w:szCs w:val="14"/>
          <w:color w:val="auto"/>
        </w:rPr>
      </w:pPr>
    </w:p>
    <w:p>
      <w:pPr>
        <w:ind w:left="440" w:right="430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excludes the results of QVC's infomercial operations in Mexico which were sold in February 2003.</w:t>
      </w:r>
    </w:p>
    <w:p>
      <w:pPr>
        <w:spacing w:after="0" w:line="159" w:lineRule="exact"/>
        <w:rPr>
          <w:rFonts w:ascii="Courier New" w:cs="Courier New" w:eastAsia="Courier New" w:hAnsi="Courier New"/>
          <w:sz w:val="14"/>
          <w:szCs w:val="14"/>
          <w:color w:val="auto"/>
        </w:rPr>
      </w:pPr>
    </w:p>
    <w:p>
      <w:pPr>
        <w:jc w:val="both"/>
        <w:ind w:left="440" w:right="4300" w:hanging="432"/>
        <w:spacing w:after="0" w:line="251"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and Other includes segments not meeting quantitative guidelines for reporting, including our content and business communications operations, and corporate expenses. It also includes elimination entries related to the segments presented. Content includes E! Networks (E! Entertainment and Style), Comcast-Spectacor, The Golf Channel, Outdoor Life Network and G4. Revenues and Operating Cash Flow of our content businesses for the three and six months ended June 30, 2003 and 2002 were as follows:</w:t>
      </w:r>
    </w:p>
    <w:p>
      <w:pPr>
        <w:spacing w:after="0" w:line="33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780" w:type="dxa"/>
            <w:vAlign w:val="bottom"/>
          </w:tcPr>
          <w:p>
            <w:pPr>
              <w:spacing w:after="0"/>
              <w:rPr>
                <w:sz w:val="14"/>
                <w:szCs w:val="14"/>
                <w:color w:val="auto"/>
              </w:rPr>
            </w:pPr>
          </w:p>
        </w:tc>
        <w:tc>
          <w:tcPr>
            <w:tcW w:w="1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Six Months</w:t>
            </w:r>
          </w:p>
        </w:tc>
      </w:tr>
      <w:tr>
        <w:trPr>
          <w:trHeight w:val="166"/>
        </w:trPr>
        <w:tc>
          <w:tcPr>
            <w:tcW w:w="2500" w:type="dxa"/>
            <w:vAlign w:val="bottom"/>
          </w:tcPr>
          <w:p>
            <w:pPr>
              <w:spacing w:after="0"/>
              <w:rPr>
                <w:sz w:val="14"/>
                <w:szCs w:val="14"/>
                <w:color w:val="auto"/>
              </w:rPr>
            </w:pPr>
          </w:p>
        </w:tc>
        <w:tc>
          <w:tcPr>
            <w:tcW w:w="2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June 30,</w:t>
            </w:r>
          </w:p>
        </w:tc>
        <w:tc>
          <w:tcPr>
            <w:tcW w:w="18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Ended June 30,</w:t>
            </w:r>
          </w:p>
        </w:tc>
      </w:tr>
      <w:tr>
        <w:trPr>
          <w:trHeight w:val="166"/>
        </w:trPr>
        <w:tc>
          <w:tcPr>
            <w:tcW w:w="250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2003</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250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220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$180</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$462</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$399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$ 56</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$119</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$112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31.5%</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30.9%</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25.7%</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28.0%</w:t>
            </w:r>
          </w:p>
        </w:tc>
      </w:tr>
    </w:tbl>
    <w:p>
      <w:pPr>
        <w:spacing w:after="0" w:line="170" w:lineRule="exact"/>
        <w:rPr>
          <w:sz w:val="20"/>
          <w:szCs w:val="20"/>
          <w:color w:val="auto"/>
        </w:rPr>
      </w:pPr>
    </w:p>
    <w:p>
      <w:pPr>
        <w:jc w:val="both"/>
        <w:ind w:left="440" w:right="430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and six months ended June 30, 2002 are acquisition &amp; employee termination related costs of $100 and $188 million, respectively, incurred by AT&amp;T Broadband prior to the acquisition of AT&amp;T Broadband by Comcast.</w:t>
      </w:r>
    </w:p>
    <w:p>
      <w:pPr>
        <w:spacing w:after="0" w:line="162" w:lineRule="exact"/>
        <w:rPr>
          <w:rFonts w:ascii="Courier New" w:cs="Courier New" w:eastAsia="Courier New" w:hAnsi="Courier New"/>
          <w:sz w:val="14"/>
          <w:szCs w:val="14"/>
          <w:color w:val="auto"/>
        </w:rPr>
      </w:pPr>
    </w:p>
    <w:p>
      <w:pPr>
        <w:ind w:left="440" w:right="4300" w:hanging="432"/>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$16.525 billion impairment charge related to the write down of AT&amp;T Broadband goodwill and cable franchise rights.</w:t>
      </w:r>
    </w:p>
    <w:p>
      <w:pPr>
        <w:spacing w:after="0" w:line="159" w:lineRule="exact"/>
        <w:rPr>
          <w:rFonts w:ascii="Courier New" w:cs="Courier New" w:eastAsia="Courier New" w:hAnsi="Courier New"/>
          <w:sz w:val="14"/>
          <w:szCs w:val="14"/>
          <w:color w:val="auto"/>
        </w:rPr>
      </w:pPr>
    </w:p>
    <w:p>
      <w:pPr>
        <w:ind w:left="440" w:right="4300" w:hanging="432"/>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newly acquired systems, includes capital expenditures made since January 1, 2002.</w:t>
      </w:r>
    </w:p>
    <w:p>
      <w:pPr>
        <w:spacing w:after="0" w:line="159" w:lineRule="exact"/>
        <w:rPr>
          <w:rFonts w:ascii="Courier New" w:cs="Courier New" w:eastAsia="Courier New" w:hAnsi="Courier New"/>
          <w:sz w:val="14"/>
          <w:szCs w:val="14"/>
          <w:color w:val="auto"/>
        </w:rPr>
      </w:pPr>
    </w:p>
    <w:p>
      <w:pPr>
        <w:ind w:left="440" w:right="4300" w:hanging="432"/>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Cable segment's capital expenditures are comprised of the following categories:</w:t>
      </w:r>
    </w:p>
    <w:p>
      <w:pPr>
        <w:sectPr>
          <w:pgSz w:w="11900" w:h="16838" w:orient="portrait"/>
          <w:cols w:equalWidth="0" w:num="1">
            <w:col w:w="11200"/>
          </w:cols>
          <w:pgMar w:left="220" w:top="1113" w:right="479" w:bottom="81" w:gutter="0" w:footer="0" w:header="0"/>
        </w:sectPr>
      </w:pPr>
    </w:p>
    <w:bookmarkStart w:id="11" w:name="page12"/>
    <w:bookmarkEnd w:id="11"/>
    <w:p>
      <w:pPr>
        <w:spacing w:after="0" w:line="166"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YTD</w:t>
            </w:r>
          </w:p>
        </w:tc>
      </w:tr>
      <w:tr>
        <w:trPr>
          <w:trHeight w:val="166"/>
        </w:trPr>
        <w:tc>
          <w:tcPr>
            <w:tcW w:w="3700" w:type="dxa"/>
            <w:vAlign w:val="bottom"/>
          </w:tcPr>
          <w:p>
            <w:pPr>
              <w:spacing w:after="0"/>
              <w:rPr>
                <w:sz w:val="14"/>
                <w:szCs w:val="14"/>
                <w:color w:val="auto"/>
              </w:rPr>
            </w:pPr>
          </w:p>
        </w:tc>
        <w:tc>
          <w:tcPr>
            <w:tcW w:w="3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2Q03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06/30/03</w:t>
            </w:r>
          </w:p>
        </w:tc>
      </w:tr>
      <w:tr>
        <w:trPr>
          <w:trHeight w:val="166"/>
        </w:trPr>
        <w:tc>
          <w:tcPr>
            <w:tcW w:w="3700" w:type="dxa"/>
            <w:vAlign w:val="bottom"/>
          </w:tcPr>
          <w:p>
            <w:pPr>
              <w:spacing w:after="0"/>
              <w:rPr>
                <w:sz w:val="14"/>
                <w:szCs w:val="14"/>
                <w:color w:val="auto"/>
              </w:rPr>
            </w:pPr>
          </w:p>
        </w:tc>
        <w:tc>
          <w:tcPr>
            <w:tcW w:w="3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Customer Premise Equipment (CPE)</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$381</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Scalable Infrastructure</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Line Extensions</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Upgrade/Rebuild</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417</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759</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Support Capital</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3700" w:type="dxa"/>
            <w:vAlign w:val="bottom"/>
          </w:tcPr>
          <w:p>
            <w:pPr>
              <w:spacing w:after="0"/>
              <w:rPr>
                <w:sz w:val="14"/>
                <w:szCs w:val="14"/>
                <w:color w:val="auto"/>
              </w:rPr>
            </w:pPr>
          </w:p>
        </w:tc>
        <w:tc>
          <w:tcPr>
            <w:tcW w:w="4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$1,047</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700" w:type="dxa"/>
            <w:vAlign w:val="bottom"/>
          </w:tcPr>
          <w:p>
            <w:pPr>
              <w:spacing w:after="0"/>
              <w:rPr>
                <w:sz w:val="14"/>
                <w:szCs w:val="14"/>
                <w:color w:val="auto"/>
              </w:rPr>
            </w:pPr>
          </w:p>
        </w:tc>
        <w:tc>
          <w:tcPr>
            <w:tcW w:w="4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 w:right="2240"/>
        <w:spacing w:after="0" w:line="251" w:lineRule="auto"/>
        <w:rPr>
          <w:sz w:val="20"/>
          <w:szCs w:val="20"/>
          <w:color w:val="auto"/>
        </w:rPr>
      </w:pPr>
      <w:r>
        <w:rPr>
          <w:rFonts w:ascii="Courier New" w:cs="Courier New" w:eastAsia="Courier New" w:hAnsi="Courier New"/>
          <w:sz w:val="14"/>
          <w:szCs w:val="14"/>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Upgrade/rebuild includes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163" w:lineRule="exact"/>
        <w:rPr>
          <w:sz w:val="20"/>
          <w:szCs w:val="20"/>
          <w:color w:val="auto"/>
        </w:rPr>
      </w:pPr>
    </w:p>
    <w:p>
      <w:pPr>
        <w:ind w:left="1" w:right="2240" w:hanging="1"/>
        <w:spacing w:after="0" w:line="255" w:lineRule="auto"/>
        <w:tabs>
          <w:tab w:leader="none" w:pos="17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 estimate of the recurring capital expenditures for each of the above components.</w:t>
      </w:r>
    </w:p>
    <w:p>
      <w:pPr>
        <w:spacing w:after="0" w:line="200" w:lineRule="exact"/>
        <w:rPr>
          <w:sz w:val="20"/>
          <w:szCs w:val="20"/>
          <w:color w:val="auto"/>
        </w:rPr>
      </w:pPr>
    </w:p>
    <w:p>
      <w:pPr>
        <w:spacing w:after="0" w:line="291"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Recurring</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15%-25%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2%-10%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20%-30%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2">
            <w:col w:w="8621" w:space="680"/>
            <w:col w:w="940"/>
          </w:cols>
          <w:pgMar w:left="659" w:top="638" w:right="9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[COMCAST LOGO OMITTED]</w:t>
            </w: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TABLE 5</w:t>
            </w: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8580" w:type="dxa"/>
            <w:vAlign w:val="bottom"/>
            <w:gridSpan w:val="5"/>
          </w:tcPr>
          <w:p>
            <w:pPr>
              <w:jc w:val="right"/>
              <w:ind w:right="888"/>
              <w:spacing w:after="0"/>
              <w:rPr>
                <w:sz w:val="20"/>
                <w:szCs w:val="20"/>
                <w:color w:val="auto"/>
              </w:rPr>
            </w:pPr>
            <w:r>
              <w:rPr>
                <w:rFonts w:ascii="Courier New" w:cs="Courier New" w:eastAsia="Courier New" w:hAnsi="Courier New"/>
                <w:sz w:val="14"/>
                <w:szCs w:val="14"/>
                <w:color w:val="auto"/>
              </w:rPr>
              <w:t>Pro Forma Data - Cable Segment Components (Unaudited) (1)(2)</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8580" w:type="dxa"/>
            <w:vAlign w:val="bottom"/>
            <w:gridSpan w:val="5"/>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8580" w:type="dxa"/>
            <w:vAlign w:val="bottom"/>
            <w:gridSpan w:val="5"/>
          </w:tcPr>
          <w:p>
            <w:pPr>
              <w:jc w:val="right"/>
              <w:ind w:right="288"/>
              <w:spacing w:after="0"/>
              <w:rPr>
                <w:sz w:val="20"/>
                <w:szCs w:val="20"/>
                <w:color w:val="auto"/>
              </w:rPr>
            </w:pPr>
            <w:r>
              <w:rPr>
                <w:rFonts w:ascii="Courier New" w:cs="Courier New" w:eastAsia="Courier New" w:hAnsi="Courier New"/>
                <w:sz w:val="14"/>
                <w:szCs w:val="14"/>
                <w:color w:val="auto"/>
              </w:rPr>
              <w:t>(dollars in millions, except average revenue per basic subscriber data)</w:t>
            </w: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Historical</w:t>
            </w:r>
          </w:p>
        </w:tc>
        <w:tc>
          <w:tcPr>
            <w:tcW w:w="780" w:type="dxa"/>
            <w:vAlign w:val="bottom"/>
          </w:tcPr>
          <w:p>
            <w:pPr>
              <w:spacing w:after="0"/>
              <w:rPr>
                <w:sz w:val="24"/>
                <w:szCs w:val="24"/>
                <w:color w:val="auto"/>
              </w:rPr>
            </w:pP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Newly Acquired</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Systems (3)</w:t>
            </w:r>
          </w:p>
        </w:tc>
        <w:tc>
          <w:tcPr>
            <w:tcW w:w="780" w:type="dxa"/>
            <w:vAlign w:val="bottom"/>
          </w:tcPr>
          <w:p>
            <w:pPr>
              <w:spacing w:after="0"/>
              <w:rPr>
                <w:sz w:val="14"/>
                <w:szCs w:val="14"/>
                <w:color w:val="auto"/>
              </w:rPr>
            </w:pP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Systems (3)</w:t>
            </w:r>
          </w:p>
        </w:tc>
        <w:tc>
          <w:tcPr>
            <w:tcW w:w="940" w:type="dxa"/>
            <w:vAlign w:val="bottom"/>
          </w:tcPr>
          <w:p>
            <w:pPr>
              <w:spacing w:after="0"/>
              <w:rPr>
                <w:sz w:val="14"/>
                <w:szCs w:val="14"/>
                <w:color w:val="auto"/>
              </w:rPr>
            </w:pPr>
          </w:p>
        </w:tc>
        <w:tc>
          <w:tcPr>
            <w:tcW w:w="1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June 30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Video (4)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$1,257</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$2,888</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Advertising</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80" w:type="dxa"/>
            <w:vAlign w:val="bottom"/>
          </w:tcPr>
          <w:p>
            <w:pPr>
              <w:jc w:val="right"/>
              <w:ind w:right="29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Franchise Fees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$2,663</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$4,009</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Revenue per Basic Subscriber</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$69.30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$1,177</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 (7)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($16,786)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($16,431)</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Margin (6)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$697</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(Deficit),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Net of Capital Expenditures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331"/>
        </w:trPr>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Historical</w:t>
            </w:r>
          </w:p>
        </w:tc>
        <w:tc>
          <w:tcPr>
            <w:tcW w:w="780" w:type="dxa"/>
            <w:vAlign w:val="bottom"/>
          </w:tcPr>
          <w:p>
            <w:pPr>
              <w:spacing w:after="0"/>
              <w:rPr>
                <w:sz w:val="24"/>
                <w:szCs w:val="24"/>
                <w:color w:val="auto"/>
              </w:rPr>
            </w:pP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Newly Acquired</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Systems (3)</w:t>
            </w:r>
          </w:p>
        </w:tc>
        <w:tc>
          <w:tcPr>
            <w:tcW w:w="780" w:type="dxa"/>
            <w:vAlign w:val="bottom"/>
          </w:tcPr>
          <w:p>
            <w:pPr>
              <w:spacing w:after="0"/>
              <w:rPr>
                <w:sz w:val="14"/>
                <w:szCs w:val="14"/>
                <w:color w:val="auto"/>
              </w:rPr>
            </w:pP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Systems (3)</w:t>
            </w:r>
          </w:p>
        </w:tc>
        <w:tc>
          <w:tcPr>
            <w:tcW w:w="940" w:type="dxa"/>
            <w:vAlign w:val="bottom"/>
          </w:tcPr>
          <w:p>
            <w:pPr>
              <w:spacing w:after="0"/>
              <w:rPr>
                <w:sz w:val="14"/>
                <w:szCs w:val="14"/>
                <w:color w:val="auto"/>
              </w:rPr>
            </w:pPr>
          </w:p>
        </w:tc>
        <w:tc>
          <w:tcPr>
            <w:tcW w:w="1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Six Months Ended June 30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Video (4)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$3,532</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$5,715</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2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Advertising</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80" w:type="dxa"/>
            <w:vAlign w:val="bottom"/>
          </w:tcPr>
          <w:p>
            <w:pPr>
              <w:jc w:val="right"/>
              <w:ind w:right="29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Franchise Fees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w:t>
            </w:r>
          </w:p>
        </w:tc>
      </w:tr>
      <w:tr>
        <w:trPr>
          <w:trHeight w:val="166"/>
        </w:trPr>
        <w:tc>
          <w:tcPr>
            <w:tcW w:w="4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$5,249</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Revenue per Basic Subscriber</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$65.54</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$68.40</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$60.47</w:t>
            </w:r>
          </w:p>
        </w:tc>
      </w:tr>
      <w:tr>
        <w:trPr>
          <w:trHeight w:val="331"/>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$1,413</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$1,605</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 (7)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($17,096)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($16,437)</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Margin (6)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$1,315</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$2,378</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Operating Cash Flow (Deficit),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Net of Capital Expenditures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w:t>
      </w:r>
    </w:p>
    <w:p>
      <w:pPr>
        <w:spacing w:after="0" w:line="172" w:lineRule="exact"/>
        <w:rPr>
          <w:rFonts w:ascii="Courier New" w:cs="Courier New" w:eastAsia="Courier New" w:hAnsi="Courier New"/>
          <w:sz w:val="14"/>
          <w:szCs w:val="14"/>
          <w:color w:val="auto"/>
        </w:rPr>
      </w:pPr>
    </w:p>
    <w:p>
      <w:pPr>
        <w:ind w:left="440" w:right="4640"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164" w:lineRule="exact"/>
        <w:rPr>
          <w:rFonts w:ascii="Courier New" w:cs="Courier New" w:eastAsia="Courier New" w:hAnsi="Courier New"/>
          <w:sz w:val="14"/>
          <w:szCs w:val="14"/>
          <w:color w:val="auto"/>
        </w:rPr>
      </w:pPr>
    </w:p>
    <w:p>
      <w:pPr>
        <w:jc w:val="both"/>
        <w:ind w:left="440" w:right="4640"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The newly acquired systems represent those cable businesses acquired from AT&amp;T.</w:t>
      </w:r>
    </w:p>
    <w:p>
      <w:pPr>
        <w:spacing w:after="0" w:line="162" w:lineRule="exact"/>
        <w:rPr>
          <w:rFonts w:ascii="Courier New" w:cs="Courier New" w:eastAsia="Courier New" w:hAnsi="Courier New"/>
          <w:sz w:val="14"/>
          <w:szCs w:val="14"/>
          <w:color w:val="auto"/>
        </w:rPr>
      </w:pPr>
    </w:p>
    <w:p>
      <w:pPr>
        <w:ind w:left="440" w:right="464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159" w:lineRule="exact"/>
        <w:rPr>
          <w:rFonts w:ascii="Courier New" w:cs="Courier New" w:eastAsia="Courier New" w:hAnsi="Courier New"/>
          <w:sz w:val="14"/>
          <w:szCs w:val="14"/>
          <w:color w:val="auto"/>
        </w:rPr>
      </w:pPr>
    </w:p>
    <w:p>
      <w:pPr>
        <w:jc w:val="both"/>
        <w:ind w:left="440" w:right="4640"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revenues include installation revenues, guide revenues, commissions from electronic retailing, other product offerings and revenues of our digital media center and regional sports programming networks.</w:t>
      </w:r>
    </w:p>
    <w:p>
      <w:pPr>
        <w:spacing w:after="0" w:line="162" w:lineRule="exact"/>
        <w:rPr>
          <w:rFonts w:ascii="Courier New" w:cs="Courier New" w:eastAsia="Courier New" w:hAnsi="Courier New"/>
          <w:sz w:val="14"/>
          <w:szCs w:val="14"/>
          <w:color w:val="auto"/>
        </w:rPr>
      </w:pPr>
    </w:p>
    <w:p>
      <w:pPr>
        <w:jc w:val="both"/>
        <w:ind w:left="440" w:right="4640"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and six months ended June 30, 2002 are acquisition &amp; employee termination related costs of $100 and $188 million, respectively, incurred by AT&amp;T Broadband prior to the acquisition of AT&amp;T Broadband by Comcast.</w:t>
      </w:r>
    </w:p>
    <w:p>
      <w:pPr>
        <w:spacing w:after="0" w:line="162" w:lineRule="exact"/>
        <w:rPr>
          <w:rFonts w:ascii="Courier New" w:cs="Courier New" w:eastAsia="Courier New" w:hAnsi="Courier New"/>
          <w:sz w:val="14"/>
          <w:szCs w:val="14"/>
          <w:color w:val="auto"/>
        </w:rPr>
      </w:pPr>
    </w:p>
    <w:p>
      <w:pPr>
        <w:ind w:left="440" w:right="464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$16.525 billion impairment charge related to the write down of AT&amp;T Broadband goodwill and cable franchise rights.</w:t>
      </w:r>
    </w:p>
    <w:p>
      <w:pPr>
        <w:spacing w:after="0" w:line="159" w:lineRule="exact"/>
        <w:rPr>
          <w:rFonts w:ascii="Courier New" w:cs="Courier New" w:eastAsia="Courier New" w:hAnsi="Courier New"/>
          <w:sz w:val="14"/>
          <w:szCs w:val="14"/>
          <w:color w:val="auto"/>
        </w:rPr>
      </w:pPr>
    </w:p>
    <w:p>
      <w:pPr>
        <w:ind w:left="440" w:right="464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newly acquired systems, includes capital expenditures made since January 1, 2002.</w:t>
      </w:r>
    </w:p>
    <w:p>
      <w:pPr>
        <w:sectPr>
          <w:pgSz w:w="11900" w:h="16838" w:orient="portrait"/>
          <w:cols w:equalWidth="0" w:num="1">
            <w:col w:w="11540"/>
          </w:cols>
          <w:pgMar w:left="220" w:top="948" w:right="139" w:bottom="744" w:gutter="0" w:footer="0" w:header="0"/>
        </w:sectPr>
      </w:pPr>
    </w:p>
    <w:bookmarkStart w:id="13" w:name="page14"/>
    <w:bookmarkEnd w:id="13"/>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141" w:right="1440" w:bottom="1440" w:gutter="0" w:footer="0" w:header="0"/>
        </w:sectPr>
      </w:pPr>
    </w:p>
    <w:bookmarkStart w:id="14" w:name="page15"/>
    <w:bookmarkEnd w:id="14"/>
    <w:p>
      <w:pPr>
        <w:spacing w:after="0" w:line="49"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[COMCAST LOGO OMITTED]</w:t>
      </w:r>
    </w:p>
    <w:p>
      <w:pPr>
        <w:spacing w:after="0" w:line="17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TABLE 6</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Pro Forma Data - Cable Segment (Unaudited) (1)(2)</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Historical Systems (3)</w:t>
            </w:r>
          </w:p>
        </w:tc>
        <w:tc>
          <w:tcPr>
            <w:tcW w:w="30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Newly Acquired Systems (3)</w:t>
            </w:r>
          </w:p>
        </w:tc>
        <w:tc>
          <w:tcPr>
            <w:tcW w:w="10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2Q03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1Q03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2Q02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2Q03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1Q03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2Q02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2Q03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1Q03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2Q02</w:t>
            </w:r>
          </w:p>
        </w:tc>
      </w:tr>
      <w:tr>
        <w:trPr>
          <w:trHeight w:val="166"/>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Homes Passed (000's)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14,364.2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14,281.3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14,067.6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25,144.3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25,042.1</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24,536.8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39,508.5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39,323.4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38,604.4</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8,536.5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8,559.6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8,507.5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12,827.6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12,792.4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12,930.5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21,364.1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21,438.0</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55.5%</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40" w:type="dxa"/>
            <w:vAlign w:val="bottom"/>
            <w:gridSpan w:val="4"/>
          </w:tcPr>
          <w:p>
            <w:pPr>
              <w:spacing w:after="0"/>
              <w:rPr>
                <w:sz w:val="20"/>
                <w:szCs w:val="20"/>
                <w:color w:val="auto"/>
              </w:rPr>
            </w:pPr>
            <w:r>
              <w:rPr>
                <w:rFonts w:ascii="Courier New" w:cs="Courier New" w:eastAsia="Courier New" w:hAnsi="Courier New"/>
                <w:sz w:val="14"/>
                <w:szCs w:val="14"/>
                <w:color w:val="auto"/>
              </w:rPr>
              <w:t>Additions (000's)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42.6</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(133.3)</w:t>
            </w:r>
          </w:p>
        </w:tc>
      </w:tr>
      <w:tr>
        <w:trPr>
          <w:trHeight w:val="497"/>
        </w:trPr>
        <w:tc>
          <w:tcPr>
            <w:tcW w:w="1180" w:type="dxa"/>
            <w:vAlign w:val="bottom"/>
            <w:gridSpan w:val="3"/>
          </w:tcPr>
          <w:p>
            <w:pPr>
              <w:spacing w:after="0"/>
              <w:rPr>
                <w:sz w:val="20"/>
                <w:szCs w:val="20"/>
                <w:color w:val="auto"/>
              </w:rPr>
            </w:pPr>
            <w:r>
              <w:rPr>
                <w:rFonts w:ascii="Courier New" w:cs="Courier New" w:eastAsia="Courier New" w:hAnsi="Courier New"/>
                <w:sz w:val="14"/>
                <w:szCs w:val="14"/>
                <w:color w:val="auto"/>
              </w:rPr>
              <w:t>Digital Cable</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640" w:type="dxa"/>
            <w:vAlign w:val="bottom"/>
            <w:gridSpan w:val="4"/>
          </w:tcPr>
          <w:p>
            <w:pPr>
              <w:spacing w:after="0"/>
              <w:rPr>
                <w:sz w:val="20"/>
                <w:szCs w:val="20"/>
                <w:color w:val="auto"/>
              </w:rPr>
            </w:pPr>
            <w:r>
              <w:rPr>
                <w:rFonts w:ascii="Courier New" w:cs="Courier New" w:eastAsia="Courier New" w:hAnsi="Courier New"/>
                <w:sz w:val="14"/>
                <w:szCs w:val="14"/>
                <w:color w:val="auto"/>
              </w:rPr>
              <w:t>"Digital Ready"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8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Subscribers (000's)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8,536.5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8,559.6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8,476.1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12,827.6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12,792.4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12,930.5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21,364.1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21,406.6</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2,417.6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2,322.7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4,465.4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6,950.2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6,788.1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5,823.3</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Additions</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324.3</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$14.73</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$14.46</w:t>
            </w:r>
          </w:p>
        </w:tc>
      </w:tr>
      <w:tr>
        <w:trPr>
          <w:trHeight w:val="497"/>
        </w:trPr>
        <w:tc>
          <w:tcPr>
            <w:tcW w:w="1640" w:type="dxa"/>
            <w:vAlign w:val="bottom"/>
            <w:gridSpan w:val="4"/>
          </w:tcPr>
          <w:p>
            <w:pPr>
              <w:spacing w:after="0"/>
              <w:rPr>
                <w:sz w:val="20"/>
                <w:szCs w:val="20"/>
                <w:color w:val="auto"/>
              </w:rPr>
            </w:pPr>
            <w:r>
              <w:rPr>
                <w:rFonts w:ascii="Courier New" w:cs="Courier New" w:eastAsia="Courier New" w:hAnsi="Courier New"/>
                <w:sz w:val="14"/>
                <w:szCs w:val="14"/>
                <w:color w:val="auto"/>
              </w:rPr>
              <w:t>High-Speed Internet</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640" w:type="dxa"/>
            <w:vAlign w:val="bottom"/>
            <w:gridSpan w:val="4"/>
          </w:tcPr>
          <w:p>
            <w:pPr>
              <w:spacing w:after="0"/>
              <w:rPr>
                <w:sz w:val="20"/>
                <w:szCs w:val="20"/>
                <w:color w:val="auto"/>
              </w:rPr>
            </w:pPr>
            <w:r>
              <w:rPr>
                <w:rFonts w:ascii="Courier New" w:cs="Courier New" w:eastAsia="Courier New" w:hAnsi="Courier New"/>
                <w:sz w:val="14"/>
                <w:szCs w:val="14"/>
                <w:color w:val="auto"/>
              </w:rPr>
              <w:t>"Available" Homes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(000's)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13,424.7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13,026.2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11,574.9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18,698.9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18,080.7</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15,977.0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32,123.6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31,106.9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27,551.9</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1,718.2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2,506.5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2,319.2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4,388.3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4,037.4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2,914.4</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Additions</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224.8</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264.2</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$44.11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$43.44</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$41.85</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640" w:type="dxa"/>
            <w:vAlign w:val="bottom"/>
            <w:gridSpan w:val="4"/>
          </w:tcPr>
          <w:p>
            <w:pPr>
              <w:spacing w:after="0"/>
              <w:rPr>
                <w:sz w:val="20"/>
                <w:szCs w:val="20"/>
                <w:color w:val="auto"/>
              </w:rPr>
            </w:pPr>
            <w:r>
              <w:rPr>
                <w:rFonts w:ascii="Courier New" w:cs="Courier New" w:eastAsia="Courier New" w:hAnsi="Courier New"/>
                <w:sz w:val="14"/>
                <w:szCs w:val="14"/>
                <w:color w:val="auto"/>
              </w:rPr>
              <w:t>"Available" Homes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(000's)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355.5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8,808.4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8,674.2</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9,163.9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8,995.1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7,889.8</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1,328.0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1,380.8</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1,366.5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1,260.8</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Additions</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rPr>
              <w:t>(000's)</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6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$49.58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$50.18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$52.35</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$57.56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$57.34</w:t>
            </w:r>
          </w:p>
        </w:tc>
      </w:tr>
      <w:tr>
        <w:trPr>
          <w:trHeight w:val="331"/>
        </w:trPr>
        <w:tc>
          <w:tcPr>
            <w:tcW w:w="2380" w:type="dxa"/>
            <w:vAlign w:val="bottom"/>
            <w:gridSpan w:val="5"/>
          </w:tcPr>
          <w:p>
            <w:pPr>
              <w:spacing w:after="0"/>
              <w:rPr>
                <w:sz w:val="20"/>
                <w:szCs w:val="20"/>
                <w:color w:val="auto"/>
              </w:rPr>
            </w:pPr>
            <w:r>
              <w:rPr>
                <w:rFonts w:ascii="Courier New" w:cs="Courier New" w:eastAsia="Courier New" w:hAnsi="Courier New"/>
                <w:sz w:val="14"/>
                <w:szCs w:val="14"/>
                <w:color w:val="auto"/>
              </w:rPr>
              <w:t>Total Revenue Generating</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Units</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(000's)</w:t>
            </w:r>
          </w:p>
        </w:tc>
        <w:tc>
          <w:tcPr>
            <w:tcW w:w="4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12,874.4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12,638.5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11,699.4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21,194.7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20,957.8</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19,737.1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34,069.1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33,596.3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right="7060" w:hanging="86"/>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Information - Pro Forma Historical Data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2Q03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1Q03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4Q02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3Q02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2Q02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1Q02</w:t>
            </w:r>
          </w:p>
        </w:tc>
      </w:tr>
      <w:tr>
        <w:trPr>
          <w:trHeight w:val="166"/>
        </w:trPr>
        <w:tc>
          <w:tcPr>
            <w:tcW w:w="422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$ 1,645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$ 1,601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$ 1,548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$ 1,469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2,586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2,375</w:t>
            </w:r>
          </w:p>
        </w:tc>
      </w:tr>
      <w:tr>
        <w:trPr>
          <w:trHeight w:val="166"/>
        </w:trPr>
        <w:tc>
          <w:tcPr>
            <w:tcW w:w="4220" w:type="dxa"/>
            <w:vAlign w:val="bottom"/>
          </w:tcPr>
          <w:p>
            <w:pPr>
              <w:spacing w:after="0"/>
              <w:rPr>
                <w:sz w:val="14"/>
                <w:szCs w:val="14"/>
                <w:color w:val="auto"/>
              </w:rPr>
            </w:pPr>
          </w:p>
        </w:tc>
        <w:tc>
          <w:tcPr>
            <w:tcW w:w="7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$ 4,379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$ 4,231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$ 4,149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$ 4,035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$ 4,009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$ 3,844</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$ 675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$ 645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$ 647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$ 597</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6"/>
        </w:trPr>
        <w:tc>
          <w:tcPr>
            <w:tcW w:w="4220" w:type="dxa"/>
            <w:vAlign w:val="bottom"/>
          </w:tcPr>
          <w:p>
            <w:pPr>
              <w:spacing w:after="0"/>
              <w:rPr>
                <w:sz w:val="14"/>
                <w:szCs w:val="14"/>
                <w:color w:val="auto"/>
              </w:rPr>
            </w:pPr>
          </w:p>
        </w:tc>
        <w:tc>
          <w:tcPr>
            <w:tcW w:w="7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Cash Flow (5)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$ 1,421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$ 1,048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$ 1,198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$ 1,046</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Acquisition &amp; employee termination related costs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included in Operating Cash Flow (5)</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Adjusted Operating Cash Flow</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$ 1,178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$ 1,134</w:t>
            </w:r>
          </w:p>
        </w:tc>
      </w:tr>
      <w:tr>
        <w:trPr>
          <w:trHeight w:val="166"/>
        </w:trPr>
        <w:tc>
          <w:tcPr>
            <w:tcW w:w="4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w:t>
      </w:r>
    </w:p>
    <w:p>
      <w:pPr>
        <w:spacing w:after="0" w:line="172" w:lineRule="exact"/>
        <w:rPr>
          <w:rFonts w:ascii="Courier New" w:cs="Courier New" w:eastAsia="Courier New" w:hAnsi="Courier New"/>
          <w:sz w:val="14"/>
          <w:szCs w:val="14"/>
          <w:color w:val="auto"/>
        </w:rPr>
      </w:pPr>
    </w:p>
    <w:p>
      <w:pPr>
        <w:jc w:val="both"/>
        <w:ind w:left="440" w:right="464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w:t>
      </w:r>
    </w:p>
    <w:p>
      <w:pPr>
        <w:sectPr>
          <w:pgSz w:w="11900" w:h="16887" w:orient="portrait"/>
          <w:cols w:equalWidth="0" w:num="1">
            <w:col w:w="11540"/>
          </w:cols>
          <w:pgMar w:left="220" w:top="948" w:right="139" w:bottom="0" w:gutter="0" w:footer="0" w:header="0"/>
        </w:sectPr>
      </w:pPr>
    </w:p>
    <w:bookmarkStart w:id="15" w:name="page16"/>
    <w:bookmarkEnd w:id="15"/>
    <w:p>
      <w:pPr>
        <w:jc w:val="both"/>
        <w:ind w:left="432" w:right="3339"/>
        <w:spacing w:after="0" w:line="252" w:lineRule="auto"/>
        <w:rPr>
          <w:sz w:val="20"/>
          <w:szCs w:val="20"/>
          <w:color w:val="auto"/>
        </w:rPr>
      </w:pPr>
      <w:r>
        <w:rPr>
          <w:rFonts w:ascii="Courier New" w:cs="Courier New" w:eastAsia="Courier New" w:hAnsi="Courier New"/>
          <w:sz w:val="14"/>
          <w:szCs w:val="14"/>
          <w:color w:val="auto"/>
        </w:rPr>
        <w:t>subscribers associated with the cable system exchange with Insight Communications in February 2003. Pro forma subscriber data includes the results of 6,100 subscribers from Telemedia, Inc. in June 2003.</w:t>
      </w:r>
    </w:p>
    <w:p>
      <w:pPr>
        <w:spacing w:after="0" w:line="163" w:lineRule="exact"/>
        <w:rPr>
          <w:sz w:val="20"/>
          <w:szCs w:val="20"/>
          <w:color w:val="auto"/>
        </w:rPr>
      </w:pPr>
    </w:p>
    <w:p>
      <w:pPr>
        <w:jc w:val="both"/>
        <w:ind w:left="432" w:right="3339" w:hanging="432"/>
        <w:spacing w:after="0" w:line="252" w:lineRule="auto"/>
        <w:tabs>
          <w:tab w:leader="none" w:pos="43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The newly acquired systems represent those cable businesses acquired from AT&amp;T.</w:t>
      </w:r>
    </w:p>
    <w:p>
      <w:pPr>
        <w:spacing w:after="0" w:line="162" w:lineRule="exact"/>
        <w:rPr>
          <w:rFonts w:ascii="Courier New" w:cs="Courier New" w:eastAsia="Courier New" w:hAnsi="Courier New"/>
          <w:sz w:val="14"/>
          <w:szCs w:val="14"/>
          <w:color w:val="auto"/>
        </w:rPr>
      </w:pPr>
    </w:p>
    <w:p>
      <w:pPr>
        <w:ind w:left="432" w:right="3339" w:hanging="432"/>
        <w:spacing w:after="0" w:line="255" w:lineRule="auto"/>
        <w:tabs>
          <w:tab w:leader="none" w:pos="43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total of all primary analog video, digital video, high-speed Internet and phone customers, but excluding additional outlets.</w:t>
      </w:r>
    </w:p>
    <w:p>
      <w:pPr>
        <w:spacing w:after="0" w:line="159" w:lineRule="exact"/>
        <w:rPr>
          <w:rFonts w:ascii="Courier New" w:cs="Courier New" w:eastAsia="Courier New" w:hAnsi="Courier New"/>
          <w:sz w:val="14"/>
          <w:szCs w:val="14"/>
          <w:color w:val="auto"/>
        </w:rPr>
      </w:pPr>
    </w:p>
    <w:p>
      <w:pPr>
        <w:jc w:val="both"/>
        <w:ind w:left="432" w:right="3339" w:hanging="432"/>
        <w:spacing w:after="0" w:line="252" w:lineRule="auto"/>
        <w:tabs>
          <w:tab w:leader="none" w:pos="43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four quarters ended December 31, 2002 are acquisition &amp; employee termination related costs incurred by AT&amp;T Broadband prior to the acquisition of AT&amp;T Broadband by the Company.</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14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3980" w:type="dxa"/>
            <w:vAlign w:val="bottom"/>
          </w:tcPr>
          <w:p>
            <w:pPr>
              <w:ind w:left="3100"/>
              <w:spacing w:after="0"/>
              <w:rPr>
                <w:sz w:val="20"/>
                <w:szCs w:val="20"/>
                <w:color w:val="auto"/>
              </w:rPr>
            </w:pPr>
            <w:r>
              <w:rPr>
                <w:rFonts w:ascii="Courier New" w:cs="Courier New" w:eastAsia="Courier New" w:hAnsi="Courier New"/>
                <w:sz w:val="14"/>
                <w:szCs w:val="14"/>
                <w:color w:val="auto"/>
              </w:rPr>
              <w:t>COMCAST</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980" w:type="dxa"/>
            <w:vAlign w:val="bottom"/>
          </w:tcPr>
          <w:p>
            <w:pPr>
              <w:ind w:left="3100"/>
              <w:spacing w:after="0"/>
              <w:rPr>
                <w:sz w:val="20"/>
                <w:szCs w:val="20"/>
                <w:color w:val="auto"/>
              </w:rPr>
            </w:pPr>
            <w:r>
              <w:rPr>
                <w:rFonts w:ascii="Courier New" w:cs="Courier New" w:eastAsia="Courier New" w:hAnsi="Courier New"/>
                <w:sz w:val="14"/>
                <w:szCs w:val="14"/>
                <w:color w:val="auto"/>
              </w:rPr>
              <w:t>TABLE 7</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860" w:type="dxa"/>
            <w:vAlign w:val="bottom"/>
            <w:gridSpan w:val="3"/>
          </w:tcPr>
          <w:p>
            <w:pPr>
              <w:jc w:val="center"/>
              <w:ind w:left="48"/>
              <w:spacing w:after="0"/>
              <w:rPr>
                <w:sz w:val="20"/>
                <w:szCs w:val="20"/>
                <w:color w:val="auto"/>
              </w:rPr>
            </w:pPr>
            <w:r>
              <w:rPr>
                <w:rFonts w:ascii="Courier New" w:cs="Courier New" w:eastAsia="Courier New" w:hAnsi="Courier New"/>
                <w:sz w:val="14"/>
                <w:szCs w:val="14"/>
                <w:color w:val="auto"/>
              </w:rPr>
              <w:t>Pro Forma Data - Commerce Segment (QVC) (Unaudited) (1)</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860" w:type="dxa"/>
            <w:vAlign w:val="bottom"/>
            <w:gridSpan w:val="3"/>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gridSpan w:val="2"/>
          </w:tcPr>
          <w:p>
            <w:pPr>
              <w:jc w:val="center"/>
              <w:ind w:left="1528"/>
              <w:spacing w:after="0"/>
              <w:rPr>
                <w:sz w:val="20"/>
                <w:szCs w:val="20"/>
                <w:color w:val="auto"/>
              </w:rPr>
            </w:pPr>
            <w:r>
              <w:rPr>
                <w:rFonts w:ascii="Courier New" w:cs="Courier New" w:eastAsia="Courier New" w:hAnsi="Courier New"/>
                <w:sz w:val="14"/>
                <w:szCs w:val="14"/>
                <w:color w:val="auto"/>
              </w:rPr>
              <w:t>(dollars and homes in millions)</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980" w:type="dxa"/>
            <w:vAlign w:val="bottom"/>
          </w:tcPr>
          <w:p>
            <w:pPr>
              <w:spacing w:after="0"/>
              <w:rPr>
                <w:sz w:val="24"/>
                <w:szCs w:val="2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Domestic (2)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Germany</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UK</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Japan</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98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2003</w:t>
            </w: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(euro) 3.34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(pound)4.24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Y896.26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497"/>
        </w:trPr>
        <w:tc>
          <w:tcPr>
            <w:tcW w:w="398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2002</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(euro) 2.72</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(pound)4.33</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Y483.41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Six Months Ended June 30, 2003</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$1,710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$2,163</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36.2%</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$389</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(euro) 6.78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(pound)8.50</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Y1,627.41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Six Months Ended June 30, 2002</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$1,978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34.8%</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(euro) 5.53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(pound)9.14</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Y901.13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right="3880" w:firstLine="8"/>
        <w:spacing w:after="0" w:line="255" w:lineRule="auto"/>
        <w:tabs>
          <w:tab w:leader="none" w:pos="43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excludes the results of QVC's infomercial operations in Mexico which were sold in February 2003.</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includes the U.S. channel, infomercial business and QVC.com.</w:t>
      </w:r>
    </w:p>
    <w:p>
      <w:pPr>
        <w:spacing w:after="0" w:line="172" w:lineRule="exact"/>
        <w:rPr>
          <w:rFonts w:ascii="Courier New" w:cs="Courier New" w:eastAsia="Courier New" w:hAnsi="Courier New"/>
          <w:sz w:val="14"/>
          <w:szCs w:val="14"/>
          <w:color w:val="auto"/>
        </w:rPr>
      </w:pPr>
    </w:p>
    <w:p>
      <w:pPr>
        <w:jc w:val="both"/>
        <w:ind w:right="3880" w:firstLine="8"/>
        <w:spacing w:after="0" w:line="252"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that while QVC has the potential to serve this many homes in Germany, it is estimated that approximately 50% of the services homes are programmed to receive the QVC channel.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780"/>
          </w:cols>
          <w:pgMar w:left="220" w:top="1113" w:right="899" w:bottom="1440" w:gutter="0" w:footer="0" w:header="0"/>
        </w:sectPr>
      </w:pPr>
    </w:p>
    <w:bookmarkStart w:id="17" w:name="page18"/>
    <w:bookmarkEnd w:id="17"/>
    <w:p>
      <w:pPr>
        <w:ind w:left="3100"/>
        <w:spacing w:after="0"/>
        <w:rPr>
          <w:sz w:val="20"/>
          <w:szCs w:val="20"/>
          <w:color w:val="auto"/>
        </w:rPr>
      </w:pPr>
      <w:r>
        <w:rPr>
          <w:rFonts w:ascii="Courier New" w:cs="Courier New" w:eastAsia="Courier New" w:hAnsi="Courier New"/>
          <w:sz w:val="14"/>
          <w:szCs w:val="14"/>
          <w:color w:val="auto"/>
        </w:rPr>
        <w:t>COMCAST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TABLE 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and Other Financial Measures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Prior to the first quarter of 2003, we described the performance measure, operating income before depreciation and amortization, as Operating Cash Flow. In the first quarter of 2003, we referred to the same measure as EBITDA (earnings before interest, taxes, depreciation and amortization) in response to new guidance on Non-GAAP measures provided by the SEC in Regulation G and amendments to Item 10 of Regulation S-K. In the second quarter, we reverted back to describing this measure as Operating Cash Flow based on additional guidance provided by the SEC staff. This is only a change in terminology. We have not changed the calculation of this measure.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Cash Flow is the primary basis used to measure the operational strength and performance of our businesses. Free Cash Flow is an additional performance measure used as an indicator of our ability to service debt and make strategic investments.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Cash Flow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uses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is not a "non-GAAP financial measure" as contemplated by Regulation G adopted by the Securities and Exchange Commission.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Following are quantitative reconciliations of Free Cash Flow and Debt Excluding Exchangeables, and, although not required by Regulation G, reconciliations of Operating Cash Flow and pro forma data.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8" w:name="page19"/>
    <w:bookmarkEnd w:id="18"/>
    <w:p>
      <w:pPr>
        <w:spacing w:after="0" w:line="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TABLE 8-A continued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Reconciliations of Historical and Pro Forma Data by Business Segment (Unaudited)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(dollars in millions)</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Historical</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008"/>
              <w:spacing w:after="0"/>
              <w:rPr>
                <w:sz w:val="20"/>
                <w:szCs w:val="20"/>
                <w:color w:val="auto"/>
              </w:rPr>
            </w:pPr>
            <w:r>
              <w:rPr>
                <w:rFonts w:ascii="Courier New" w:cs="Courier New" w:eastAsia="Courier New" w:hAnsi="Courier New"/>
                <w:sz w:val="14"/>
                <w:szCs w:val="14"/>
                <w:color w:val="auto"/>
              </w:rPr>
              <w:t>Adjustments (1)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Content and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Cable</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Commerce</w:t>
            </w: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4,379</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1,101</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5,685</w:t>
            </w:r>
          </w:p>
        </w:tc>
        <w:tc>
          <w:tcPr>
            <w:tcW w:w="260" w:type="dxa"/>
            <w:vAlign w:val="bottom"/>
          </w:tcPr>
          <w:p>
            <w:pPr>
              <w:spacing w:after="0"/>
              <w:rPr>
                <w:sz w:val="24"/>
                <w:szCs w:val="2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(excluding depreciation &amp;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2,782</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3,854</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3,854</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1,831</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1,220</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1,220</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008"/>
              <w:spacing w:after="0"/>
              <w:rPr>
                <w:sz w:val="20"/>
                <w:szCs w:val="20"/>
                <w:color w:val="auto"/>
              </w:rPr>
            </w:pPr>
            <w:r>
              <w:rPr>
                <w:rFonts w:ascii="Courier New" w:cs="Courier New" w:eastAsia="Courier New" w:hAnsi="Courier New"/>
                <w:sz w:val="14"/>
                <w:szCs w:val="14"/>
                <w:color w:val="auto"/>
              </w:rPr>
              <w:t>Adjustments (1)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Content and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2002</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Cable</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Commerce</w:t>
            </w: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990</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2,468</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w w:val="83"/>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5,159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(excluding depreciation &amp;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1,945</w:t>
            </w:r>
          </w:p>
        </w:tc>
        <w:tc>
          <w:tcPr>
            <w:tcW w:w="340" w:type="dxa"/>
            <w:vAlign w:val="bottom"/>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3,769</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654</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866</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Impairment charge</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16,525</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16,525</w:t>
            </w: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($16,787)</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($16,308)</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1,340</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008"/>
              <w:spacing w:after="0"/>
              <w:rPr>
                <w:sz w:val="20"/>
                <w:szCs w:val="20"/>
                <w:color w:val="auto"/>
              </w:rPr>
            </w:pPr>
            <w:r>
              <w:rPr>
                <w:rFonts w:ascii="Courier New" w:cs="Courier New" w:eastAsia="Courier New" w:hAnsi="Courier New"/>
                <w:sz w:val="14"/>
                <w:szCs w:val="14"/>
                <w:color w:val="auto"/>
              </w:rPr>
              <w:t>Adjustments (1)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Content and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Six Months Ended June 30, 2003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Cable</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Commerce</w:t>
            </w: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2,163</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429</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$ 11,203</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w w:val="83"/>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$ 11,202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(excluding depreciation &amp;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5,593</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1,733</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408</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7,734</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7,733</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3,018</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3,469</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3,469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2,385</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2,385</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1,084</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1,084</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2,041</w:t>
            </w:r>
          </w:p>
        </w:tc>
        <w:tc>
          <w:tcPr>
            <w:tcW w:w="2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2,041</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3"/>
          </w:tcPr>
          <w:p>
            <w:pPr>
              <w:jc w:val="right"/>
              <w:ind w:right="1008"/>
              <w:spacing w:after="0"/>
              <w:rPr>
                <w:sz w:val="20"/>
                <w:szCs w:val="20"/>
                <w:color w:val="auto"/>
              </w:rPr>
            </w:pPr>
            <w:r>
              <w:rPr>
                <w:rFonts w:ascii="Courier New" w:cs="Courier New" w:eastAsia="Courier New" w:hAnsi="Courier New"/>
                <w:sz w:val="14"/>
                <w:szCs w:val="14"/>
                <w:color w:val="auto"/>
              </w:rPr>
              <w:t>Adjustments (1)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Content and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Six Months Ended June 30, 2002</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Cable</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Commerce</w:t>
            </w: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3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1,978</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4,843</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w w:val="83"/>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$ 10,190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(excluding depreciation &amp;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1,759</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346</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3,697</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3,871</w:t>
            </w:r>
          </w:p>
        </w:tc>
        <w:tc>
          <w:tcPr>
            <w:tcW w:w="340" w:type="dxa"/>
            <w:vAlign w:val="bottom"/>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7,547</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1,251</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w w:val="83"/>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w:t>
            </w: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w:t>
            </w:r>
          </w:p>
        </w:tc>
        <w:tc>
          <w:tcPr>
            <w:tcW w:w="3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w:t>
            </w:r>
          </w:p>
        </w:tc>
        <w:tc>
          <w:tcPr>
            <w:tcW w:w="2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1,544</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Impairment charge</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16,525</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16,525</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($17,097)</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w w:val="83"/>
              </w:rPr>
              <w:t>($</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($16,201)</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w:t>
            </w:r>
          </w:p>
        </w:tc>
        <w:tc>
          <w:tcPr>
            <w:tcW w:w="3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2,478</w:t>
            </w:r>
          </w:p>
        </w:tc>
      </w:tr>
      <w:tr>
        <w:trPr>
          <w:trHeight w:val="166"/>
        </w:trPr>
        <w:tc>
          <w:tcPr>
            <w:tcW w:w="342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Reconciliation of Total Debt to Debt Excluding Exchangeables (Unaudited)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June 30, 2003</w:t>
      </w:r>
    </w:p>
    <w:p>
      <w:pPr>
        <w:sectPr>
          <w:pgSz w:w="11900" w:h="16877" w:orient="portrait"/>
          <w:cols w:equalWidth="0" w:num="1">
            <w:col w:w="11460"/>
          </w:cols>
          <w:pgMar w:left="220" w:top="1279" w:right="21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29,923</w:t>
            </w:r>
          </w:p>
        </w:tc>
      </w:tr>
      <w:tr>
        <w:trPr>
          <w:trHeight w:val="166"/>
        </w:trPr>
        <w:tc>
          <w:tcPr>
            <w:tcW w:w="406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$32,339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Exchangeable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5,613</w:t>
            </w:r>
          </w:p>
        </w:tc>
      </w:tr>
      <w:tr>
        <w:trPr>
          <w:trHeight w:val="166"/>
        </w:trPr>
        <w:tc>
          <w:tcPr>
            <w:tcW w:w="406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Debt excluding exchangeables</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$26,726</w:t>
            </w:r>
          </w:p>
        </w:tc>
      </w:tr>
      <w:tr>
        <w:trPr>
          <w:trHeight w:val="166"/>
        </w:trPr>
        <w:tc>
          <w:tcPr>
            <w:tcW w:w="406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3419" w:hanging="512"/>
        <w:spacing w:after="0" w:line="252"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41" w:right="1440" w:bottom="1440" w:gutter="0" w:footer="0" w:header="0"/>
        </w:sectPr>
      </w:pPr>
    </w:p>
    <w:bookmarkStart w:id="20" w:name="page21"/>
    <w:bookmarkEnd w:id="20"/>
    <w:p>
      <w:pPr>
        <w:jc w:val="center"/>
        <w:ind w:right="-359"/>
        <w:spacing w:after="0"/>
        <w:rPr>
          <w:sz w:val="20"/>
          <w:szCs w:val="20"/>
          <w:color w:val="auto"/>
        </w:rPr>
      </w:pPr>
      <w:r>
        <w:rPr>
          <w:rFonts w:ascii="Courier New" w:cs="Courier New" w:eastAsia="Courier New" w:hAnsi="Courier New"/>
          <w:sz w:val="14"/>
          <w:szCs w:val="14"/>
          <w:color w:val="auto"/>
        </w:rPr>
        <w:t>COMCAST</w:t>
      </w:r>
    </w:p>
    <w:p>
      <w:pPr>
        <w:spacing w:after="0" w:line="17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4"/>
          <w:szCs w:val="14"/>
          <w:color w:val="auto"/>
        </w:rPr>
        <w:t>TABLE 8-B continued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Reconciliations of Cable Segment Historical and Pro Forma Data (Unaudited)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(dollars in millions)</w:t>
            </w:r>
          </w:p>
        </w:tc>
        <w:tc>
          <w:tcPr>
            <w:tcW w:w="18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828"/>
        </w:trPr>
        <w:tc>
          <w:tcPr>
            <w:tcW w:w="55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2002</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Historical</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Adjustments (1)</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$1,357</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3,101</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1,191</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5520" w:type="dxa"/>
            <w:vAlign w:val="bottom"/>
          </w:tcPr>
          <w:p>
            <w:pPr>
              <w:spacing w:after="0"/>
              <w:rPr>
                <w:sz w:val="20"/>
                <w:szCs w:val="20"/>
                <w:color w:val="auto"/>
              </w:rPr>
            </w:pPr>
            <w:r>
              <w:rPr>
                <w:rFonts w:ascii="Courier New" w:cs="Courier New" w:eastAsia="Courier New" w:hAnsi="Courier New"/>
                <w:sz w:val="14"/>
                <w:szCs w:val="14"/>
                <w:color w:val="auto"/>
              </w:rPr>
              <w:t>Three Months Ended September 30, 2002</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 (1)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$1,548</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$2,487</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901</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647</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552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2002</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 (1)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$1,541</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$2,468</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888</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2,832</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1,177</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785</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Impairment charge</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16,525</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16,525</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($16,786)</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($16,431)</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3"/>
        </w:trPr>
        <w:tc>
          <w:tcPr>
            <w:tcW w:w="552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 (1)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$1,469</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$2,375</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1,926</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2,798</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597</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166"/>
        </w:trPr>
        <w:tc>
          <w:tcPr>
            <w:tcW w:w="5520" w:type="dxa"/>
            <w:vAlign w:val="bottom"/>
          </w:tcPr>
          <w:p>
            <w:pPr>
              <w:spacing w:after="0"/>
              <w:rPr>
                <w:sz w:val="14"/>
                <w:szCs w:val="14"/>
                <w:color w:val="auto"/>
              </w:rPr>
            </w:pP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620" w:right="4220" w:hanging="612"/>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120"/>
          </w:cols>
          <w:pgMar w:left="220" w:top="1113" w:right="559" w:bottom="1440" w:gutter="0" w:footer="0" w:header="0"/>
        </w:sectPr>
      </w:pPr>
    </w:p>
    <w:bookmarkStart w:id="21" w:name="page22"/>
    <w:bookmarkEnd w:id="21"/>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TABLE 8-C continued</w:t>
      </w:r>
    </w:p>
    <w:p>
      <w:pPr>
        <w:spacing w:after="0" w:line="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Reconciliation of Net Income (Loss) to Free Cash Flow (Unaudited)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(dollars in millions,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3"/>
          </w:tcPr>
          <w:p>
            <w:pPr>
              <w:jc w:val="right"/>
              <w:ind w:right="948"/>
              <w:spacing w:after="0"/>
              <w:rPr>
                <w:sz w:val="20"/>
                <w:szCs w:val="20"/>
                <w:color w:val="auto"/>
              </w:rPr>
            </w:pPr>
            <w:r>
              <w:rPr>
                <w:rFonts w:ascii="Courier New" w:cs="Courier New" w:eastAsia="Courier New" w:hAnsi="Courier New"/>
                <w:sz w:val="14"/>
                <w:szCs w:val="14"/>
                <w:color w:val="auto"/>
              </w:rPr>
              <w:t>Three Months Ended</w:t>
            </w:r>
          </w:p>
        </w:tc>
        <w:tc>
          <w:tcPr>
            <w:tcW w:w="740" w:type="dxa"/>
            <w:vAlign w:val="bottom"/>
          </w:tcPr>
          <w:p>
            <w:pPr>
              <w:spacing w:after="0"/>
              <w:rPr>
                <w:sz w:val="14"/>
                <w:szCs w:val="14"/>
                <w:color w:val="auto"/>
              </w:rPr>
            </w:pPr>
          </w:p>
        </w:tc>
        <w:tc>
          <w:tcPr>
            <w:tcW w:w="314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2003</w:t>
            </w:r>
          </w:p>
        </w:tc>
        <w:tc>
          <w:tcPr>
            <w:tcW w:w="560" w:type="dxa"/>
            <w:vAlign w:val="bottom"/>
          </w:tcPr>
          <w:p>
            <w:pPr>
              <w:spacing w:after="0"/>
              <w:rPr>
                <w:sz w:val="14"/>
                <w:szCs w:val="1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spacing w:after="0"/>
              <w:rPr>
                <w:sz w:val="14"/>
                <w:szCs w:val="14"/>
                <w:color w:val="auto"/>
              </w:rPr>
            </w:pP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w:t>
            </w:r>
          </w:p>
        </w:tc>
        <w:tc>
          <w:tcPr>
            <w:tcW w:w="7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Non-operating items, net of tax (1)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0.37</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0.58</w:t>
            </w: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Income (Loss) as adjusted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$0.27</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 adjusted to Operating Cash Flow:</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0.54</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0.22</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0.04</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0.16</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2003</w:t>
            </w:r>
          </w:p>
        </w:tc>
        <w:tc>
          <w:tcPr>
            <w:tcW w:w="560" w:type="dxa"/>
            <w:vAlign w:val="bottom"/>
          </w:tcPr>
          <w:p>
            <w:pPr>
              <w:spacing w:after="0"/>
              <w:rPr>
                <w:sz w:val="24"/>
                <w:szCs w:val="2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spacing w:after="0"/>
              <w:rPr>
                <w:sz w:val="24"/>
                <w:szCs w:val="2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spacing w:after="0"/>
              <w:rPr>
                <w:sz w:val="24"/>
                <w:szCs w:val="24"/>
                <w:color w:val="auto"/>
              </w:rPr>
            </w:pP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w:t>
            </w:r>
          </w:p>
        </w:tc>
        <w:tc>
          <w:tcPr>
            <w:tcW w:w="7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1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$1,831</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$866</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$1,674</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net (2)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(526)</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(1,066)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Cash Paid for Income Taxes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Change in Operating Assets &amp;</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Liabilities, net of acquisitions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1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1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c>
          <w:tcPr>
            <w:tcW w:w="1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w:t>
            </w:r>
          </w:p>
        </w:tc>
        <w:tc>
          <w:tcPr>
            <w:tcW w:w="126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w:t>
            </w:r>
          </w:p>
        </w:tc>
        <w:tc>
          <w:tcPr>
            <w:tcW w:w="11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$1,050</w:t>
            </w:r>
          </w:p>
        </w:tc>
        <w:tc>
          <w:tcPr>
            <w:tcW w:w="116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Less:  Capital Expenditures</w:t>
            </w:r>
          </w:p>
        </w:tc>
        <w:tc>
          <w:tcPr>
            <w:tcW w:w="82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(1,070)</w:t>
            </w:r>
          </w:p>
        </w:tc>
        <w:tc>
          <w:tcPr>
            <w:tcW w:w="560" w:type="dxa"/>
            <w:vAlign w:val="bottom"/>
          </w:tcPr>
          <w:p>
            <w:pPr>
              <w:spacing w:after="0"/>
              <w:rPr>
                <w:sz w:val="14"/>
                <w:szCs w:val="14"/>
                <w:color w:val="auto"/>
              </w:rPr>
            </w:pP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(390)</w:t>
            </w:r>
          </w:p>
        </w:tc>
        <w:tc>
          <w:tcPr>
            <w:tcW w:w="7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($2,041)</w:t>
            </w:r>
          </w:p>
        </w:tc>
        <w:tc>
          <w:tcPr>
            <w:tcW w:w="8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82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w:t>
            </w:r>
          </w:p>
        </w:tc>
        <w:tc>
          <w:tcPr>
            <w:tcW w:w="560" w:type="dxa"/>
            <w:vAlign w:val="bottom"/>
          </w:tcPr>
          <w:p>
            <w:pPr>
              <w:spacing w:after="0"/>
              <w:rPr>
                <w:sz w:val="14"/>
                <w:szCs w:val="14"/>
                <w:color w:val="auto"/>
              </w:rPr>
            </w:pP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w:t>
            </w:r>
          </w:p>
        </w:tc>
        <w:tc>
          <w:tcPr>
            <w:tcW w:w="74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8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20" w:type="dxa"/>
            <w:vAlign w:val="bottom"/>
            <w:gridSpan w:val="3"/>
          </w:tcPr>
          <w:p>
            <w:pPr>
              <w:jc w:val="right"/>
              <w:ind w:right="948"/>
              <w:spacing w:after="0"/>
              <w:rPr>
                <w:sz w:val="20"/>
                <w:szCs w:val="20"/>
                <w:color w:val="auto"/>
              </w:rPr>
            </w:pPr>
            <w:r>
              <w:rPr>
                <w:rFonts w:ascii="Courier New" w:cs="Courier New" w:eastAsia="Courier New" w:hAnsi="Courier New"/>
                <w:sz w:val="14"/>
                <w:szCs w:val="14"/>
                <w:color w:val="auto"/>
              </w:rPr>
              <w:t>Three Months Ended</w:t>
            </w:r>
          </w:p>
        </w:tc>
        <w:tc>
          <w:tcPr>
            <w:tcW w:w="740" w:type="dxa"/>
            <w:vAlign w:val="bottom"/>
          </w:tcPr>
          <w:p>
            <w:pPr>
              <w:spacing w:after="0"/>
              <w:rPr>
                <w:sz w:val="14"/>
                <w:szCs w:val="14"/>
                <w:color w:val="auto"/>
              </w:rPr>
            </w:pPr>
          </w:p>
        </w:tc>
        <w:tc>
          <w:tcPr>
            <w:tcW w:w="314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2003</w:t>
            </w:r>
          </w:p>
        </w:tc>
        <w:tc>
          <w:tcPr>
            <w:tcW w:w="620" w:type="dxa"/>
            <w:vAlign w:val="bottom"/>
          </w:tcPr>
          <w:p>
            <w:pPr>
              <w:spacing w:after="0"/>
              <w:rPr>
                <w:sz w:val="14"/>
                <w:szCs w:val="1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100" w:type="dxa"/>
            <w:vAlign w:val="bottom"/>
          </w:tcPr>
          <w:p>
            <w:pPr>
              <w:jc w:val="right"/>
              <w:ind w:right="688"/>
              <w:spacing w:after="0"/>
              <w:rPr>
                <w:sz w:val="20"/>
                <w:szCs w:val="20"/>
                <w:color w:val="auto"/>
              </w:rPr>
            </w:pPr>
            <w:r>
              <w:rPr>
                <w:rFonts w:ascii="Courier New" w:cs="Courier New" w:eastAsia="Courier New" w:hAnsi="Courier New"/>
                <w:sz w:val="14"/>
                <w:szCs w:val="14"/>
                <w:color w:val="auto"/>
                <w:w w:val="95"/>
              </w:rPr>
              <w:t>----</w:t>
            </w:r>
          </w:p>
        </w:tc>
        <w:tc>
          <w:tcPr>
            <w:tcW w:w="74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c>
          <w:tcPr>
            <w:tcW w:w="220" w:type="dxa"/>
            <w:vAlign w:val="bottom"/>
          </w:tcPr>
          <w:p>
            <w:pPr>
              <w:spacing w:after="0"/>
              <w:rPr>
                <w:sz w:val="14"/>
                <w:szCs w:val="14"/>
                <w:color w:val="auto"/>
              </w:rPr>
            </w:pP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per share(3)</w:t>
            </w:r>
          </w:p>
        </w:tc>
      </w:tr>
      <w:tr>
        <w:trPr>
          <w:trHeight w:val="166"/>
        </w:trPr>
        <w:tc>
          <w:tcPr>
            <w:tcW w:w="3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(1) Detail of non-operating items:</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Investment (income) expense  -</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mark to market adjustments on</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trading securities, derivatives</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and hedged items, net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$0.42</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Investment (income) expense -</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(gain) loss on sales and</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exchanges of investments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Investment expense -</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investment impairment losses (4)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0.23</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All other, net (5)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35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Total non-operating items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0.03</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0.17</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0.90</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Tax effect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(0.20)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(0.06)</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35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Non-operating items, net of tax</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$0.02</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c>
          <w:tcPr>
            <w:tcW w:w="1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$0.58</w:t>
            </w:r>
          </w:p>
        </w:tc>
      </w:tr>
      <w:tr>
        <w:trPr>
          <w:trHeight w:val="166"/>
        </w:trPr>
        <w:tc>
          <w:tcPr>
            <w:tcW w:w="354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4640" w:firstLine="8"/>
        <w:spacing w:after="0" w:line="255" w:lineRule="auto"/>
        <w:tabs>
          <w:tab w:leader="none" w:pos="43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expense net of interest income and excludes non-cash interest.</w:t>
      </w:r>
    </w:p>
    <w:p>
      <w:pPr>
        <w:spacing w:after="0" w:line="159" w:lineRule="exact"/>
        <w:rPr>
          <w:rFonts w:ascii="Courier New" w:cs="Courier New" w:eastAsia="Courier New" w:hAnsi="Courier New"/>
          <w:sz w:val="14"/>
          <w:szCs w:val="14"/>
          <w:color w:val="auto"/>
        </w:rPr>
      </w:pPr>
    </w:p>
    <w:p>
      <w:pPr>
        <w:jc w:val="both"/>
        <w:ind w:right="4640" w:firstLine="8"/>
        <w:spacing w:after="0" w:line="252"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weighted average shares outstanding for the three and six months ended June 30, 2003 were 2.255 billion and for the three and six months ended June 30, 2002 were 952 million, respectively.</w:t>
      </w:r>
    </w:p>
    <w:p>
      <w:pPr>
        <w:spacing w:after="0" w:line="162" w:lineRule="exact"/>
        <w:rPr>
          <w:rFonts w:ascii="Courier New" w:cs="Courier New" w:eastAsia="Courier New" w:hAnsi="Courier New"/>
          <w:sz w:val="14"/>
          <w:szCs w:val="14"/>
          <w:color w:val="auto"/>
        </w:rPr>
      </w:pPr>
    </w:p>
    <w:p>
      <w:pPr>
        <w:ind w:right="4640" w:firstLine="8"/>
        <w:spacing w:after="0" w:line="255"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record losses on our investments for which we have determined that a decline in value of the investment was considered other than temporary.</w:t>
      </w:r>
    </w:p>
    <w:p>
      <w:pPr>
        <w:spacing w:after="0" w:line="159" w:lineRule="exact"/>
        <w:rPr>
          <w:rFonts w:ascii="Courier New" w:cs="Courier New" w:eastAsia="Courier New" w:hAnsi="Courier New"/>
          <w:sz w:val="14"/>
          <w:szCs w:val="14"/>
          <w:color w:val="auto"/>
        </w:rPr>
      </w:pPr>
    </w:p>
    <w:p>
      <w:pPr>
        <w:ind w:right="4640" w:firstLine="8"/>
        <w:spacing w:after="0" w:line="255"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(income) losses of affiliates, other income (expense) and minority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540"/>
          </w:cols>
          <w:pgMar w:left="220" w:top="1440" w:right="139" w:bottom="26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5"/>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2019-12-15T06:44:14Z</dcterms:created>
  <dcterms:modified xsi:type="dcterms:W3CDTF">2019-12-15T06:44:14Z</dcterms:modified>
</cp:coreProperties>
</file>