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333-232941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September 7, 2021</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8720" w:type="dxa"/>
            <w:vAlign w:val="bottom"/>
          </w:tcPr>
          <w:p>
            <w:pPr>
              <w:jc w:val="center"/>
              <w:ind w:right="2430"/>
              <w:spacing w:after="0"/>
              <w:rPr>
                <w:sz w:val="20"/>
                <w:szCs w:val="20"/>
                <w:color w:val="auto"/>
              </w:rPr>
            </w:pPr>
            <w:r>
              <w:rPr>
                <w:rFonts w:ascii="Arial" w:cs="Arial" w:eastAsia="Arial" w:hAnsi="Arial"/>
                <w:sz w:val="18"/>
                <w:szCs w:val="18"/>
                <w:b w:val="1"/>
                <w:bCs w:val="1"/>
                <w:color w:val="auto"/>
              </w:rPr>
              <w:t>COMCAST CORPORATION</w:t>
            </w:r>
          </w:p>
        </w:tc>
      </w:tr>
      <w:tr>
        <w:trPr>
          <w:trHeight w:val="630"/>
        </w:trPr>
        <w:tc>
          <w:tcPr>
            <w:tcW w:w="2520" w:type="dxa"/>
            <w:vAlign w:val="bottom"/>
          </w:tcPr>
          <w:p>
            <w:pPr>
              <w:spacing w:after="0"/>
              <w:rPr>
                <w:sz w:val="24"/>
                <w:szCs w:val="24"/>
                <w:color w:val="auto"/>
              </w:rPr>
            </w:pPr>
          </w:p>
        </w:tc>
        <w:tc>
          <w:tcPr>
            <w:tcW w:w="8720" w:type="dxa"/>
            <w:vAlign w:val="bottom"/>
          </w:tcPr>
          <w:p>
            <w:pPr>
              <w:jc w:val="center"/>
              <w:ind w:right="2410"/>
              <w:spacing w:after="0"/>
              <w:rPr>
                <w:sz w:val="20"/>
                <w:szCs w:val="20"/>
                <w:color w:val="auto"/>
              </w:rPr>
            </w:pPr>
            <w:r>
              <w:rPr>
                <w:rFonts w:ascii="Arial" w:cs="Arial" w:eastAsia="Arial" w:hAnsi="Arial"/>
                <w:sz w:val="18"/>
                <w:szCs w:val="18"/>
                <w:b w:val="1"/>
                <w:bCs w:val="1"/>
                <w:color w:val="auto"/>
                <w:w w:val="90"/>
              </w:rPr>
              <w:t>€1,250,000,000 0.000% Notes due 2026 (the “2026 Notes”)</w:t>
            </w:r>
          </w:p>
        </w:tc>
      </w:tr>
      <w:tr>
        <w:trPr>
          <w:trHeight w:val="234"/>
        </w:trPr>
        <w:tc>
          <w:tcPr>
            <w:tcW w:w="2520" w:type="dxa"/>
            <w:vAlign w:val="bottom"/>
          </w:tcPr>
          <w:p>
            <w:pPr>
              <w:spacing w:after="0"/>
              <w:rPr>
                <w:sz w:val="20"/>
                <w:szCs w:val="20"/>
                <w:color w:val="auto"/>
              </w:rPr>
            </w:pPr>
          </w:p>
        </w:tc>
        <w:tc>
          <w:tcPr>
            <w:tcW w:w="8720" w:type="dxa"/>
            <w:vAlign w:val="bottom"/>
          </w:tcPr>
          <w:p>
            <w:pPr>
              <w:jc w:val="center"/>
              <w:ind w:right="2430"/>
              <w:spacing w:after="0"/>
              <w:rPr>
                <w:sz w:val="20"/>
                <w:szCs w:val="20"/>
                <w:color w:val="auto"/>
              </w:rPr>
            </w:pPr>
            <w:r>
              <w:rPr>
                <w:rFonts w:ascii="Arial" w:cs="Arial" w:eastAsia="Arial" w:hAnsi="Arial"/>
                <w:sz w:val="18"/>
                <w:szCs w:val="18"/>
                <w:b w:val="1"/>
                <w:bCs w:val="1"/>
                <w:color w:val="auto"/>
                <w:w w:val="90"/>
              </w:rPr>
              <w:t>€500,000,000 0.250% Notes due 2029 (the “2029 Notes”)</w:t>
            </w:r>
          </w:p>
        </w:tc>
      </w:tr>
      <w:tr>
        <w:trPr>
          <w:trHeight w:val="432"/>
        </w:trPr>
        <w:tc>
          <w:tcPr>
            <w:tcW w:w="2520" w:type="dxa"/>
            <w:vAlign w:val="bottom"/>
          </w:tcPr>
          <w:p>
            <w:pPr>
              <w:spacing w:after="0"/>
              <w:rPr>
                <w:sz w:val="24"/>
                <w:szCs w:val="24"/>
                <w:color w:val="auto"/>
              </w:rPr>
            </w:pPr>
          </w:p>
        </w:tc>
        <w:tc>
          <w:tcPr>
            <w:tcW w:w="8720" w:type="dxa"/>
            <w:vAlign w:val="bottom"/>
          </w:tcPr>
          <w:p>
            <w:pPr>
              <w:jc w:val="center"/>
              <w:ind w:right="2430"/>
              <w:spacing w:after="0"/>
              <w:rPr>
                <w:sz w:val="20"/>
                <w:szCs w:val="20"/>
                <w:color w:val="auto"/>
              </w:rPr>
            </w:pPr>
            <w:r>
              <w:rPr>
                <w:rFonts w:ascii="Arial" w:cs="Arial" w:eastAsia="Arial" w:hAnsi="Arial"/>
                <w:sz w:val="18"/>
                <w:szCs w:val="18"/>
                <w:i w:val="1"/>
                <w:iCs w:val="1"/>
                <w:color w:val="auto"/>
                <w:w w:val="90"/>
              </w:rPr>
              <w:t>The 2026 Notes and the 2029 Notes are herein referred to as the “Notes.”</w:t>
            </w:r>
          </w:p>
        </w:tc>
      </w:tr>
      <w:tr>
        <w:trPr>
          <w:trHeight w:val="432"/>
        </w:trPr>
        <w:tc>
          <w:tcPr>
            <w:tcW w:w="2520" w:type="dxa"/>
            <w:vAlign w:val="bottom"/>
          </w:tcPr>
          <w:p>
            <w:pPr>
              <w:spacing w:after="0"/>
              <w:rPr>
                <w:sz w:val="24"/>
                <w:szCs w:val="24"/>
                <w:color w:val="auto"/>
              </w:rPr>
            </w:pPr>
          </w:p>
        </w:tc>
        <w:tc>
          <w:tcPr>
            <w:tcW w:w="8720" w:type="dxa"/>
            <w:vAlign w:val="bottom"/>
          </w:tcPr>
          <w:p>
            <w:pPr>
              <w:jc w:val="center"/>
              <w:ind w:right="2430"/>
              <w:spacing w:after="0"/>
              <w:rPr>
                <w:sz w:val="20"/>
                <w:szCs w:val="20"/>
                <w:color w:val="auto"/>
              </w:rPr>
            </w:pPr>
            <w:r>
              <w:rPr>
                <w:rFonts w:ascii="Arial" w:cs="Arial" w:eastAsia="Arial" w:hAnsi="Arial"/>
                <w:sz w:val="18"/>
                <w:szCs w:val="18"/>
                <w:b w:val="1"/>
                <w:bCs w:val="1"/>
                <w:color w:val="auto"/>
                <w:w w:val="90"/>
              </w:rPr>
              <w:t>Final Term Sheet</w:t>
            </w:r>
          </w:p>
        </w:tc>
      </w:tr>
      <w:tr>
        <w:trPr>
          <w:trHeight w:val="513"/>
        </w:trPr>
        <w:tc>
          <w:tcPr>
            <w:tcW w:w="2520" w:type="dxa"/>
            <w:vAlign w:val="bottom"/>
          </w:tcPr>
          <w:p>
            <w:pPr>
              <w:ind w:left="40"/>
              <w:spacing w:after="0"/>
              <w:rPr>
                <w:sz w:val="20"/>
                <w:szCs w:val="20"/>
                <w:color w:val="auto"/>
              </w:rPr>
            </w:pPr>
            <w:r>
              <w:rPr>
                <w:rFonts w:ascii="Arial" w:cs="Arial" w:eastAsia="Arial" w:hAnsi="Arial"/>
                <w:sz w:val="18"/>
                <w:szCs w:val="18"/>
                <w:b w:val="1"/>
                <w:bCs w:val="1"/>
                <w:color w:val="auto"/>
              </w:rPr>
              <w:t>Issuer:</w:t>
            </w:r>
          </w:p>
        </w:tc>
        <w:tc>
          <w:tcPr>
            <w:tcW w:w="8720" w:type="dxa"/>
            <w:vAlign w:val="bottom"/>
          </w:tcPr>
          <w:p>
            <w:pPr>
              <w:ind w:left="1560"/>
              <w:spacing w:after="0"/>
              <w:rPr>
                <w:sz w:val="20"/>
                <w:szCs w:val="20"/>
                <w:color w:val="auto"/>
              </w:rPr>
            </w:pPr>
            <w:r>
              <w:rPr>
                <w:rFonts w:ascii="Arial" w:cs="Arial" w:eastAsia="Arial" w:hAnsi="Arial"/>
                <w:sz w:val="18"/>
                <w:szCs w:val="18"/>
                <w:color w:val="auto"/>
              </w:rPr>
              <w:t>Comcast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tc>
      </w:tr>
      <w:tr>
        <w:trPr>
          <w:trHeight w:val="378"/>
        </w:trPr>
        <w:tc>
          <w:tcPr>
            <w:tcW w:w="2520" w:type="dxa"/>
            <w:vAlign w:val="bottom"/>
          </w:tcPr>
          <w:p>
            <w:pPr>
              <w:ind w:left="40"/>
              <w:spacing w:after="0"/>
              <w:rPr>
                <w:sz w:val="20"/>
                <w:szCs w:val="20"/>
                <w:color w:val="auto"/>
              </w:rPr>
            </w:pPr>
            <w:r>
              <w:rPr>
                <w:rFonts w:ascii="Arial" w:cs="Arial" w:eastAsia="Arial" w:hAnsi="Arial"/>
                <w:sz w:val="18"/>
                <w:szCs w:val="18"/>
                <w:b w:val="1"/>
                <w:bCs w:val="1"/>
                <w:color w:val="auto"/>
              </w:rPr>
              <w:t>Guarantors:</w:t>
            </w:r>
          </w:p>
        </w:tc>
        <w:tc>
          <w:tcPr>
            <w:tcW w:w="8720" w:type="dxa"/>
            <w:vAlign w:val="bottom"/>
          </w:tcPr>
          <w:p>
            <w:pPr>
              <w:ind w:left="1560"/>
              <w:spacing w:after="0"/>
              <w:rPr>
                <w:sz w:val="20"/>
                <w:szCs w:val="20"/>
                <w:color w:val="auto"/>
              </w:rPr>
            </w:pPr>
            <w:r>
              <w:rPr>
                <w:rFonts w:ascii="Arial" w:cs="Arial" w:eastAsia="Arial" w:hAnsi="Arial"/>
                <w:sz w:val="18"/>
                <w:szCs w:val="18"/>
                <w:color w:val="auto"/>
              </w:rPr>
              <w:t>Comcast Cable Communications, LLC and NBCUniversal Media, LLC</w:t>
            </w:r>
          </w:p>
        </w:tc>
      </w:tr>
      <w:tr>
        <w:trPr>
          <w:trHeight w:val="378"/>
        </w:trPr>
        <w:tc>
          <w:tcPr>
            <w:tcW w:w="2520" w:type="dxa"/>
            <w:vAlign w:val="bottom"/>
          </w:tcPr>
          <w:p>
            <w:pPr>
              <w:ind w:left="40"/>
              <w:spacing w:after="0"/>
              <w:rPr>
                <w:sz w:val="20"/>
                <w:szCs w:val="20"/>
                <w:color w:val="auto"/>
              </w:rPr>
            </w:pPr>
            <w:r>
              <w:rPr>
                <w:rFonts w:ascii="Arial" w:cs="Arial" w:eastAsia="Arial" w:hAnsi="Arial"/>
                <w:sz w:val="18"/>
                <w:szCs w:val="18"/>
                <w:b w:val="1"/>
                <w:bCs w:val="1"/>
                <w:color w:val="auto"/>
              </w:rPr>
              <w:t>Issue of Securities:</w:t>
            </w:r>
          </w:p>
        </w:tc>
        <w:tc>
          <w:tcPr>
            <w:tcW w:w="8720" w:type="dxa"/>
            <w:vAlign w:val="bottom"/>
          </w:tcPr>
          <w:p>
            <w:pPr>
              <w:ind w:left="1560"/>
              <w:spacing w:after="0"/>
              <w:rPr>
                <w:sz w:val="20"/>
                <w:szCs w:val="20"/>
                <w:color w:val="auto"/>
              </w:rPr>
            </w:pPr>
            <w:r>
              <w:rPr>
                <w:rFonts w:ascii="Arial" w:cs="Arial" w:eastAsia="Arial" w:hAnsi="Arial"/>
                <w:sz w:val="18"/>
                <w:szCs w:val="18"/>
                <w:color w:val="auto"/>
              </w:rPr>
              <w:t>0.000% Notes due 2026</w:t>
            </w:r>
          </w:p>
        </w:tc>
      </w:tr>
      <w:tr>
        <w:trPr>
          <w:trHeight w:val="378"/>
        </w:trPr>
        <w:tc>
          <w:tcPr>
            <w:tcW w:w="2520" w:type="dxa"/>
            <w:vAlign w:val="bottom"/>
          </w:tcPr>
          <w:p>
            <w:pPr>
              <w:spacing w:after="0"/>
              <w:rPr>
                <w:sz w:val="24"/>
                <w:szCs w:val="24"/>
                <w:color w:val="auto"/>
              </w:rPr>
            </w:pPr>
          </w:p>
        </w:tc>
        <w:tc>
          <w:tcPr>
            <w:tcW w:w="8720" w:type="dxa"/>
            <w:vAlign w:val="bottom"/>
          </w:tcPr>
          <w:p>
            <w:pPr>
              <w:ind w:left="1560"/>
              <w:spacing w:after="0"/>
              <w:rPr>
                <w:sz w:val="20"/>
                <w:szCs w:val="20"/>
                <w:color w:val="auto"/>
              </w:rPr>
            </w:pPr>
            <w:r>
              <w:rPr>
                <w:rFonts w:ascii="Arial" w:cs="Arial" w:eastAsia="Arial" w:hAnsi="Arial"/>
                <w:sz w:val="18"/>
                <w:szCs w:val="18"/>
                <w:color w:val="auto"/>
              </w:rPr>
              <w:t>0.250% Notes due 2029</w:t>
            </w:r>
          </w:p>
        </w:tc>
      </w:tr>
      <w:tr>
        <w:trPr>
          <w:trHeight w:val="364"/>
        </w:trPr>
        <w:tc>
          <w:tcPr>
            <w:tcW w:w="2520" w:type="dxa"/>
            <w:vAlign w:val="bottom"/>
          </w:tcPr>
          <w:p>
            <w:pPr>
              <w:ind w:left="40"/>
              <w:spacing w:after="0"/>
              <w:rPr>
                <w:sz w:val="20"/>
                <w:szCs w:val="20"/>
                <w:color w:val="auto"/>
              </w:rPr>
            </w:pPr>
            <w:r>
              <w:rPr>
                <w:rFonts w:ascii="Arial" w:cs="Arial" w:eastAsia="Arial" w:hAnsi="Arial"/>
                <w:sz w:val="18"/>
                <w:szCs w:val="18"/>
                <w:b w:val="1"/>
                <w:bCs w:val="1"/>
                <w:color w:val="auto"/>
              </w:rPr>
              <w:t>Denominations:</w:t>
            </w:r>
          </w:p>
        </w:tc>
        <w:tc>
          <w:tcPr>
            <w:tcW w:w="8720" w:type="dxa"/>
            <w:vAlign w:val="bottom"/>
          </w:tcPr>
          <w:p>
            <w:pPr>
              <w:ind w:left="1560"/>
              <w:spacing w:after="0"/>
              <w:rPr>
                <w:sz w:val="20"/>
                <w:szCs w:val="20"/>
                <w:color w:val="auto"/>
              </w:rPr>
            </w:pPr>
            <w:r>
              <w:rPr>
                <w:rFonts w:ascii="Arial" w:cs="Arial" w:eastAsia="Arial" w:hAnsi="Arial"/>
                <w:sz w:val="18"/>
                <w:szCs w:val="18"/>
                <w:color w:val="auto"/>
                <w:w w:val="92"/>
              </w:rPr>
              <w:t>The Notes will be issued in minimum denominations of €100,000 and integral multiples of €1,000</w:t>
            </w:r>
          </w:p>
        </w:tc>
      </w:tr>
      <w:tr>
        <w:trPr>
          <w:trHeight w:val="230"/>
        </w:trPr>
        <w:tc>
          <w:tcPr>
            <w:tcW w:w="2520" w:type="dxa"/>
            <w:vAlign w:val="bottom"/>
          </w:tcPr>
          <w:p>
            <w:pPr>
              <w:spacing w:after="0"/>
              <w:rPr>
                <w:sz w:val="20"/>
                <w:szCs w:val="20"/>
                <w:color w:val="auto"/>
              </w:rPr>
            </w:pPr>
          </w:p>
        </w:tc>
        <w:tc>
          <w:tcPr>
            <w:tcW w:w="8720" w:type="dxa"/>
            <w:vAlign w:val="bottom"/>
          </w:tcPr>
          <w:p>
            <w:pPr>
              <w:ind w:left="1560"/>
              <w:spacing w:after="0"/>
              <w:rPr>
                <w:sz w:val="20"/>
                <w:szCs w:val="20"/>
                <w:color w:val="auto"/>
              </w:rPr>
            </w:pPr>
            <w:r>
              <w:rPr>
                <w:rFonts w:ascii="Arial" w:cs="Arial" w:eastAsia="Arial" w:hAnsi="Arial"/>
                <w:sz w:val="18"/>
                <w:szCs w:val="18"/>
                <w:color w:val="auto"/>
              </w:rPr>
              <w:t>in excess thereof</w:t>
            </w:r>
          </w:p>
        </w:tc>
      </w:tr>
      <w:tr>
        <w:trPr>
          <w:trHeight w:val="364"/>
        </w:trPr>
        <w:tc>
          <w:tcPr>
            <w:tcW w:w="2520" w:type="dxa"/>
            <w:vAlign w:val="bottom"/>
          </w:tcPr>
          <w:p>
            <w:pPr>
              <w:ind w:left="40"/>
              <w:spacing w:after="0"/>
              <w:rPr>
                <w:sz w:val="20"/>
                <w:szCs w:val="20"/>
                <w:color w:val="auto"/>
              </w:rPr>
            </w:pPr>
            <w:r>
              <w:rPr>
                <w:rFonts w:ascii="Arial" w:cs="Arial" w:eastAsia="Arial" w:hAnsi="Arial"/>
                <w:sz w:val="18"/>
                <w:szCs w:val="18"/>
                <w:b w:val="1"/>
                <w:bCs w:val="1"/>
                <w:color w:val="auto"/>
              </w:rPr>
              <w:t>Use of Proceeds:</w:t>
            </w:r>
          </w:p>
        </w:tc>
        <w:tc>
          <w:tcPr>
            <w:tcW w:w="8720" w:type="dxa"/>
            <w:vAlign w:val="bottom"/>
          </w:tcPr>
          <w:p>
            <w:pPr>
              <w:ind w:left="1560"/>
              <w:spacing w:after="0"/>
              <w:rPr>
                <w:sz w:val="20"/>
                <w:szCs w:val="20"/>
                <w:color w:val="auto"/>
              </w:rPr>
            </w:pPr>
            <w:r>
              <w:rPr>
                <w:rFonts w:ascii="Arial" w:cs="Arial" w:eastAsia="Arial" w:hAnsi="Arial"/>
                <w:sz w:val="18"/>
                <w:szCs w:val="18"/>
                <w:color w:val="auto"/>
                <w:w w:val="96"/>
              </w:rPr>
              <w:t>The Company intends to use the net proceeds from the offering, after deducting underwriters’</w:t>
            </w:r>
          </w:p>
        </w:tc>
      </w:tr>
      <w:tr>
        <w:trPr>
          <w:trHeight w:val="216"/>
        </w:trPr>
        <w:tc>
          <w:tcPr>
            <w:tcW w:w="2520" w:type="dxa"/>
            <w:vAlign w:val="bottom"/>
          </w:tcPr>
          <w:p>
            <w:pPr>
              <w:spacing w:after="0"/>
              <w:rPr>
                <w:sz w:val="18"/>
                <w:szCs w:val="18"/>
                <w:color w:val="auto"/>
              </w:rPr>
            </w:pPr>
          </w:p>
        </w:tc>
        <w:tc>
          <w:tcPr>
            <w:tcW w:w="8720" w:type="dxa"/>
            <w:vAlign w:val="bottom"/>
          </w:tcPr>
          <w:p>
            <w:pPr>
              <w:ind w:left="1560"/>
              <w:spacing w:after="0"/>
              <w:rPr>
                <w:sz w:val="20"/>
                <w:szCs w:val="20"/>
                <w:color w:val="auto"/>
              </w:rPr>
            </w:pPr>
            <w:r>
              <w:rPr>
                <w:rFonts w:ascii="Arial" w:cs="Arial" w:eastAsia="Arial" w:hAnsi="Arial"/>
                <w:sz w:val="18"/>
                <w:szCs w:val="18"/>
                <w:color w:val="auto"/>
                <w:w w:val="99"/>
              </w:rPr>
              <w:t>discount and expenses, for the refinancing of Sky Limited’s 1.500% guaranteed notes due</w:t>
            </w:r>
          </w:p>
        </w:tc>
      </w:tr>
      <w:tr>
        <w:trPr>
          <w:trHeight w:val="216"/>
        </w:trPr>
        <w:tc>
          <w:tcPr>
            <w:tcW w:w="2520" w:type="dxa"/>
            <w:vAlign w:val="bottom"/>
          </w:tcPr>
          <w:p>
            <w:pPr>
              <w:spacing w:after="0"/>
              <w:rPr>
                <w:sz w:val="18"/>
                <w:szCs w:val="18"/>
                <w:color w:val="auto"/>
              </w:rPr>
            </w:pPr>
          </w:p>
        </w:tc>
        <w:tc>
          <w:tcPr>
            <w:tcW w:w="8720" w:type="dxa"/>
            <w:vAlign w:val="bottom"/>
          </w:tcPr>
          <w:p>
            <w:pPr>
              <w:ind w:left="1560"/>
              <w:spacing w:after="0"/>
              <w:rPr>
                <w:sz w:val="20"/>
                <w:szCs w:val="20"/>
                <w:color w:val="auto"/>
              </w:rPr>
            </w:pPr>
            <w:r>
              <w:rPr>
                <w:rFonts w:ascii="Arial" w:cs="Arial" w:eastAsia="Arial" w:hAnsi="Arial"/>
                <w:sz w:val="18"/>
                <w:szCs w:val="18"/>
                <w:color w:val="auto"/>
                <w:w w:val="96"/>
              </w:rPr>
              <w:t>September 15, 2021 (€1.5 billion principal amount outstanding as of the date hereof) and any</w:t>
            </w:r>
          </w:p>
        </w:tc>
      </w:tr>
      <w:tr>
        <w:trPr>
          <w:trHeight w:val="230"/>
        </w:trPr>
        <w:tc>
          <w:tcPr>
            <w:tcW w:w="2520" w:type="dxa"/>
            <w:vAlign w:val="bottom"/>
          </w:tcPr>
          <w:p>
            <w:pPr>
              <w:spacing w:after="0"/>
              <w:rPr>
                <w:sz w:val="20"/>
                <w:szCs w:val="20"/>
                <w:color w:val="auto"/>
              </w:rPr>
            </w:pPr>
          </w:p>
        </w:tc>
        <w:tc>
          <w:tcPr>
            <w:tcW w:w="8720" w:type="dxa"/>
            <w:vAlign w:val="bottom"/>
          </w:tcPr>
          <w:p>
            <w:pPr>
              <w:ind w:left="1560"/>
              <w:spacing w:after="0"/>
              <w:rPr>
                <w:sz w:val="20"/>
                <w:szCs w:val="20"/>
                <w:color w:val="auto"/>
              </w:rPr>
            </w:pPr>
            <w:r>
              <w:rPr>
                <w:rFonts w:ascii="Arial" w:cs="Arial" w:eastAsia="Arial" w:hAnsi="Arial"/>
                <w:sz w:val="18"/>
                <w:szCs w:val="18"/>
                <w:color w:val="auto"/>
              </w:rPr>
              <w:t>excess proceeds for the repayment of other debt.</w:t>
            </w:r>
          </w:p>
        </w:tc>
      </w:tr>
      <w:tr>
        <w:trPr>
          <w:trHeight w:val="360"/>
        </w:trPr>
        <w:tc>
          <w:tcPr>
            <w:tcW w:w="2520" w:type="dxa"/>
            <w:vAlign w:val="bottom"/>
          </w:tcPr>
          <w:p>
            <w:pPr>
              <w:ind w:left="40"/>
              <w:spacing w:after="0"/>
              <w:rPr>
                <w:sz w:val="20"/>
                <w:szCs w:val="20"/>
                <w:color w:val="auto"/>
              </w:rPr>
            </w:pPr>
            <w:r>
              <w:rPr>
                <w:rFonts w:ascii="Arial" w:cs="Arial" w:eastAsia="Arial" w:hAnsi="Arial"/>
                <w:sz w:val="18"/>
                <w:szCs w:val="18"/>
                <w:b w:val="1"/>
                <w:bCs w:val="1"/>
                <w:color w:val="auto"/>
              </w:rPr>
              <w:t>Indenture:</w:t>
            </w:r>
          </w:p>
        </w:tc>
        <w:tc>
          <w:tcPr>
            <w:tcW w:w="8720" w:type="dxa"/>
            <w:vAlign w:val="bottom"/>
          </w:tcPr>
          <w:p>
            <w:pPr>
              <w:ind w:left="1560"/>
              <w:spacing w:after="0"/>
              <w:rPr>
                <w:sz w:val="20"/>
                <w:szCs w:val="20"/>
                <w:color w:val="auto"/>
              </w:rPr>
            </w:pPr>
            <w:r>
              <w:rPr>
                <w:rFonts w:ascii="Arial" w:cs="Arial" w:eastAsia="Arial" w:hAnsi="Arial"/>
                <w:sz w:val="18"/>
                <w:szCs w:val="18"/>
                <w:color w:val="auto"/>
                <w:w w:val="94"/>
              </w:rPr>
              <w:t>Indenture dated as of September 18, 2013 by and among the Company, the guarantors named</w:t>
            </w:r>
          </w:p>
        </w:tc>
      </w:tr>
      <w:tr>
        <w:trPr>
          <w:trHeight w:val="220"/>
        </w:trPr>
        <w:tc>
          <w:tcPr>
            <w:tcW w:w="2520" w:type="dxa"/>
            <w:vAlign w:val="bottom"/>
          </w:tcPr>
          <w:p>
            <w:pPr>
              <w:spacing w:after="0"/>
              <w:rPr>
                <w:sz w:val="19"/>
                <w:szCs w:val="19"/>
                <w:color w:val="auto"/>
              </w:rPr>
            </w:pPr>
          </w:p>
        </w:tc>
        <w:tc>
          <w:tcPr>
            <w:tcW w:w="8720" w:type="dxa"/>
            <w:vAlign w:val="bottom"/>
          </w:tcPr>
          <w:p>
            <w:pPr>
              <w:ind w:left="1560"/>
              <w:spacing w:after="0"/>
              <w:rPr>
                <w:sz w:val="20"/>
                <w:szCs w:val="20"/>
                <w:color w:val="auto"/>
              </w:rPr>
            </w:pPr>
            <w:r>
              <w:rPr>
                <w:rFonts w:ascii="Arial" w:cs="Arial" w:eastAsia="Arial" w:hAnsi="Arial"/>
                <w:sz w:val="18"/>
                <w:szCs w:val="18"/>
                <w:color w:val="auto"/>
                <w:w w:val="95"/>
              </w:rPr>
              <w:t>therein and The Bank of New York Mellon, as trustee (the “</w:t>
            </w:r>
            <w:r>
              <w:rPr>
                <w:rFonts w:ascii="Arial" w:cs="Arial" w:eastAsia="Arial" w:hAnsi="Arial"/>
                <w:sz w:val="18"/>
                <w:szCs w:val="18"/>
                <w:b w:val="1"/>
                <w:bCs w:val="1"/>
                <w:color w:val="auto"/>
                <w:w w:val="95"/>
              </w:rPr>
              <w:t>Trustee</w:t>
            </w:r>
            <w:r>
              <w:rPr>
                <w:rFonts w:ascii="Arial" w:cs="Arial" w:eastAsia="Arial" w:hAnsi="Arial"/>
                <w:sz w:val="18"/>
                <w:szCs w:val="18"/>
                <w:color w:val="auto"/>
                <w:w w:val="95"/>
              </w:rPr>
              <w:t>”), as amended by the First</w:t>
            </w:r>
          </w:p>
        </w:tc>
      </w:tr>
      <w:tr>
        <w:trPr>
          <w:trHeight w:val="216"/>
        </w:trPr>
        <w:tc>
          <w:tcPr>
            <w:tcW w:w="2520" w:type="dxa"/>
            <w:vAlign w:val="bottom"/>
          </w:tcPr>
          <w:p>
            <w:pPr>
              <w:spacing w:after="0"/>
              <w:rPr>
                <w:sz w:val="18"/>
                <w:szCs w:val="18"/>
                <w:color w:val="auto"/>
              </w:rPr>
            </w:pPr>
          </w:p>
        </w:tc>
        <w:tc>
          <w:tcPr>
            <w:tcW w:w="8720" w:type="dxa"/>
            <w:vAlign w:val="bottom"/>
          </w:tcPr>
          <w:p>
            <w:pPr>
              <w:ind w:left="1560"/>
              <w:spacing w:after="0"/>
              <w:rPr>
                <w:sz w:val="20"/>
                <w:szCs w:val="20"/>
                <w:color w:val="auto"/>
              </w:rPr>
            </w:pPr>
            <w:r>
              <w:rPr>
                <w:rFonts w:ascii="Arial" w:cs="Arial" w:eastAsia="Arial" w:hAnsi="Arial"/>
                <w:sz w:val="18"/>
                <w:szCs w:val="18"/>
                <w:color w:val="auto"/>
                <w:w w:val="99"/>
              </w:rPr>
              <w:t>Supplemental Indenture dated as of November 17, 2015 by and among the Company, the</w:t>
            </w:r>
          </w:p>
        </w:tc>
      </w:tr>
      <w:tr>
        <w:trPr>
          <w:trHeight w:val="230"/>
        </w:trPr>
        <w:tc>
          <w:tcPr>
            <w:tcW w:w="2520" w:type="dxa"/>
            <w:vAlign w:val="bottom"/>
          </w:tcPr>
          <w:p>
            <w:pPr>
              <w:spacing w:after="0"/>
              <w:rPr>
                <w:sz w:val="20"/>
                <w:szCs w:val="20"/>
                <w:color w:val="auto"/>
              </w:rPr>
            </w:pPr>
          </w:p>
        </w:tc>
        <w:tc>
          <w:tcPr>
            <w:tcW w:w="8720" w:type="dxa"/>
            <w:vAlign w:val="bottom"/>
          </w:tcPr>
          <w:p>
            <w:pPr>
              <w:ind w:left="1560"/>
              <w:spacing w:after="0"/>
              <w:rPr>
                <w:sz w:val="20"/>
                <w:szCs w:val="20"/>
                <w:color w:val="auto"/>
              </w:rPr>
            </w:pPr>
            <w:r>
              <w:rPr>
                <w:rFonts w:ascii="Arial" w:cs="Arial" w:eastAsia="Arial" w:hAnsi="Arial"/>
                <w:sz w:val="18"/>
                <w:szCs w:val="18"/>
                <w:color w:val="auto"/>
              </w:rPr>
              <w:t>guarantors named therein and the Trustee</w:t>
            </w:r>
          </w:p>
        </w:tc>
      </w:tr>
      <w:tr>
        <w:trPr>
          <w:trHeight w:val="364"/>
        </w:trPr>
        <w:tc>
          <w:tcPr>
            <w:tcW w:w="2520" w:type="dxa"/>
            <w:vAlign w:val="bottom"/>
          </w:tcPr>
          <w:p>
            <w:pPr>
              <w:ind w:left="40"/>
              <w:spacing w:after="0"/>
              <w:rPr>
                <w:sz w:val="20"/>
                <w:szCs w:val="20"/>
                <w:color w:val="auto"/>
              </w:rPr>
            </w:pPr>
            <w:r>
              <w:rPr>
                <w:rFonts w:ascii="Arial" w:cs="Arial" w:eastAsia="Arial" w:hAnsi="Arial"/>
                <w:sz w:val="18"/>
                <w:szCs w:val="18"/>
                <w:b w:val="1"/>
                <w:bCs w:val="1"/>
                <w:color w:val="auto"/>
              </w:rPr>
              <w:t>Optional Tax Redemption:</w:t>
            </w:r>
          </w:p>
        </w:tc>
        <w:tc>
          <w:tcPr>
            <w:tcW w:w="8720" w:type="dxa"/>
            <w:vAlign w:val="bottom"/>
          </w:tcPr>
          <w:p>
            <w:pPr>
              <w:ind w:left="1560"/>
              <w:spacing w:after="0"/>
              <w:rPr>
                <w:sz w:val="20"/>
                <w:szCs w:val="20"/>
                <w:color w:val="auto"/>
              </w:rPr>
            </w:pPr>
            <w:r>
              <w:rPr>
                <w:rFonts w:ascii="Arial" w:cs="Arial" w:eastAsia="Arial" w:hAnsi="Arial"/>
                <w:sz w:val="18"/>
                <w:szCs w:val="18"/>
                <w:color w:val="auto"/>
                <w:w w:val="90"/>
              </w:rPr>
              <w:t>Each series of Notes may be redeemed, at any time, by the Company, in whole, but not in part, at a</w:t>
            </w:r>
          </w:p>
        </w:tc>
      </w:tr>
      <w:tr>
        <w:trPr>
          <w:trHeight w:val="216"/>
        </w:trPr>
        <w:tc>
          <w:tcPr>
            <w:tcW w:w="2520" w:type="dxa"/>
            <w:vAlign w:val="bottom"/>
          </w:tcPr>
          <w:p>
            <w:pPr>
              <w:spacing w:after="0"/>
              <w:rPr>
                <w:sz w:val="18"/>
                <w:szCs w:val="18"/>
                <w:color w:val="auto"/>
              </w:rPr>
            </w:pPr>
          </w:p>
        </w:tc>
        <w:tc>
          <w:tcPr>
            <w:tcW w:w="8720" w:type="dxa"/>
            <w:vAlign w:val="bottom"/>
          </w:tcPr>
          <w:p>
            <w:pPr>
              <w:ind w:left="1560"/>
              <w:spacing w:after="0"/>
              <w:rPr>
                <w:sz w:val="20"/>
                <w:szCs w:val="20"/>
                <w:color w:val="auto"/>
              </w:rPr>
            </w:pPr>
            <w:r>
              <w:rPr>
                <w:rFonts w:ascii="Arial" w:cs="Arial" w:eastAsia="Arial" w:hAnsi="Arial"/>
                <w:sz w:val="18"/>
                <w:szCs w:val="18"/>
                <w:color w:val="auto"/>
                <w:w w:val="94"/>
              </w:rPr>
              <w:t>redemption price equal to 100% of the aggregate principal amount of such Notes, together with</w:t>
            </w:r>
          </w:p>
        </w:tc>
      </w:tr>
      <w:tr>
        <w:trPr>
          <w:trHeight w:val="216"/>
        </w:trPr>
        <w:tc>
          <w:tcPr>
            <w:tcW w:w="2520" w:type="dxa"/>
            <w:vAlign w:val="bottom"/>
          </w:tcPr>
          <w:p>
            <w:pPr>
              <w:spacing w:after="0"/>
              <w:rPr>
                <w:sz w:val="18"/>
                <w:szCs w:val="18"/>
                <w:color w:val="auto"/>
              </w:rPr>
            </w:pPr>
          </w:p>
        </w:tc>
        <w:tc>
          <w:tcPr>
            <w:tcW w:w="8720" w:type="dxa"/>
            <w:vAlign w:val="bottom"/>
          </w:tcPr>
          <w:p>
            <w:pPr>
              <w:ind w:left="1560"/>
              <w:spacing w:after="0"/>
              <w:rPr>
                <w:sz w:val="20"/>
                <w:szCs w:val="20"/>
                <w:color w:val="auto"/>
              </w:rPr>
            </w:pPr>
            <w:r>
              <w:rPr>
                <w:rFonts w:ascii="Arial" w:cs="Arial" w:eastAsia="Arial" w:hAnsi="Arial"/>
                <w:sz w:val="18"/>
                <w:szCs w:val="18"/>
                <w:color w:val="auto"/>
                <w:w w:val="91"/>
              </w:rPr>
              <w:t>accrued and unpaid interest on such Notes being redeemed to, but not including, the date fixed for</w:t>
            </w:r>
          </w:p>
        </w:tc>
      </w:tr>
      <w:tr>
        <w:trPr>
          <w:trHeight w:val="216"/>
        </w:trPr>
        <w:tc>
          <w:tcPr>
            <w:tcW w:w="2520" w:type="dxa"/>
            <w:vAlign w:val="bottom"/>
          </w:tcPr>
          <w:p>
            <w:pPr>
              <w:spacing w:after="0"/>
              <w:rPr>
                <w:sz w:val="18"/>
                <w:szCs w:val="18"/>
                <w:color w:val="auto"/>
              </w:rPr>
            </w:pPr>
          </w:p>
        </w:tc>
        <w:tc>
          <w:tcPr>
            <w:tcW w:w="8720" w:type="dxa"/>
            <w:vAlign w:val="bottom"/>
          </w:tcPr>
          <w:p>
            <w:pPr>
              <w:ind w:left="1560"/>
              <w:spacing w:after="0"/>
              <w:rPr>
                <w:sz w:val="20"/>
                <w:szCs w:val="20"/>
                <w:color w:val="auto"/>
              </w:rPr>
            </w:pPr>
            <w:r>
              <w:rPr>
                <w:rFonts w:ascii="Arial" w:cs="Arial" w:eastAsia="Arial" w:hAnsi="Arial"/>
                <w:sz w:val="18"/>
                <w:szCs w:val="18"/>
                <w:color w:val="auto"/>
                <w:w w:val="97"/>
              </w:rPr>
              <w:t>redemption, if as a result of any change in, or amendment to, the laws (or any regulations or</w:t>
            </w:r>
          </w:p>
        </w:tc>
      </w:tr>
      <w:tr>
        <w:trPr>
          <w:trHeight w:val="216"/>
        </w:trPr>
        <w:tc>
          <w:tcPr>
            <w:tcW w:w="2520" w:type="dxa"/>
            <w:vAlign w:val="bottom"/>
          </w:tcPr>
          <w:p>
            <w:pPr>
              <w:spacing w:after="0"/>
              <w:rPr>
                <w:sz w:val="18"/>
                <w:szCs w:val="18"/>
                <w:color w:val="auto"/>
              </w:rPr>
            </w:pPr>
          </w:p>
        </w:tc>
        <w:tc>
          <w:tcPr>
            <w:tcW w:w="8720" w:type="dxa"/>
            <w:vAlign w:val="bottom"/>
          </w:tcPr>
          <w:p>
            <w:pPr>
              <w:ind w:left="1560"/>
              <w:spacing w:after="0"/>
              <w:rPr>
                <w:sz w:val="20"/>
                <w:szCs w:val="20"/>
                <w:color w:val="auto"/>
              </w:rPr>
            </w:pPr>
            <w:r>
              <w:rPr>
                <w:rFonts w:ascii="Arial" w:cs="Arial" w:eastAsia="Arial" w:hAnsi="Arial"/>
                <w:sz w:val="18"/>
                <w:szCs w:val="18"/>
                <w:color w:val="auto"/>
                <w:w w:val="96"/>
              </w:rPr>
              <w:t>rulings promulgated under the laws) of the United States (or any taxing authority in the United</w:t>
            </w:r>
          </w:p>
        </w:tc>
      </w:tr>
      <w:tr>
        <w:trPr>
          <w:trHeight w:val="216"/>
        </w:trPr>
        <w:tc>
          <w:tcPr>
            <w:tcW w:w="2520" w:type="dxa"/>
            <w:vAlign w:val="bottom"/>
          </w:tcPr>
          <w:p>
            <w:pPr>
              <w:spacing w:after="0"/>
              <w:rPr>
                <w:sz w:val="18"/>
                <w:szCs w:val="18"/>
                <w:color w:val="auto"/>
              </w:rPr>
            </w:pPr>
          </w:p>
        </w:tc>
        <w:tc>
          <w:tcPr>
            <w:tcW w:w="8720" w:type="dxa"/>
            <w:vAlign w:val="bottom"/>
          </w:tcPr>
          <w:p>
            <w:pPr>
              <w:ind w:left="1560"/>
              <w:spacing w:after="0"/>
              <w:rPr>
                <w:sz w:val="20"/>
                <w:szCs w:val="20"/>
                <w:color w:val="auto"/>
              </w:rPr>
            </w:pPr>
            <w:r>
              <w:rPr>
                <w:rFonts w:ascii="Arial" w:cs="Arial" w:eastAsia="Arial" w:hAnsi="Arial"/>
                <w:sz w:val="18"/>
                <w:szCs w:val="18"/>
                <w:color w:val="auto"/>
                <w:w w:val="98"/>
              </w:rPr>
              <w:t>States), or any change in, or amendment to, an official position regarding the application or</w:t>
            </w:r>
          </w:p>
        </w:tc>
      </w:tr>
      <w:tr>
        <w:trPr>
          <w:trHeight w:val="216"/>
        </w:trPr>
        <w:tc>
          <w:tcPr>
            <w:tcW w:w="2520" w:type="dxa"/>
            <w:vAlign w:val="bottom"/>
          </w:tcPr>
          <w:p>
            <w:pPr>
              <w:spacing w:after="0"/>
              <w:rPr>
                <w:sz w:val="18"/>
                <w:szCs w:val="18"/>
                <w:color w:val="auto"/>
              </w:rPr>
            </w:pPr>
          </w:p>
        </w:tc>
        <w:tc>
          <w:tcPr>
            <w:tcW w:w="8720" w:type="dxa"/>
            <w:vAlign w:val="bottom"/>
          </w:tcPr>
          <w:p>
            <w:pPr>
              <w:ind w:left="1560"/>
              <w:spacing w:after="0"/>
              <w:rPr>
                <w:sz w:val="20"/>
                <w:szCs w:val="20"/>
                <w:color w:val="auto"/>
              </w:rPr>
            </w:pPr>
            <w:r>
              <w:rPr>
                <w:rFonts w:ascii="Arial" w:cs="Arial" w:eastAsia="Arial" w:hAnsi="Arial"/>
                <w:sz w:val="18"/>
                <w:szCs w:val="18"/>
                <w:color w:val="auto"/>
                <w:w w:val="93"/>
              </w:rPr>
              <w:t>interpretation of such laws, regulations or rulings, which change or amendment is announced or</w:t>
            </w:r>
          </w:p>
        </w:tc>
      </w:tr>
      <w:tr>
        <w:trPr>
          <w:trHeight w:val="230"/>
        </w:trPr>
        <w:tc>
          <w:tcPr>
            <w:tcW w:w="2520" w:type="dxa"/>
            <w:vAlign w:val="bottom"/>
          </w:tcPr>
          <w:p>
            <w:pPr>
              <w:spacing w:after="0"/>
              <w:rPr>
                <w:sz w:val="20"/>
                <w:szCs w:val="20"/>
                <w:color w:val="auto"/>
              </w:rPr>
            </w:pPr>
          </w:p>
        </w:tc>
        <w:tc>
          <w:tcPr>
            <w:tcW w:w="8720" w:type="dxa"/>
            <w:vAlign w:val="bottom"/>
          </w:tcPr>
          <w:p>
            <w:pPr>
              <w:ind w:left="1560"/>
              <w:spacing w:after="0"/>
              <w:rPr>
                <w:sz w:val="20"/>
                <w:szCs w:val="20"/>
                <w:color w:val="auto"/>
              </w:rPr>
            </w:pPr>
            <w:r>
              <w:rPr>
                <w:rFonts w:ascii="Arial" w:cs="Arial" w:eastAsia="Arial" w:hAnsi="Arial"/>
                <w:sz w:val="18"/>
                <w:szCs w:val="18"/>
                <w:color w:val="auto"/>
              </w:rPr>
              <w:t>becomes effective on or after</w:t>
            </w:r>
          </w:p>
        </w:tc>
      </w:tr>
      <w:tr>
        <w:trPr>
          <w:trHeight w:val="648"/>
        </w:trPr>
        <w:tc>
          <w:tcPr>
            <w:tcW w:w="252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7680" w:type="dxa"/>
            <w:vAlign w:val="bottom"/>
          </w:tcPr>
          <w:p>
            <w:pPr>
              <w:ind w:left="800"/>
              <w:spacing w:after="0"/>
              <w:rPr>
                <w:sz w:val="20"/>
                <w:szCs w:val="20"/>
                <w:color w:val="auto"/>
              </w:rPr>
            </w:pPr>
            <w:r>
              <w:rPr>
                <w:rFonts w:ascii="Arial" w:cs="Arial" w:eastAsia="Arial" w:hAnsi="Arial"/>
                <w:sz w:val="18"/>
                <w:szCs w:val="18"/>
                <w:color w:val="auto"/>
                <w:w w:val="89"/>
              </w:rPr>
              <w:t>the date hereof, the Company becomes or, based upon a written opinion of independent counsel</w:t>
            </w:r>
          </w:p>
        </w:tc>
      </w:tr>
      <w:tr>
        <w:trPr>
          <w:trHeight w:val="216"/>
        </w:trPr>
        <w:tc>
          <w:tcPr>
            <w:tcW w:w="3240" w:type="dxa"/>
            <w:vAlign w:val="bottom"/>
          </w:tcPr>
          <w:p>
            <w:pPr>
              <w:spacing w:after="0"/>
              <w:rPr>
                <w:sz w:val="18"/>
                <w:szCs w:val="18"/>
                <w:color w:val="auto"/>
              </w:rPr>
            </w:pPr>
          </w:p>
        </w:tc>
        <w:tc>
          <w:tcPr>
            <w:tcW w:w="7680" w:type="dxa"/>
            <w:vAlign w:val="bottom"/>
          </w:tcPr>
          <w:p>
            <w:pPr>
              <w:ind w:left="800"/>
              <w:spacing w:after="0"/>
              <w:rPr>
                <w:sz w:val="20"/>
                <w:szCs w:val="20"/>
                <w:color w:val="auto"/>
              </w:rPr>
            </w:pPr>
            <w:r>
              <w:rPr>
                <w:rFonts w:ascii="Arial" w:cs="Arial" w:eastAsia="Arial" w:hAnsi="Arial"/>
                <w:sz w:val="18"/>
                <w:szCs w:val="18"/>
                <w:color w:val="auto"/>
                <w:w w:val="91"/>
              </w:rPr>
              <w:t>selected by the Company, will become obligated to pay additional amounts as described in the</w:t>
            </w:r>
          </w:p>
        </w:tc>
      </w:tr>
      <w:tr>
        <w:trPr>
          <w:trHeight w:val="230"/>
        </w:trPr>
        <w:tc>
          <w:tcPr>
            <w:tcW w:w="3240" w:type="dxa"/>
            <w:vAlign w:val="bottom"/>
          </w:tcPr>
          <w:p>
            <w:pPr>
              <w:spacing w:after="0"/>
              <w:rPr>
                <w:sz w:val="20"/>
                <w:szCs w:val="20"/>
                <w:color w:val="auto"/>
              </w:rPr>
            </w:pPr>
          </w:p>
        </w:tc>
        <w:tc>
          <w:tcPr>
            <w:tcW w:w="7680" w:type="dxa"/>
            <w:vAlign w:val="bottom"/>
          </w:tcPr>
          <w:p>
            <w:pPr>
              <w:ind w:left="800"/>
              <w:spacing w:after="0"/>
              <w:rPr>
                <w:sz w:val="20"/>
                <w:szCs w:val="20"/>
                <w:color w:val="auto"/>
              </w:rPr>
            </w:pPr>
            <w:r>
              <w:rPr>
                <w:rFonts w:ascii="Arial" w:cs="Arial" w:eastAsia="Arial" w:hAnsi="Arial"/>
                <w:sz w:val="18"/>
                <w:szCs w:val="18"/>
                <w:color w:val="auto"/>
              </w:rPr>
              <w:t>Prospectus Supplement</w:t>
            </w:r>
          </w:p>
        </w:tc>
      </w:tr>
      <w:tr>
        <w:trPr>
          <w:trHeight w:val="378"/>
        </w:trPr>
        <w:tc>
          <w:tcPr>
            <w:tcW w:w="3240" w:type="dxa"/>
            <w:vAlign w:val="bottom"/>
          </w:tcPr>
          <w:p>
            <w:pPr>
              <w:spacing w:after="0"/>
              <w:rPr>
                <w:sz w:val="20"/>
                <w:szCs w:val="20"/>
                <w:color w:val="auto"/>
              </w:rPr>
            </w:pPr>
            <w:r>
              <w:rPr>
                <w:rFonts w:ascii="Arial" w:cs="Arial" w:eastAsia="Arial" w:hAnsi="Arial"/>
                <w:sz w:val="18"/>
                <w:szCs w:val="18"/>
                <w:b w:val="1"/>
                <w:bCs w:val="1"/>
                <w:color w:val="auto"/>
              </w:rPr>
              <w:t>Trustee:</w:t>
            </w:r>
          </w:p>
        </w:tc>
        <w:tc>
          <w:tcPr>
            <w:tcW w:w="7680" w:type="dxa"/>
            <w:vAlign w:val="bottom"/>
          </w:tcPr>
          <w:p>
            <w:pPr>
              <w:ind w:left="800"/>
              <w:spacing w:after="0"/>
              <w:rPr>
                <w:sz w:val="20"/>
                <w:szCs w:val="20"/>
                <w:color w:val="auto"/>
              </w:rPr>
            </w:pPr>
            <w:r>
              <w:rPr>
                <w:rFonts w:ascii="Arial" w:cs="Arial" w:eastAsia="Arial" w:hAnsi="Arial"/>
                <w:sz w:val="18"/>
                <w:szCs w:val="18"/>
                <w:color w:val="auto"/>
              </w:rPr>
              <w:t>The Bank of New York Mellon</w:t>
            </w:r>
          </w:p>
        </w:tc>
      </w:tr>
      <w:tr>
        <w:trPr>
          <w:trHeight w:val="378"/>
        </w:trPr>
        <w:tc>
          <w:tcPr>
            <w:tcW w:w="3240" w:type="dxa"/>
            <w:vAlign w:val="bottom"/>
          </w:tcPr>
          <w:p>
            <w:pPr>
              <w:spacing w:after="0"/>
              <w:rPr>
                <w:sz w:val="20"/>
                <w:szCs w:val="20"/>
                <w:color w:val="auto"/>
              </w:rPr>
            </w:pPr>
            <w:r>
              <w:rPr>
                <w:rFonts w:ascii="Arial" w:cs="Arial" w:eastAsia="Arial" w:hAnsi="Arial"/>
                <w:sz w:val="18"/>
                <w:szCs w:val="18"/>
                <w:b w:val="1"/>
                <w:bCs w:val="1"/>
                <w:color w:val="auto"/>
              </w:rPr>
              <w:t>Paying Agent:</w:t>
            </w:r>
          </w:p>
        </w:tc>
        <w:tc>
          <w:tcPr>
            <w:tcW w:w="7680" w:type="dxa"/>
            <w:vAlign w:val="bottom"/>
          </w:tcPr>
          <w:p>
            <w:pPr>
              <w:ind w:left="800"/>
              <w:spacing w:after="0"/>
              <w:rPr>
                <w:sz w:val="20"/>
                <w:szCs w:val="20"/>
                <w:color w:val="auto"/>
              </w:rPr>
            </w:pPr>
            <w:r>
              <w:rPr>
                <w:rFonts w:ascii="Arial" w:cs="Arial" w:eastAsia="Arial" w:hAnsi="Arial"/>
                <w:sz w:val="18"/>
                <w:szCs w:val="18"/>
                <w:color w:val="auto"/>
              </w:rPr>
              <w:t>The Bank of New York Mellon, London Branch</w:t>
            </w:r>
          </w:p>
        </w:tc>
      </w:tr>
      <w:tr>
        <w:trPr>
          <w:trHeight w:val="541"/>
        </w:trPr>
        <w:tc>
          <w:tcPr>
            <w:tcW w:w="3240" w:type="dxa"/>
            <w:vAlign w:val="bottom"/>
          </w:tcPr>
          <w:p>
            <w:pPr>
              <w:spacing w:after="0"/>
              <w:rPr>
                <w:sz w:val="20"/>
                <w:szCs w:val="20"/>
                <w:color w:val="auto"/>
              </w:rPr>
            </w:pPr>
            <w:r>
              <w:rPr>
                <w:rFonts w:ascii="Arial" w:cs="Arial" w:eastAsia="Arial" w:hAnsi="Arial"/>
                <w:sz w:val="18"/>
                <w:szCs w:val="18"/>
                <w:b w:val="1"/>
                <w:bCs w:val="1"/>
                <w:color w:val="auto"/>
              </w:rPr>
              <w:t xml:space="preserve">Expected Ratings: </w:t>
            </w:r>
            <w:r>
              <w:rPr>
                <w:rFonts w:ascii="Arial" w:cs="Arial" w:eastAsia="Arial" w:hAnsi="Arial"/>
                <w:sz w:val="29"/>
                <w:szCs w:val="29"/>
                <w:b w:val="1"/>
                <w:bCs w:val="1"/>
                <w:color w:val="auto"/>
                <w:vertAlign w:val="superscript"/>
              </w:rPr>
              <w:t>1</w:t>
            </w:r>
          </w:p>
        </w:tc>
        <w:tc>
          <w:tcPr>
            <w:tcW w:w="7680" w:type="dxa"/>
            <w:vAlign w:val="bottom"/>
          </w:tcPr>
          <w:p>
            <w:pPr>
              <w:ind w:left="800"/>
              <w:spacing w:after="0"/>
              <w:rPr>
                <w:sz w:val="20"/>
                <w:szCs w:val="20"/>
                <w:color w:val="auto"/>
              </w:rPr>
            </w:pPr>
            <w:r>
              <w:rPr>
                <w:rFonts w:ascii="Arial" w:cs="Arial" w:eastAsia="Arial" w:hAnsi="Arial"/>
                <w:sz w:val="18"/>
                <w:szCs w:val="18"/>
                <w:color w:val="auto"/>
              </w:rPr>
              <w:t>Moody’s: A3; S&amp;P: A-; Fitch: A-</w:t>
            </w:r>
          </w:p>
        </w:tc>
      </w:tr>
      <w:tr>
        <w:trPr>
          <w:trHeight w:val="241"/>
        </w:trPr>
        <w:tc>
          <w:tcPr>
            <w:tcW w:w="3240" w:type="dxa"/>
            <w:vAlign w:val="bottom"/>
          </w:tcPr>
          <w:p>
            <w:pPr>
              <w:spacing w:after="0"/>
              <w:rPr>
                <w:sz w:val="20"/>
                <w:szCs w:val="20"/>
                <w:color w:val="auto"/>
              </w:rPr>
            </w:pPr>
            <w:r>
              <w:rPr>
                <w:rFonts w:ascii="Arial" w:cs="Arial" w:eastAsia="Arial" w:hAnsi="Arial"/>
                <w:sz w:val="18"/>
                <w:szCs w:val="18"/>
                <w:b w:val="1"/>
                <w:bCs w:val="1"/>
                <w:color w:val="auto"/>
              </w:rPr>
              <w:t>Joint Book-Running Managers:</w:t>
            </w:r>
          </w:p>
        </w:tc>
        <w:tc>
          <w:tcPr>
            <w:tcW w:w="7680" w:type="dxa"/>
            <w:vAlign w:val="bottom"/>
          </w:tcPr>
          <w:p>
            <w:pPr>
              <w:ind w:left="800"/>
              <w:spacing w:after="0"/>
              <w:rPr>
                <w:sz w:val="20"/>
                <w:szCs w:val="20"/>
                <w:color w:val="auto"/>
              </w:rPr>
            </w:pPr>
            <w:r>
              <w:rPr>
                <w:rFonts w:ascii="Arial" w:cs="Arial" w:eastAsia="Arial" w:hAnsi="Arial"/>
                <w:sz w:val="18"/>
                <w:szCs w:val="18"/>
                <w:color w:val="auto"/>
              </w:rPr>
              <w:t>Barclays Bank PLC</w:t>
            </w:r>
          </w:p>
        </w:tc>
      </w:tr>
      <w:tr>
        <w:trPr>
          <w:trHeight w:val="216"/>
        </w:trPr>
        <w:tc>
          <w:tcPr>
            <w:tcW w:w="3240" w:type="dxa"/>
            <w:vAlign w:val="bottom"/>
          </w:tcPr>
          <w:p>
            <w:pPr>
              <w:spacing w:after="0"/>
              <w:rPr>
                <w:sz w:val="18"/>
                <w:szCs w:val="18"/>
                <w:color w:val="auto"/>
              </w:rPr>
            </w:pPr>
          </w:p>
        </w:tc>
        <w:tc>
          <w:tcPr>
            <w:tcW w:w="7680" w:type="dxa"/>
            <w:vAlign w:val="bottom"/>
          </w:tcPr>
          <w:p>
            <w:pPr>
              <w:ind w:left="800"/>
              <w:spacing w:after="0"/>
              <w:rPr>
                <w:sz w:val="20"/>
                <w:szCs w:val="20"/>
                <w:color w:val="auto"/>
              </w:rPr>
            </w:pPr>
            <w:r>
              <w:rPr>
                <w:rFonts w:ascii="Arial" w:cs="Arial" w:eastAsia="Arial" w:hAnsi="Arial"/>
                <w:sz w:val="18"/>
                <w:szCs w:val="18"/>
                <w:color w:val="auto"/>
              </w:rPr>
              <w:t>Deutsche Bank AG, London Branch</w:t>
            </w:r>
          </w:p>
        </w:tc>
      </w:tr>
      <w:tr>
        <w:trPr>
          <w:trHeight w:val="216"/>
        </w:trPr>
        <w:tc>
          <w:tcPr>
            <w:tcW w:w="3240" w:type="dxa"/>
            <w:vAlign w:val="bottom"/>
          </w:tcPr>
          <w:p>
            <w:pPr>
              <w:spacing w:after="0"/>
              <w:rPr>
                <w:sz w:val="18"/>
                <w:szCs w:val="18"/>
                <w:color w:val="auto"/>
              </w:rPr>
            </w:pPr>
          </w:p>
        </w:tc>
        <w:tc>
          <w:tcPr>
            <w:tcW w:w="7680" w:type="dxa"/>
            <w:vAlign w:val="bottom"/>
          </w:tcPr>
          <w:p>
            <w:pPr>
              <w:ind w:left="800"/>
              <w:spacing w:after="0"/>
              <w:rPr>
                <w:sz w:val="20"/>
                <w:szCs w:val="20"/>
                <w:color w:val="auto"/>
              </w:rPr>
            </w:pPr>
            <w:r>
              <w:rPr>
                <w:rFonts w:ascii="Arial" w:cs="Arial" w:eastAsia="Arial" w:hAnsi="Arial"/>
                <w:sz w:val="18"/>
                <w:szCs w:val="18"/>
                <w:color w:val="auto"/>
              </w:rPr>
              <w:t>Commerzbank Aktiengesellschaft</w:t>
            </w:r>
          </w:p>
        </w:tc>
      </w:tr>
      <w:tr>
        <w:trPr>
          <w:trHeight w:val="230"/>
        </w:trPr>
        <w:tc>
          <w:tcPr>
            <w:tcW w:w="3240" w:type="dxa"/>
            <w:vAlign w:val="bottom"/>
          </w:tcPr>
          <w:p>
            <w:pPr>
              <w:spacing w:after="0"/>
              <w:rPr>
                <w:sz w:val="20"/>
                <w:szCs w:val="20"/>
                <w:color w:val="auto"/>
              </w:rPr>
            </w:pPr>
          </w:p>
        </w:tc>
        <w:tc>
          <w:tcPr>
            <w:tcW w:w="7680" w:type="dxa"/>
            <w:vAlign w:val="bottom"/>
          </w:tcPr>
          <w:p>
            <w:pPr>
              <w:ind w:left="800"/>
              <w:spacing w:after="0"/>
              <w:rPr>
                <w:sz w:val="20"/>
                <w:szCs w:val="20"/>
                <w:color w:val="auto"/>
              </w:rPr>
            </w:pPr>
            <w:r>
              <w:rPr>
                <w:rFonts w:ascii="Arial" w:cs="Arial" w:eastAsia="Arial" w:hAnsi="Arial"/>
                <w:sz w:val="18"/>
                <w:szCs w:val="18"/>
                <w:color w:val="auto"/>
              </w:rPr>
              <w:t>Banco Santander, S.A.</w:t>
            </w:r>
          </w:p>
        </w:tc>
      </w:tr>
      <w:tr>
        <w:trPr>
          <w:trHeight w:val="364"/>
        </w:trPr>
        <w:tc>
          <w:tcPr>
            <w:tcW w:w="3240" w:type="dxa"/>
            <w:vAlign w:val="bottom"/>
          </w:tcPr>
          <w:p>
            <w:pPr>
              <w:spacing w:after="0"/>
              <w:rPr>
                <w:sz w:val="20"/>
                <w:szCs w:val="20"/>
                <w:color w:val="auto"/>
              </w:rPr>
            </w:pPr>
            <w:r>
              <w:rPr>
                <w:rFonts w:ascii="Arial" w:cs="Arial" w:eastAsia="Arial" w:hAnsi="Arial"/>
                <w:sz w:val="18"/>
                <w:szCs w:val="18"/>
                <w:b w:val="1"/>
                <w:bCs w:val="1"/>
                <w:color w:val="auto"/>
              </w:rPr>
              <w:t>Co-Managers:</w:t>
            </w:r>
          </w:p>
        </w:tc>
        <w:tc>
          <w:tcPr>
            <w:tcW w:w="7680" w:type="dxa"/>
            <w:vAlign w:val="bottom"/>
          </w:tcPr>
          <w:p>
            <w:pPr>
              <w:ind w:left="800"/>
              <w:spacing w:after="0"/>
              <w:rPr>
                <w:sz w:val="20"/>
                <w:szCs w:val="20"/>
                <w:color w:val="auto"/>
              </w:rPr>
            </w:pPr>
            <w:r>
              <w:rPr>
                <w:rFonts w:ascii="Arial" w:cs="Arial" w:eastAsia="Arial" w:hAnsi="Arial"/>
                <w:sz w:val="18"/>
                <w:szCs w:val="18"/>
                <w:color w:val="auto"/>
              </w:rPr>
              <w:t>Merrill Lynch International</w:t>
            </w:r>
          </w:p>
        </w:tc>
      </w:tr>
      <w:tr>
        <w:trPr>
          <w:trHeight w:val="216"/>
        </w:trPr>
        <w:tc>
          <w:tcPr>
            <w:tcW w:w="3240" w:type="dxa"/>
            <w:vAlign w:val="bottom"/>
          </w:tcPr>
          <w:p>
            <w:pPr>
              <w:spacing w:after="0"/>
              <w:rPr>
                <w:sz w:val="18"/>
                <w:szCs w:val="18"/>
                <w:color w:val="auto"/>
              </w:rPr>
            </w:pPr>
          </w:p>
        </w:tc>
        <w:tc>
          <w:tcPr>
            <w:tcW w:w="7680" w:type="dxa"/>
            <w:vAlign w:val="bottom"/>
          </w:tcPr>
          <w:p>
            <w:pPr>
              <w:ind w:left="800"/>
              <w:spacing w:after="0"/>
              <w:rPr>
                <w:sz w:val="20"/>
                <w:szCs w:val="20"/>
                <w:color w:val="auto"/>
              </w:rPr>
            </w:pPr>
            <w:r>
              <w:rPr>
                <w:rFonts w:ascii="Arial" w:cs="Arial" w:eastAsia="Arial" w:hAnsi="Arial"/>
                <w:sz w:val="18"/>
                <w:szCs w:val="18"/>
                <w:color w:val="auto"/>
              </w:rPr>
              <w:t>BNP Paribas</w:t>
            </w:r>
          </w:p>
        </w:tc>
      </w:tr>
      <w:tr>
        <w:trPr>
          <w:trHeight w:val="216"/>
        </w:trPr>
        <w:tc>
          <w:tcPr>
            <w:tcW w:w="3240" w:type="dxa"/>
            <w:vAlign w:val="bottom"/>
          </w:tcPr>
          <w:p>
            <w:pPr>
              <w:spacing w:after="0"/>
              <w:rPr>
                <w:sz w:val="18"/>
                <w:szCs w:val="18"/>
                <w:color w:val="auto"/>
              </w:rPr>
            </w:pPr>
          </w:p>
        </w:tc>
        <w:tc>
          <w:tcPr>
            <w:tcW w:w="7680" w:type="dxa"/>
            <w:vAlign w:val="bottom"/>
          </w:tcPr>
          <w:p>
            <w:pPr>
              <w:ind w:left="800"/>
              <w:spacing w:after="0"/>
              <w:rPr>
                <w:sz w:val="20"/>
                <w:szCs w:val="20"/>
                <w:color w:val="auto"/>
              </w:rPr>
            </w:pPr>
            <w:r>
              <w:rPr>
                <w:rFonts w:ascii="Arial" w:cs="Arial" w:eastAsia="Arial" w:hAnsi="Arial"/>
                <w:sz w:val="18"/>
                <w:szCs w:val="18"/>
                <w:color w:val="auto"/>
              </w:rPr>
              <w:t>Citigroup Global Markets Limited</w:t>
            </w:r>
          </w:p>
        </w:tc>
      </w:tr>
      <w:tr>
        <w:trPr>
          <w:trHeight w:val="216"/>
        </w:trPr>
        <w:tc>
          <w:tcPr>
            <w:tcW w:w="3240" w:type="dxa"/>
            <w:vAlign w:val="bottom"/>
          </w:tcPr>
          <w:p>
            <w:pPr>
              <w:spacing w:after="0"/>
              <w:rPr>
                <w:sz w:val="18"/>
                <w:szCs w:val="18"/>
                <w:color w:val="auto"/>
              </w:rPr>
            </w:pPr>
          </w:p>
        </w:tc>
        <w:tc>
          <w:tcPr>
            <w:tcW w:w="7680" w:type="dxa"/>
            <w:vAlign w:val="bottom"/>
          </w:tcPr>
          <w:p>
            <w:pPr>
              <w:ind w:left="800"/>
              <w:spacing w:after="0"/>
              <w:rPr>
                <w:sz w:val="20"/>
                <w:szCs w:val="20"/>
                <w:color w:val="auto"/>
              </w:rPr>
            </w:pPr>
            <w:r>
              <w:rPr>
                <w:rFonts w:ascii="Arial" w:cs="Arial" w:eastAsia="Arial" w:hAnsi="Arial"/>
                <w:sz w:val="18"/>
                <w:szCs w:val="18"/>
                <w:color w:val="auto"/>
              </w:rPr>
              <w:t>Credit Suisse International</w:t>
            </w:r>
          </w:p>
        </w:tc>
      </w:tr>
      <w:tr>
        <w:trPr>
          <w:trHeight w:val="216"/>
        </w:trPr>
        <w:tc>
          <w:tcPr>
            <w:tcW w:w="3240" w:type="dxa"/>
            <w:vAlign w:val="bottom"/>
          </w:tcPr>
          <w:p>
            <w:pPr>
              <w:spacing w:after="0"/>
              <w:rPr>
                <w:sz w:val="18"/>
                <w:szCs w:val="18"/>
                <w:color w:val="auto"/>
              </w:rPr>
            </w:pPr>
          </w:p>
        </w:tc>
        <w:tc>
          <w:tcPr>
            <w:tcW w:w="7680" w:type="dxa"/>
            <w:vAlign w:val="bottom"/>
          </w:tcPr>
          <w:p>
            <w:pPr>
              <w:ind w:left="800"/>
              <w:spacing w:after="0"/>
              <w:rPr>
                <w:sz w:val="20"/>
                <w:szCs w:val="20"/>
                <w:color w:val="auto"/>
              </w:rPr>
            </w:pPr>
            <w:r>
              <w:rPr>
                <w:rFonts w:ascii="Arial" w:cs="Arial" w:eastAsia="Arial" w:hAnsi="Arial"/>
                <w:sz w:val="18"/>
                <w:szCs w:val="18"/>
                <w:color w:val="auto"/>
              </w:rPr>
              <w:t>Goldman Sachs &amp; Co. LLC</w:t>
            </w:r>
          </w:p>
        </w:tc>
      </w:tr>
      <w:tr>
        <w:trPr>
          <w:trHeight w:val="216"/>
        </w:trPr>
        <w:tc>
          <w:tcPr>
            <w:tcW w:w="3240" w:type="dxa"/>
            <w:vAlign w:val="bottom"/>
          </w:tcPr>
          <w:p>
            <w:pPr>
              <w:spacing w:after="0"/>
              <w:rPr>
                <w:sz w:val="18"/>
                <w:szCs w:val="18"/>
                <w:color w:val="auto"/>
              </w:rPr>
            </w:pPr>
          </w:p>
        </w:tc>
        <w:tc>
          <w:tcPr>
            <w:tcW w:w="7680" w:type="dxa"/>
            <w:vAlign w:val="bottom"/>
          </w:tcPr>
          <w:p>
            <w:pPr>
              <w:ind w:left="800"/>
              <w:spacing w:after="0"/>
              <w:rPr>
                <w:sz w:val="20"/>
                <w:szCs w:val="20"/>
                <w:color w:val="auto"/>
              </w:rPr>
            </w:pPr>
            <w:r>
              <w:rPr>
                <w:rFonts w:ascii="Arial" w:cs="Arial" w:eastAsia="Arial" w:hAnsi="Arial"/>
                <w:sz w:val="18"/>
                <w:szCs w:val="18"/>
                <w:color w:val="auto"/>
              </w:rPr>
              <w:t>J.P. Morgan Securities plc</w:t>
            </w:r>
          </w:p>
        </w:tc>
      </w:tr>
      <w:tr>
        <w:trPr>
          <w:trHeight w:val="216"/>
        </w:trPr>
        <w:tc>
          <w:tcPr>
            <w:tcW w:w="3240" w:type="dxa"/>
            <w:vAlign w:val="bottom"/>
          </w:tcPr>
          <w:p>
            <w:pPr>
              <w:spacing w:after="0"/>
              <w:rPr>
                <w:sz w:val="18"/>
                <w:szCs w:val="18"/>
                <w:color w:val="auto"/>
              </w:rPr>
            </w:pPr>
          </w:p>
        </w:tc>
        <w:tc>
          <w:tcPr>
            <w:tcW w:w="7680" w:type="dxa"/>
            <w:vAlign w:val="bottom"/>
          </w:tcPr>
          <w:p>
            <w:pPr>
              <w:ind w:left="800"/>
              <w:spacing w:after="0"/>
              <w:rPr>
                <w:sz w:val="20"/>
                <w:szCs w:val="20"/>
                <w:color w:val="auto"/>
              </w:rPr>
            </w:pPr>
            <w:r>
              <w:rPr>
                <w:rFonts w:ascii="Arial" w:cs="Arial" w:eastAsia="Arial" w:hAnsi="Arial"/>
                <w:sz w:val="18"/>
                <w:szCs w:val="18"/>
                <w:color w:val="auto"/>
              </w:rPr>
              <w:t>Mizuho International plc</w:t>
            </w:r>
          </w:p>
        </w:tc>
      </w:tr>
      <w:tr>
        <w:trPr>
          <w:trHeight w:val="216"/>
        </w:trPr>
        <w:tc>
          <w:tcPr>
            <w:tcW w:w="3240" w:type="dxa"/>
            <w:vAlign w:val="bottom"/>
          </w:tcPr>
          <w:p>
            <w:pPr>
              <w:spacing w:after="0"/>
              <w:rPr>
                <w:sz w:val="18"/>
                <w:szCs w:val="18"/>
                <w:color w:val="auto"/>
              </w:rPr>
            </w:pPr>
          </w:p>
        </w:tc>
        <w:tc>
          <w:tcPr>
            <w:tcW w:w="7680" w:type="dxa"/>
            <w:vAlign w:val="bottom"/>
          </w:tcPr>
          <w:p>
            <w:pPr>
              <w:ind w:left="800"/>
              <w:spacing w:after="0"/>
              <w:rPr>
                <w:sz w:val="20"/>
                <w:szCs w:val="20"/>
                <w:color w:val="auto"/>
              </w:rPr>
            </w:pPr>
            <w:r>
              <w:rPr>
                <w:rFonts w:ascii="Arial" w:cs="Arial" w:eastAsia="Arial" w:hAnsi="Arial"/>
                <w:sz w:val="18"/>
                <w:szCs w:val="18"/>
                <w:color w:val="auto"/>
              </w:rPr>
              <w:t>Morgan Stanley &amp; Co. International plc</w:t>
            </w:r>
          </w:p>
        </w:tc>
      </w:tr>
      <w:tr>
        <w:trPr>
          <w:trHeight w:val="216"/>
        </w:trPr>
        <w:tc>
          <w:tcPr>
            <w:tcW w:w="3240" w:type="dxa"/>
            <w:vAlign w:val="bottom"/>
          </w:tcPr>
          <w:p>
            <w:pPr>
              <w:spacing w:after="0"/>
              <w:rPr>
                <w:sz w:val="18"/>
                <w:szCs w:val="18"/>
                <w:color w:val="auto"/>
              </w:rPr>
            </w:pPr>
          </w:p>
        </w:tc>
        <w:tc>
          <w:tcPr>
            <w:tcW w:w="7680" w:type="dxa"/>
            <w:vAlign w:val="bottom"/>
          </w:tcPr>
          <w:p>
            <w:pPr>
              <w:ind w:left="800"/>
              <w:spacing w:after="0"/>
              <w:rPr>
                <w:sz w:val="20"/>
                <w:szCs w:val="20"/>
                <w:color w:val="auto"/>
              </w:rPr>
            </w:pPr>
            <w:r>
              <w:rPr>
                <w:rFonts w:ascii="Arial" w:cs="Arial" w:eastAsia="Arial" w:hAnsi="Arial"/>
                <w:sz w:val="18"/>
                <w:szCs w:val="18"/>
                <w:color w:val="auto"/>
              </w:rPr>
              <w:t>RBC Europe Limited</w:t>
            </w:r>
          </w:p>
        </w:tc>
      </w:tr>
      <w:tr>
        <w:trPr>
          <w:trHeight w:val="216"/>
        </w:trPr>
        <w:tc>
          <w:tcPr>
            <w:tcW w:w="3240" w:type="dxa"/>
            <w:vAlign w:val="bottom"/>
          </w:tcPr>
          <w:p>
            <w:pPr>
              <w:spacing w:after="0"/>
              <w:rPr>
                <w:sz w:val="18"/>
                <w:szCs w:val="18"/>
                <w:color w:val="auto"/>
              </w:rPr>
            </w:pPr>
          </w:p>
        </w:tc>
        <w:tc>
          <w:tcPr>
            <w:tcW w:w="7680" w:type="dxa"/>
            <w:vAlign w:val="bottom"/>
          </w:tcPr>
          <w:p>
            <w:pPr>
              <w:ind w:left="800"/>
              <w:spacing w:after="0"/>
              <w:rPr>
                <w:sz w:val="20"/>
                <w:szCs w:val="20"/>
                <w:color w:val="auto"/>
              </w:rPr>
            </w:pPr>
            <w:r>
              <w:rPr>
                <w:rFonts w:ascii="Arial" w:cs="Arial" w:eastAsia="Arial" w:hAnsi="Arial"/>
                <w:sz w:val="18"/>
                <w:szCs w:val="18"/>
                <w:color w:val="auto"/>
              </w:rPr>
              <w:t>SMBC Nikko Capital Markets Limited</w:t>
            </w:r>
          </w:p>
        </w:tc>
      </w:tr>
      <w:tr>
        <w:trPr>
          <w:trHeight w:val="216"/>
        </w:trPr>
        <w:tc>
          <w:tcPr>
            <w:tcW w:w="3240" w:type="dxa"/>
            <w:vAlign w:val="bottom"/>
          </w:tcPr>
          <w:p>
            <w:pPr>
              <w:spacing w:after="0"/>
              <w:rPr>
                <w:sz w:val="18"/>
                <w:szCs w:val="18"/>
                <w:color w:val="auto"/>
              </w:rPr>
            </w:pPr>
          </w:p>
        </w:tc>
        <w:tc>
          <w:tcPr>
            <w:tcW w:w="7680" w:type="dxa"/>
            <w:vAlign w:val="bottom"/>
          </w:tcPr>
          <w:p>
            <w:pPr>
              <w:ind w:left="800"/>
              <w:spacing w:after="0"/>
              <w:rPr>
                <w:sz w:val="20"/>
                <w:szCs w:val="20"/>
                <w:color w:val="auto"/>
              </w:rPr>
            </w:pPr>
            <w:r>
              <w:rPr>
                <w:rFonts w:ascii="Arial" w:cs="Arial" w:eastAsia="Arial" w:hAnsi="Arial"/>
                <w:sz w:val="18"/>
                <w:szCs w:val="18"/>
                <w:color w:val="auto"/>
              </w:rPr>
              <w:t>The Toronto-Dominion Bank</w:t>
            </w:r>
          </w:p>
        </w:tc>
      </w:tr>
      <w:tr>
        <w:trPr>
          <w:trHeight w:val="216"/>
        </w:trPr>
        <w:tc>
          <w:tcPr>
            <w:tcW w:w="3240" w:type="dxa"/>
            <w:vAlign w:val="bottom"/>
          </w:tcPr>
          <w:p>
            <w:pPr>
              <w:spacing w:after="0"/>
              <w:rPr>
                <w:sz w:val="18"/>
                <w:szCs w:val="18"/>
                <w:color w:val="auto"/>
              </w:rPr>
            </w:pPr>
          </w:p>
        </w:tc>
        <w:tc>
          <w:tcPr>
            <w:tcW w:w="7680" w:type="dxa"/>
            <w:vAlign w:val="bottom"/>
          </w:tcPr>
          <w:p>
            <w:pPr>
              <w:ind w:left="800"/>
              <w:spacing w:after="0"/>
              <w:rPr>
                <w:sz w:val="20"/>
                <w:szCs w:val="20"/>
                <w:color w:val="auto"/>
              </w:rPr>
            </w:pPr>
            <w:r>
              <w:rPr>
                <w:rFonts w:ascii="Arial" w:cs="Arial" w:eastAsia="Arial" w:hAnsi="Arial"/>
                <w:sz w:val="18"/>
                <w:szCs w:val="18"/>
                <w:color w:val="auto"/>
              </w:rPr>
              <w:t>Wells Fargo Securities International Limited</w:t>
            </w:r>
          </w:p>
        </w:tc>
      </w:tr>
      <w:tr>
        <w:trPr>
          <w:trHeight w:val="230"/>
        </w:trPr>
        <w:tc>
          <w:tcPr>
            <w:tcW w:w="3240" w:type="dxa"/>
            <w:vAlign w:val="bottom"/>
          </w:tcPr>
          <w:p>
            <w:pPr>
              <w:spacing w:after="0"/>
              <w:rPr>
                <w:sz w:val="20"/>
                <w:szCs w:val="20"/>
                <w:color w:val="auto"/>
              </w:rPr>
            </w:pPr>
          </w:p>
        </w:tc>
        <w:tc>
          <w:tcPr>
            <w:tcW w:w="7680" w:type="dxa"/>
            <w:vAlign w:val="bottom"/>
          </w:tcPr>
          <w:p>
            <w:pPr>
              <w:ind w:left="800"/>
              <w:spacing w:after="0"/>
              <w:rPr>
                <w:sz w:val="20"/>
                <w:szCs w:val="20"/>
                <w:color w:val="auto"/>
              </w:rPr>
            </w:pPr>
            <w:r>
              <w:rPr>
                <w:rFonts w:ascii="Arial" w:cs="Arial" w:eastAsia="Arial" w:hAnsi="Arial"/>
                <w:sz w:val="18"/>
                <w:szCs w:val="18"/>
                <w:color w:val="auto"/>
              </w:rPr>
              <w:t>U.S. Bancorp Investments, Inc.</w:t>
            </w:r>
          </w:p>
        </w:tc>
      </w:tr>
      <w:tr>
        <w:trPr>
          <w:trHeight w:val="378"/>
        </w:trPr>
        <w:tc>
          <w:tcPr>
            <w:tcW w:w="3240" w:type="dxa"/>
            <w:vAlign w:val="bottom"/>
          </w:tcPr>
          <w:p>
            <w:pPr>
              <w:spacing w:after="0"/>
              <w:rPr>
                <w:sz w:val="20"/>
                <w:szCs w:val="20"/>
                <w:color w:val="auto"/>
              </w:rPr>
            </w:pPr>
            <w:r>
              <w:rPr>
                <w:rFonts w:ascii="Arial" w:cs="Arial" w:eastAsia="Arial" w:hAnsi="Arial"/>
                <w:sz w:val="18"/>
                <w:szCs w:val="18"/>
                <w:b w:val="1"/>
                <w:bCs w:val="1"/>
                <w:color w:val="auto"/>
              </w:rPr>
              <w:t>Trade Date:</w:t>
            </w:r>
          </w:p>
        </w:tc>
        <w:tc>
          <w:tcPr>
            <w:tcW w:w="7680" w:type="dxa"/>
            <w:vAlign w:val="bottom"/>
          </w:tcPr>
          <w:p>
            <w:pPr>
              <w:ind w:left="800"/>
              <w:spacing w:after="0"/>
              <w:rPr>
                <w:sz w:val="20"/>
                <w:szCs w:val="20"/>
                <w:color w:val="auto"/>
              </w:rPr>
            </w:pPr>
            <w:r>
              <w:rPr>
                <w:rFonts w:ascii="Arial" w:cs="Arial" w:eastAsia="Arial" w:hAnsi="Arial"/>
                <w:sz w:val="18"/>
                <w:szCs w:val="18"/>
                <w:color w:val="auto"/>
              </w:rPr>
              <w:t>September 7, 2021</w:t>
            </w:r>
          </w:p>
        </w:tc>
      </w:tr>
      <w:tr>
        <w:trPr>
          <w:trHeight w:val="378"/>
        </w:trPr>
        <w:tc>
          <w:tcPr>
            <w:tcW w:w="3240" w:type="dxa"/>
            <w:vAlign w:val="bottom"/>
          </w:tcPr>
          <w:p>
            <w:pPr>
              <w:spacing w:after="0"/>
              <w:rPr>
                <w:sz w:val="20"/>
                <w:szCs w:val="20"/>
                <w:color w:val="auto"/>
              </w:rPr>
            </w:pPr>
            <w:r>
              <w:rPr>
                <w:rFonts w:ascii="Arial" w:cs="Arial" w:eastAsia="Arial" w:hAnsi="Arial"/>
                <w:sz w:val="18"/>
                <w:szCs w:val="18"/>
                <w:b w:val="1"/>
                <w:bCs w:val="1"/>
                <w:color w:val="auto"/>
              </w:rPr>
              <w:t>Settlement Date:</w:t>
            </w:r>
          </w:p>
        </w:tc>
        <w:tc>
          <w:tcPr>
            <w:tcW w:w="7680" w:type="dxa"/>
            <w:vAlign w:val="bottom"/>
          </w:tcPr>
          <w:p>
            <w:pPr>
              <w:ind w:left="800"/>
              <w:spacing w:after="0"/>
              <w:rPr>
                <w:sz w:val="20"/>
                <w:szCs w:val="20"/>
                <w:color w:val="auto"/>
              </w:rPr>
            </w:pPr>
            <w:r>
              <w:rPr>
                <w:rFonts w:ascii="Arial" w:cs="Arial" w:eastAsia="Arial" w:hAnsi="Arial"/>
                <w:sz w:val="18"/>
                <w:szCs w:val="18"/>
                <w:color w:val="auto"/>
              </w:rPr>
              <w:t>September 14, 2021 (T+5)</w:t>
            </w:r>
          </w:p>
        </w:tc>
      </w:tr>
      <w:tr>
        <w:trPr>
          <w:trHeight w:val="378"/>
        </w:trPr>
        <w:tc>
          <w:tcPr>
            <w:tcW w:w="3240" w:type="dxa"/>
            <w:vAlign w:val="bottom"/>
          </w:tcPr>
          <w:p>
            <w:pPr>
              <w:spacing w:after="0"/>
              <w:rPr>
                <w:sz w:val="20"/>
                <w:szCs w:val="20"/>
                <w:color w:val="auto"/>
              </w:rPr>
            </w:pPr>
            <w:r>
              <w:rPr>
                <w:rFonts w:ascii="Arial" w:cs="Arial" w:eastAsia="Arial" w:hAnsi="Arial"/>
                <w:sz w:val="18"/>
                <w:szCs w:val="18"/>
                <w:b w:val="1"/>
                <w:bCs w:val="1"/>
                <w:color w:val="auto"/>
              </w:rPr>
              <w:t>Listing:</w:t>
            </w:r>
          </w:p>
        </w:tc>
        <w:tc>
          <w:tcPr>
            <w:tcW w:w="7680" w:type="dxa"/>
            <w:vAlign w:val="bottom"/>
          </w:tcPr>
          <w:p>
            <w:pPr>
              <w:ind w:left="800"/>
              <w:spacing w:after="0"/>
              <w:rPr>
                <w:sz w:val="20"/>
                <w:szCs w:val="20"/>
                <w:color w:val="auto"/>
              </w:rPr>
            </w:pPr>
            <w:r>
              <w:rPr>
                <w:rFonts w:ascii="Arial" w:cs="Arial" w:eastAsia="Arial" w:hAnsi="Arial"/>
                <w:sz w:val="18"/>
                <w:szCs w:val="18"/>
                <w:color w:val="auto"/>
              </w:rPr>
              <w:t>The Company intends to list each series of Notes on the NASDAQ Global Market</w:t>
            </w:r>
          </w:p>
        </w:tc>
      </w:tr>
    </w:tbl>
    <w:p>
      <w:pPr>
        <w:spacing w:after="0" w:line="31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It is expected that delivery of the Notes will be made against payment therefor on or about September 14, 2021, which is the fifth business day following the date hereof (such settlement cycle being referred to as “T+5”).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prior to the settlement date will be required, by virtue of the fact that the Notes initially will settle in T+5, to specify an alternative settlement cycle at the time of any such trade to prevent failed settlement and should consult their own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8" w:lineRule="exact"/>
        <w:rPr>
          <w:sz w:val="20"/>
          <w:szCs w:val="20"/>
          <w:color w:val="auto"/>
        </w:rPr>
      </w:pPr>
    </w:p>
    <w:p>
      <w:pPr>
        <w:jc w:val="center"/>
        <w:ind w:left="5580" w:right="940" w:hanging="4924"/>
        <w:spacing w:after="0" w:line="524" w:lineRule="auto"/>
        <w:tabs>
          <w:tab w:leader="none" w:pos="777"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A securities rating is not a recommendation to buy, sell or hold securities and may be subject to revision or withdrawal at any time.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665"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2026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Bund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Bund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 Bund: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Mid-swap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Reoffer Spread to Mid-swap: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Day Count Convention: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€1,250,000,000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0.000% per annum, accruing from September 14,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September 14 of each year, commencing September 14,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DBR 0.000% due August 15,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103.280%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71.5 bps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-0.287%</w:t>
      </w:r>
    </w:p>
    <w:p>
      <w:pPr>
        <w:spacing w:after="0" w:line="171" w:lineRule="exact"/>
        <w:rPr>
          <w:sz w:val="20"/>
          <w:szCs w:val="20"/>
          <w:color w:val="auto"/>
        </w:rPr>
      </w:pPr>
    </w:p>
    <w:p>
      <w:pPr>
        <w:ind w:right="6480" w:firstLine="5"/>
        <w:spacing w:after="0" w:line="493" w:lineRule="auto"/>
        <w:tabs>
          <w:tab w:leader="none" w:pos="225" w:val="left"/>
        </w:tabs>
        <w:numPr>
          <w:ilvl w:val="0"/>
          <w:numId w:val="2"/>
        </w:numPr>
        <w:rPr>
          <w:rFonts w:ascii="Arial" w:cs="Arial" w:eastAsia="Arial" w:hAnsi="Arial"/>
          <w:sz w:val="16"/>
          <w:szCs w:val="16"/>
          <w:color w:val="auto"/>
        </w:rPr>
      </w:pPr>
      <w:r>
        <w:rPr>
          <w:rFonts w:ascii="Arial" w:cs="Arial" w:eastAsia="Arial" w:hAnsi="Arial"/>
          <w:sz w:val="16"/>
          <w:szCs w:val="16"/>
          <w:color w:val="auto"/>
        </w:rPr>
        <w:t>bps 0.063%</w:t>
      </w:r>
    </w:p>
    <w:p>
      <w:pPr>
        <w:ind w:right="2440"/>
        <w:spacing w:after="0" w:line="438" w:lineRule="auto"/>
        <w:rPr>
          <w:rFonts w:ascii="Arial" w:cs="Arial" w:eastAsia="Arial" w:hAnsi="Arial"/>
          <w:sz w:val="16"/>
          <w:szCs w:val="16"/>
          <w:color w:val="auto"/>
        </w:rPr>
      </w:pPr>
      <w:r>
        <w:rPr>
          <w:rFonts w:ascii="Arial" w:cs="Arial" w:eastAsia="Arial" w:hAnsi="Arial"/>
          <w:sz w:val="18"/>
          <w:szCs w:val="18"/>
          <w:color w:val="auto"/>
        </w:rPr>
        <w:t>99.686% plus accrued interest, if any, from September 14, 2021 0.225%</w:t>
      </w:r>
    </w:p>
    <w:p>
      <w:pPr>
        <w:ind w:right="1020"/>
        <w:spacing w:after="0" w:line="438" w:lineRule="auto"/>
        <w:rPr>
          <w:rFonts w:ascii="Arial" w:cs="Arial" w:eastAsia="Arial" w:hAnsi="Arial"/>
          <w:sz w:val="16"/>
          <w:szCs w:val="16"/>
          <w:color w:val="auto"/>
        </w:rPr>
      </w:pPr>
      <w:r>
        <w:rPr>
          <w:rFonts w:ascii="Arial" w:cs="Arial" w:eastAsia="Arial" w:hAnsi="Arial"/>
          <w:sz w:val="18"/>
          <w:szCs w:val="18"/>
          <w:color w:val="auto"/>
        </w:rPr>
        <w:t>99.461% per €1,250,000,000 principal amount of 2026 Notes; €1,243,262,500 total Actual/Actual (ICMA)</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2026 Notes are redeemable at the option of the Company at any time, in whole or in part, at the “Redemption Price.” The Redemption Price will equal, with respect to the 2026 Notes, at any time prior to August 14, 2026 (one month prior to the maturity of the 2026 Notes) (the “</w:t>
      </w:r>
      <w:r>
        <w:rPr>
          <w:rFonts w:ascii="Arial" w:cs="Arial" w:eastAsia="Arial" w:hAnsi="Arial"/>
          <w:sz w:val="16"/>
          <w:szCs w:val="16"/>
          <w:b w:val="1"/>
          <w:bCs w:val="1"/>
          <w:color w:val="auto"/>
        </w:rPr>
        <w:t>2026 Par</w:t>
      </w:r>
      <w:r>
        <w:rPr>
          <w:rFonts w:ascii="Arial" w:cs="Arial" w:eastAsia="Arial" w:hAnsi="Arial"/>
          <w:sz w:val="16"/>
          <w:szCs w:val="16"/>
          <w:color w:val="auto"/>
        </w:rPr>
        <w:t xml:space="preserve"> </w:t>
      </w:r>
      <w:r>
        <w:rPr>
          <w:rFonts w:ascii="Arial" w:cs="Arial" w:eastAsia="Arial" w:hAnsi="Arial"/>
          <w:sz w:val="16"/>
          <w:szCs w:val="16"/>
          <w:b w:val="1"/>
          <w:bCs w:val="1"/>
          <w:color w:val="auto"/>
        </w:rPr>
        <w:t>Call Date</w:t>
      </w:r>
      <w:r>
        <w:rPr>
          <w:rFonts w:ascii="Arial" w:cs="Arial" w:eastAsia="Arial" w:hAnsi="Arial"/>
          <w:sz w:val="16"/>
          <w:szCs w:val="16"/>
          <w:color w:val="auto"/>
        </w:rPr>
        <w:t>”), the greater of (i) 100% of the principal amount of such notes and (ii) the sum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values of the principal amount of such notes and the scheduled payments of interest thereon (exclusive of interest accrued to the date of redemption) from the redemption date to the 2026 Par Call Date, in each case discounted to the redemption date on an actual (ACTUAL/ACTUAL (ICMA)) basis at a rate equal to the applicable Bund Rate plus 10 basis points, provided that, if the 2026 Notes are redeemed on or after the 2026 Par Call Date, the Redemption Price will equal 100% of the principal amount of such notes; plus, in each case, accrued and unpaid interest thereon to the date of redemption</w:t>
      </w:r>
    </w:p>
    <w:p>
      <w:pPr>
        <w:spacing w:after="0" w:line="38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320" w:space="720"/>
            <w:col w:w="7040"/>
          </w:cols>
          <w:pgMar w:left="360" w:top="661"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0"/>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Additional Issuances:</w:t>
            </w:r>
          </w:p>
        </w:tc>
        <w:tc>
          <w:tcPr>
            <w:tcW w:w="7980" w:type="dxa"/>
            <w:vAlign w:val="bottom"/>
          </w:tcPr>
          <w:p>
            <w:pPr>
              <w:ind w:left="820"/>
              <w:spacing w:after="0"/>
              <w:rPr>
                <w:sz w:val="20"/>
                <w:szCs w:val="20"/>
                <w:color w:val="auto"/>
              </w:rPr>
            </w:pPr>
            <w:r>
              <w:rPr>
                <w:rFonts w:ascii="Arial" w:cs="Arial" w:eastAsia="Arial" w:hAnsi="Arial"/>
                <w:sz w:val="18"/>
                <w:szCs w:val="18"/>
                <w:color w:val="auto"/>
                <w:w w:val="92"/>
              </w:rPr>
              <w:t>An unlimited amount of additional 2026 Notes may be issued. The 2026 Notes and any additional</w:t>
            </w:r>
          </w:p>
        </w:tc>
      </w:tr>
      <w:tr>
        <w:trPr>
          <w:trHeight w:val="216"/>
        </w:trPr>
        <w:tc>
          <w:tcPr>
            <w:tcW w:w="3260" w:type="dxa"/>
            <w:vAlign w:val="bottom"/>
          </w:tcPr>
          <w:p>
            <w:pPr>
              <w:spacing w:after="0"/>
              <w:rPr>
                <w:sz w:val="18"/>
                <w:szCs w:val="18"/>
                <w:color w:val="auto"/>
              </w:rPr>
            </w:pPr>
          </w:p>
        </w:tc>
        <w:tc>
          <w:tcPr>
            <w:tcW w:w="7980" w:type="dxa"/>
            <w:vAlign w:val="bottom"/>
          </w:tcPr>
          <w:p>
            <w:pPr>
              <w:ind w:left="820"/>
              <w:spacing w:after="0"/>
              <w:rPr>
                <w:sz w:val="20"/>
                <w:szCs w:val="20"/>
                <w:color w:val="auto"/>
              </w:rPr>
            </w:pPr>
            <w:r>
              <w:rPr>
                <w:rFonts w:ascii="Arial" w:cs="Arial" w:eastAsia="Arial" w:hAnsi="Arial"/>
                <w:sz w:val="18"/>
                <w:szCs w:val="18"/>
                <w:color w:val="auto"/>
                <w:w w:val="98"/>
              </w:rPr>
              <w:t>2026 Notes that may be issued may be treated as a single series for all purposes under the</w:t>
            </w:r>
          </w:p>
        </w:tc>
      </w:tr>
      <w:tr>
        <w:trPr>
          <w:trHeight w:val="230"/>
        </w:trPr>
        <w:tc>
          <w:tcPr>
            <w:tcW w:w="3260" w:type="dxa"/>
            <w:vAlign w:val="bottom"/>
          </w:tcPr>
          <w:p>
            <w:pPr>
              <w:spacing w:after="0"/>
              <w:rPr>
                <w:sz w:val="20"/>
                <w:szCs w:val="20"/>
                <w:color w:val="auto"/>
              </w:rPr>
            </w:pPr>
          </w:p>
        </w:tc>
        <w:tc>
          <w:tcPr>
            <w:tcW w:w="7980" w:type="dxa"/>
            <w:vAlign w:val="bottom"/>
          </w:tcPr>
          <w:p>
            <w:pPr>
              <w:ind w:left="820"/>
              <w:spacing w:after="0"/>
              <w:rPr>
                <w:sz w:val="20"/>
                <w:szCs w:val="20"/>
                <w:color w:val="auto"/>
              </w:rPr>
            </w:pPr>
            <w:r>
              <w:rPr>
                <w:rFonts w:ascii="Arial" w:cs="Arial" w:eastAsia="Arial" w:hAnsi="Arial"/>
                <w:sz w:val="18"/>
                <w:szCs w:val="18"/>
                <w:color w:val="auto"/>
              </w:rPr>
              <w:t>Indenture</w:t>
            </w:r>
          </w:p>
        </w:tc>
      </w:tr>
      <w:tr>
        <w:trPr>
          <w:trHeight w:val="378"/>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CUSIP / ISIN / Common Code:</w:t>
            </w:r>
          </w:p>
        </w:tc>
        <w:tc>
          <w:tcPr>
            <w:tcW w:w="7980" w:type="dxa"/>
            <w:vAlign w:val="bottom"/>
          </w:tcPr>
          <w:p>
            <w:pPr>
              <w:ind w:left="820"/>
              <w:spacing w:after="0"/>
              <w:rPr>
                <w:sz w:val="20"/>
                <w:szCs w:val="20"/>
                <w:color w:val="auto"/>
              </w:rPr>
            </w:pPr>
            <w:r>
              <w:rPr>
                <w:rFonts w:ascii="Arial" w:cs="Arial" w:eastAsia="Arial" w:hAnsi="Arial"/>
                <w:sz w:val="18"/>
                <w:szCs w:val="18"/>
                <w:color w:val="auto"/>
              </w:rPr>
              <w:t>20030N DX6 / XS2385397901 / 238539790</w:t>
            </w:r>
          </w:p>
        </w:tc>
      </w:tr>
      <w:tr>
        <w:trPr>
          <w:trHeight w:val="648"/>
        </w:trPr>
        <w:tc>
          <w:tcPr>
            <w:tcW w:w="326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ind w:left="23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66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2029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Bund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Bund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 Bund: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Mid-swap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Reoffer Spread to Mid-swap: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Day Count Convention: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€500,000,000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2029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0.250% per annum, accruing from September 14,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September 14 of each year, commencing September 14,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DBR 0.00% due August 15, 2029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103.800%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82.8 bps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-0.091%</w:t>
      </w:r>
    </w:p>
    <w:p>
      <w:pPr>
        <w:spacing w:after="0" w:line="171" w:lineRule="exact"/>
        <w:rPr>
          <w:sz w:val="20"/>
          <w:szCs w:val="20"/>
          <w:color w:val="auto"/>
        </w:rPr>
      </w:pPr>
    </w:p>
    <w:p>
      <w:pPr>
        <w:ind w:right="6460" w:firstLine="5"/>
        <w:spacing w:after="0" w:line="493" w:lineRule="auto"/>
        <w:tabs>
          <w:tab w:leader="none" w:pos="225" w:val="left"/>
        </w:tabs>
        <w:numPr>
          <w:ilvl w:val="0"/>
          <w:numId w:val="3"/>
        </w:numPr>
        <w:rPr>
          <w:rFonts w:ascii="Arial" w:cs="Arial" w:eastAsia="Arial" w:hAnsi="Arial"/>
          <w:sz w:val="16"/>
          <w:szCs w:val="16"/>
          <w:color w:val="auto"/>
        </w:rPr>
      </w:pPr>
      <w:r>
        <w:rPr>
          <w:rFonts w:ascii="Arial" w:cs="Arial" w:eastAsia="Arial" w:hAnsi="Arial"/>
          <w:sz w:val="16"/>
          <w:szCs w:val="16"/>
          <w:color w:val="auto"/>
        </w:rPr>
        <w:t>bps 0.359%</w:t>
      </w:r>
    </w:p>
    <w:p>
      <w:pPr>
        <w:ind w:right="2420"/>
        <w:spacing w:after="0" w:line="438" w:lineRule="auto"/>
        <w:rPr>
          <w:rFonts w:ascii="Arial" w:cs="Arial" w:eastAsia="Arial" w:hAnsi="Arial"/>
          <w:sz w:val="16"/>
          <w:szCs w:val="16"/>
          <w:color w:val="auto"/>
        </w:rPr>
      </w:pPr>
      <w:r>
        <w:rPr>
          <w:rFonts w:ascii="Arial" w:cs="Arial" w:eastAsia="Arial" w:hAnsi="Arial"/>
          <w:sz w:val="18"/>
          <w:szCs w:val="18"/>
          <w:color w:val="auto"/>
        </w:rPr>
        <w:t>99.142% plus accrued interest, if any, from September 14, 2021 0.350%</w:t>
      </w:r>
    </w:p>
    <w:p>
      <w:pPr>
        <w:ind w:right="1280"/>
        <w:spacing w:after="0" w:line="438" w:lineRule="auto"/>
        <w:rPr>
          <w:rFonts w:ascii="Arial" w:cs="Arial" w:eastAsia="Arial" w:hAnsi="Arial"/>
          <w:sz w:val="16"/>
          <w:szCs w:val="16"/>
          <w:color w:val="auto"/>
        </w:rPr>
      </w:pPr>
      <w:r>
        <w:rPr>
          <w:rFonts w:ascii="Arial" w:cs="Arial" w:eastAsia="Arial" w:hAnsi="Arial"/>
          <w:sz w:val="18"/>
          <w:szCs w:val="18"/>
          <w:color w:val="auto"/>
        </w:rPr>
        <w:t>98.792% per €500,000,000 principal amount of 2029 Notes; €493,960,000 total Actual/Actual (ICMA)</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2029 Notes are redeemable at the option of the Company at any time, in whole or in part, at the “Redemption Price.” The Redemption Price will equal, with respect to the 2029 Notes, at any time prior to June 14, 2029 (three months prior to the maturity of the 2029 Notes) (the “</w:t>
      </w:r>
      <w:r>
        <w:rPr>
          <w:rFonts w:ascii="Arial" w:cs="Arial" w:eastAsia="Arial" w:hAnsi="Arial"/>
          <w:sz w:val="16"/>
          <w:szCs w:val="16"/>
          <w:b w:val="1"/>
          <w:bCs w:val="1"/>
          <w:color w:val="auto"/>
        </w:rPr>
        <w:t>2029 Par</w:t>
      </w:r>
      <w:r>
        <w:rPr>
          <w:rFonts w:ascii="Arial" w:cs="Arial" w:eastAsia="Arial" w:hAnsi="Arial"/>
          <w:sz w:val="16"/>
          <w:szCs w:val="16"/>
          <w:color w:val="auto"/>
        </w:rPr>
        <w:t xml:space="preserve"> </w:t>
      </w:r>
      <w:r>
        <w:rPr>
          <w:rFonts w:ascii="Arial" w:cs="Arial" w:eastAsia="Arial" w:hAnsi="Arial"/>
          <w:sz w:val="16"/>
          <w:szCs w:val="16"/>
          <w:b w:val="1"/>
          <w:bCs w:val="1"/>
          <w:color w:val="auto"/>
        </w:rPr>
        <w:t>Call Date</w:t>
      </w:r>
      <w:r>
        <w:rPr>
          <w:rFonts w:ascii="Arial" w:cs="Arial" w:eastAsia="Arial" w:hAnsi="Arial"/>
          <w:sz w:val="16"/>
          <w:szCs w:val="16"/>
          <w:color w:val="auto"/>
        </w:rPr>
        <w:t>”), the greater of (i) 100% of the principal amount of such notes and (ii) the sum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values of the principal amount of such notes and the scheduled payments of interest thereon (exclusive of interest accrued to the date of redemption) from the redemption date to the 2029 Par Call Date, in each case discounted to the redemption date on an actual (ACTUAL/ACTUAL (ICMA)) basis at a rate equal to the applicable Bund Rate plus 15 basis points, provided that, if the 2029 Notes are redeemed on or after the 2029 Par Call Date, the Redemption Price will equal 100% of the principal amount of such notes; plus, in each case, accrued and unpaid interest thereon to the date of redemption</w:t>
      </w:r>
    </w:p>
    <w:p>
      <w:pPr>
        <w:spacing w:after="0" w:line="38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320" w:space="720"/>
            <w:col w:w="7020"/>
          </w:cols>
          <w:pgMar w:left="360" w:top="661" w:right="479" w:bottom="1440" w:gutter="0" w:footer="0" w:header="0"/>
        </w:sectPr>
      </w:pPr>
    </w:p>
    <w:bookmarkStart w:id="5" w:name="page6"/>
    <w:bookmarkEnd w:id="5"/>
    <w:p>
      <w:pPr>
        <w:ind w:left="40"/>
        <w:spacing w:after="0"/>
        <w:rPr>
          <w:sz w:val="20"/>
          <w:szCs w:val="20"/>
          <w:color w:val="auto"/>
        </w:rPr>
      </w:pPr>
      <w:r>
        <w:rPr>
          <w:rFonts w:ascii="Arial" w:cs="Arial" w:eastAsia="Arial" w:hAnsi="Arial"/>
          <w:sz w:val="15"/>
          <w:szCs w:val="15"/>
          <w:b w:val="1"/>
          <w:bCs w:val="1"/>
          <w:color w:val="auto"/>
        </w:rPr>
        <w:t>Additional Issuances:</w:t>
      </w:r>
    </w:p>
    <w:p>
      <w:pPr>
        <w:spacing w:after="0" w:line="20" w:lineRule="exact"/>
        <w:rPr>
          <w:sz w:val="20"/>
          <w:szCs w:val="20"/>
          <w:color w:val="auto"/>
        </w:rPr>
      </w:pPr>
      <w:r>
        <w:rPr>
          <w:sz w:val="20"/>
          <w:szCs w:val="20"/>
          <w:color w:val="auto"/>
        </w:rPr>
        <w:br w:type="column"/>
      </w:r>
    </w:p>
    <w:p>
      <w:pPr>
        <w:ind w:right="100"/>
        <w:spacing w:after="0" w:line="263" w:lineRule="auto"/>
        <w:rPr>
          <w:sz w:val="20"/>
          <w:szCs w:val="20"/>
          <w:color w:val="auto"/>
        </w:rPr>
      </w:pPr>
      <w:r>
        <w:rPr>
          <w:rFonts w:ascii="Arial" w:cs="Arial" w:eastAsia="Arial" w:hAnsi="Arial"/>
          <w:sz w:val="18"/>
          <w:szCs w:val="18"/>
          <w:color w:val="auto"/>
        </w:rPr>
        <w:t>An unlimited amount of additional 2029 Notes may be issued. The 2029 Notes and any additional 2029 Notes that may be issued may be treated as a single series for all purposes under the Indenture</w:t>
      </w:r>
    </w:p>
    <w:p>
      <w:pPr>
        <w:spacing w:after="0" w:line="126" w:lineRule="exact"/>
        <w:rPr>
          <w:sz w:val="20"/>
          <w:szCs w:val="20"/>
          <w:color w:val="auto"/>
        </w:rPr>
      </w:pPr>
    </w:p>
    <w:p>
      <w:pPr>
        <w:sectPr>
          <w:pgSz w:w="11900" w:h="16838" w:orient="portrait"/>
          <w:cols w:equalWidth="0" w:num="2">
            <w:col w:w="3360" w:space="720"/>
            <w:col w:w="7160"/>
          </w:cols>
          <w:pgMar w:left="320" w:top="661" w:right="339" w:bottom="1440" w:gutter="0" w:footer="0" w:header="0"/>
        </w:sectPr>
      </w:pPr>
    </w:p>
    <w:p>
      <w:pPr>
        <w:ind w:left="40"/>
        <w:spacing w:after="0"/>
        <w:rPr>
          <w:sz w:val="20"/>
          <w:szCs w:val="20"/>
          <w:color w:val="auto"/>
        </w:rPr>
      </w:pPr>
      <w:r>
        <w:rPr>
          <w:rFonts w:ascii="Arial" w:cs="Arial" w:eastAsia="Arial" w:hAnsi="Arial"/>
          <w:sz w:val="17"/>
          <w:szCs w:val="17"/>
          <w:b w:val="1"/>
          <w:bCs w:val="1"/>
          <w:color w:val="auto"/>
        </w:rPr>
        <w:t>CUSIP / ISIN / Common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20030N DY4 / XS2385398206 / 238539820</w:t>
      </w:r>
    </w:p>
    <w:p>
      <w:pPr>
        <w:spacing w:after="0" w:line="207" w:lineRule="exact"/>
        <w:rPr>
          <w:sz w:val="20"/>
          <w:szCs w:val="20"/>
          <w:color w:val="auto"/>
        </w:rPr>
      </w:pPr>
    </w:p>
    <w:p>
      <w:pPr>
        <w:sectPr>
          <w:pgSz w:w="11900" w:h="16838" w:orient="portrait"/>
          <w:cols w:equalWidth="0" w:num="2">
            <w:col w:w="3360" w:space="720"/>
            <w:col w:w="7160"/>
          </w:cols>
          <w:pgMar w:left="320" w:top="661" w:right="339" w:bottom="1440" w:gutter="0" w:footer="0" w:header="0"/>
          <w:type w:val="continuous"/>
        </w:sectPr>
      </w:pPr>
    </w:p>
    <w:p>
      <w:pPr>
        <w:spacing w:after="0" w:line="149"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Manufacturer target market (MiFID II product governance/UK MiFIR product governance) is eligible counterparties and professional clients only (all distribution channels). No PRIIPs/UK PRIIPs key information document has been prepared as the notes are not available to retail investors in the EEA and the United Kingdom.</w:t>
      </w:r>
    </w:p>
    <w:p>
      <w:pPr>
        <w:spacing w:after="0" w:line="18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This communication is being distributed to, and is directed only at, persons in the United Kingdom in circumstances where section 21(1) of the Financial Services and Markets Act 2000 does not apply.</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(i) Barclays at +1 (888) 603-5847; or (ii) Deutsche Bank at +1 (800) 503-4611, Email: prospectus.CPDG@db.com.</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6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1"/>
      <w:numFmt w:val="decimal"/>
      <w:start w:val="35"/>
    </w:lvl>
  </w:abstractNum>
  <w:abstractNum w:abstractNumId="2">
    <w:nsid w:val="19495CFF"/>
    <w:multiLevelType w:val="hybridMultilevel"/>
    <w:lvl w:ilvl="0">
      <w:lvlJc w:val="left"/>
      <w:lvlText w:val="%1"/>
      <w:numFmt w:val="decimal"/>
      <w:start w:val="4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2021-09-07T14:21:32Z</dcterms:created>
  <dcterms:modified xsi:type="dcterms:W3CDTF">2021-09-07T14:21:32Z</dcterms:modified>
</cp:coreProperties>
</file>