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720" w:type="dxa"/>
        <w:tblCellMar>
          <w:top w:w="0" w:type="dxa"/>
          <w:left w:w="0" w:type="dxa"/>
          <w:bottom w:w="0" w:type="dxa"/>
          <w:right w:w="0" w:type="dxa"/>
        </w:tblCellMar>
      </w:tblPr>
      <w:tr>
        <w:trPr>
          <w:trHeight w:val="375"/>
        </w:trPr>
        <w:tc>
          <w:tcPr>
            <w:tcW w:w="2540" w:type="dxa"/>
            <w:vAlign w:val="bottom"/>
          </w:tcPr>
          <w:p>
            <w:pPr>
              <w:spacing w:after="0"/>
              <w:rPr>
                <w:sz w:val="24"/>
                <w:szCs w:val="24"/>
                <w:color w:val="auto"/>
              </w:rPr>
            </w:pPr>
          </w:p>
        </w:tc>
        <w:tc>
          <w:tcPr>
            <w:tcW w:w="7280" w:type="dxa"/>
            <w:vAlign w:val="bottom"/>
          </w:tcPr>
          <w:p>
            <w:pPr>
              <w:jc w:val="center"/>
              <w:ind w:right="2286"/>
              <w:spacing w:after="0"/>
              <w:rPr>
                <w:sz w:val="20"/>
                <w:szCs w:val="20"/>
                <w:color w:val="auto"/>
              </w:rPr>
            </w:pPr>
            <w:r>
              <w:rPr>
                <w:rFonts w:ascii="Arial" w:cs="Arial" w:eastAsia="Arial" w:hAnsi="Arial"/>
                <w:sz w:val="29"/>
                <w:szCs w:val="29"/>
                <w:b w:val="1"/>
                <w:bCs w:val="1"/>
                <w:color w:val="auto"/>
              </w:rPr>
              <w:t>FORM 8-K</w:t>
            </w:r>
          </w:p>
        </w:tc>
        <w:tc>
          <w:tcPr>
            <w:tcW w:w="0" w:type="dxa"/>
            <w:vAlign w:val="bottom"/>
          </w:tcPr>
          <w:p>
            <w:pPr>
              <w:spacing w:after="0"/>
              <w:rPr>
                <w:sz w:val="1"/>
                <w:szCs w:val="1"/>
                <w:color w:val="auto"/>
              </w:rPr>
            </w:pPr>
          </w:p>
        </w:tc>
      </w:tr>
      <w:tr>
        <w:trPr>
          <w:trHeight w:val="787"/>
        </w:trPr>
        <w:tc>
          <w:tcPr>
            <w:tcW w:w="2540" w:type="dxa"/>
            <w:vAlign w:val="bottom"/>
          </w:tcPr>
          <w:p>
            <w:pPr>
              <w:spacing w:after="0"/>
              <w:rPr>
                <w:sz w:val="24"/>
                <w:szCs w:val="24"/>
                <w:color w:val="auto"/>
              </w:rPr>
            </w:pPr>
          </w:p>
        </w:tc>
        <w:tc>
          <w:tcPr>
            <w:tcW w:w="7280" w:type="dxa"/>
            <w:vAlign w:val="bottom"/>
          </w:tcPr>
          <w:p>
            <w:pPr>
              <w:jc w:val="center"/>
              <w:ind w:right="2266"/>
              <w:spacing w:after="0"/>
              <w:rPr>
                <w:sz w:val="20"/>
                <w:szCs w:val="20"/>
                <w:color w:val="auto"/>
              </w:rPr>
            </w:pPr>
            <w:r>
              <w:rPr>
                <w:rFonts w:ascii="Arial" w:cs="Arial" w:eastAsia="Arial" w:hAnsi="Arial"/>
                <w:sz w:val="29"/>
                <w:szCs w:val="29"/>
                <w:b w:val="1"/>
                <w:bCs w:val="1"/>
                <w:color w:val="auto"/>
                <w:w w:val="99"/>
              </w:rPr>
              <w:t>CURRENT REPORT</w:t>
            </w:r>
          </w:p>
        </w:tc>
        <w:tc>
          <w:tcPr>
            <w:tcW w:w="0" w:type="dxa"/>
            <w:vAlign w:val="bottom"/>
          </w:tcPr>
          <w:p>
            <w:pPr>
              <w:spacing w:after="0"/>
              <w:rPr>
                <w:sz w:val="1"/>
                <w:szCs w:val="1"/>
                <w:color w:val="auto"/>
              </w:rPr>
            </w:pPr>
          </w:p>
        </w:tc>
      </w:tr>
      <w:tr>
        <w:trPr>
          <w:trHeight w:val="338"/>
        </w:trPr>
        <w:tc>
          <w:tcPr>
            <w:tcW w:w="2540" w:type="dxa"/>
            <w:vAlign w:val="bottom"/>
          </w:tcPr>
          <w:p>
            <w:pPr>
              <w:spacing w:after="0"/>
              <w:rPr>
                <w:sz w:val="24"/>
                <w:szCs w:val="24"/>
                <w:color w:val="auto"/>
              </w:rPr>
            </w:pPr>
          </w:p>
        </w:tc>
        <w:tc>
          <w:tcPr>
            <w:tcW w:w="7280" w:type="dxa"/>
            <w:vAlign w:val="bottom"/>
          </w:tcPr>
          <w:p>
            <w:pPr>
              <w:jc w:val="center"/>
              <w:ind w:right="2286"/>
              <w:spacing w:after="0"/>
              <w:rPr>
                <w:sz w:val="20"/>
                <w:szCs w:val="20"/>
                <w:color w:val="auto"/>
              </w:rPr>
            </w:pPr>
            <w:r>
              <w:rPr>
                <w:rFonts w:ascii="Arial" w:cs="Arial" w:eastAsia="Arial" w:hAnsi="Arial"/>
                <w:sz w:val="29"/>
                <w:szCs w:val="29"/>
                <w:b w:val="1"/>
                <w:bCs w:val="1"/>
                <w:color w:val="auto"/>
                <w:w w:val="90"/>
              </w:rPr>
              <w:t>Pursuant To Section 13 Or 15(d) of</w:t>
            </w:r>
          </w:p>
        </w:tc>
        <w:tc>
          <w:tcPr>
            <w:tcW w:w="0" w:type="dxa"/>
            <w:vAlign w:val="bottom"/>
          </w:tcPr>
          <w:p>
            <w:pPr>
              <w:spacing w:after="0"/>
              <w:rPr>
                <w:sz w:val="1"/>
                <w:szCs w:val="1"/>
                <w:color w:val="auto"/>
              </w:rPr>
            </w:pPr>
          </w:p>
        </w:tc>
      </w:tr>
      <w:tr>
        <w:trPr>
          <w:trHeight w:val="375"/>
        </w:trPr>
        <w:tc>
          <w:tcPr>
            <w:tcW w:w="2540" w:type="dxa"/>
            <w:vAlign w:val="bottom"/>
          </w:tcPr>
          <w:p>
            <w:pPr>
              <w:spacing w:after="0"/>
              <w:rPr>
                <w:sz w:val="24"/>
                <w:szCs w:val="24"/>
                <w:color w:val="auto"/>
              </w:rPr>
            </w:pPr>
          </w:p>
        </w:tc>
        <w:tc>
          <w:tcPr>
            <w:tcW w:w="7280" w:type="dxa"/>
            <w:vAlign w:val="bottom"/>
          </w:tcPr>
          <w:p>
            <w:pPr>
              <w:jc w:val="center"/>
              <w:ind w:right="2266"/>
              <w:spacing w:after="0"/>
              <w:rPr>
                <w:sz w:val="20"/>
                <w:szCs w:val="20"/>
                <w:color w:val="auto"/>
              </w:rPr>
            </w:pPr>
            <w:r>
              <w:rPr>
                <w:rFonts w:ascii="Arial" w:cs="Arial" w:eastAsia="Arial" w:hAnsi="Arial"/>
                <w:sz w:val="29"/>
                <w:szCs w:val="29"/>
                <w:b w:val="1"/>
                <w:bCs w:val="1"/>
                <w:color w:val="auto"/>
                <w:w w:val="88"/>
              </w:rPr>
              <w:t>The Securities Exchange Act of 1934</w:t>
            </w:r>
          </w:p>
        </w:tc>
        <w:tc>
          <w:tcPr>
            <w:tcW w:w="0" w:type="dxa"/>
            <w:vAlign w:val="bottom"/>
          </w:tcPr>
          <w:p>
            <w:pPr>
              <w:spacing w:after="0"/>
              <w:rPr>
                <w:sz w:val="1"/>
                <w:szCs w:val="1"/>
                <w:color w:val="auto"/>
              </w:rPr>
            </w:pPr>
          </w:p>
        </w:tc>
      </w:tr>
      <w:tr>
        <w:trPr>
          <w:trHeight w:val="645"/>
        </w:trPr>
        <w:tc>
          <w:tcPr>
            <w:tcW w:w="2540" w:type="dxa"/>
            <w:vAlign w:val="bottom"/>
          </w:tcPr>
          <w:p>
            <w:pPr>
              <w:spacing w:after="0"/>
              <w:rPr>
                <w:sz w:val="24"/>
                <w:szCs w:val="24"/>
                <w:color w:val="auto"/>
              </w:rPr>
            </w:pPr>
          </w:p>
        </w:tc>
        <w:tc>
          <w:tcPr>
            <w:tcW w:w="7280" w:type="dxa"/>
            <w:vAlign w:val="bottom"/>
          </w:tcPr>
          <w:p>
            <w:pPr>
              <w:jc w:val="center"/>
              <w:ind w:right="2286"/>
              <w:spacing w:after="0"/>
              <w:rPr>
                <w:sz w:val="20"/>
                <w:szCs w:val="20"/>
                <w:color w:val="auto"/>
              </w:rPr>
            </w:pPr>
            <w:r>
              <w:rPr>
                <w:rFonts w:ascii="Arial" w:cs="Arial" w:eastAsia="Arial" w:hAnsi="Arial"/>
                <w:sz w:val="14"/>
                <w:szCs w:val="14"/>
                <w:color w:val="auto"/>
                <w:w w:val="94"/>
              </w:rPr>
              <w:t>Date of report (Date of earliest event reported): April 30, 2009</w:t>
            </w:r>
          </w:p>
        </w:tc>
        <w:tc>
          <w:tcPr>
            <w:tcW w:w="0" w:type="dxa"/>
            <w:vAlign w:val="bottom"/>
          </w:tcPr>
          <w:p>
            <w:pPr>
              <w:spacing w:after="0"/>
              <w:rPr>
                <w:sz w:val="1"/>
                <w:szCs w:val="1"/>
                <w:color w:val="auto"/>
              </w:rPr>
            </w:pPr>
          </w:p>
        </w:tc>
      </w:tr>
      <w:tr>
        <w:trPr>
          <w:trHeight w:val="452"/>
        </w:trPr>
        <w:tc>
          <w:tcPr>
            <w:tcW w:w="2540" w:type="dxa"/>
            <w:vAlign w:val="bottom"/>
          </w:tcPr>
          <w:p>
            <w:pPr>
              <w:spacing w:after="0"/>
              <w:rPr>
                <w:sz w:val="24"/>
                <w:szCs w:val="24"/>
                <w:color w:val="auto"/>
              </w:rPr>
            </w:pPr>
          </w:p>
        </w:tc>
        <w:tc>
          <w:tcPr>
            <w:tcW w:w="7280" w:type="dxa"/>
            <w:vAlign w:val="bottom"/>
          </w:tcPr>
          <w:p>
            <w:pPr>
              <w:jc w:val="center"/>
              <w:ind w:right="2266"/>
              <w:spacing w:after="0"/>
              <w:rPr>
                <w:sz w:val="20"/>
                <w:szCs w:val="20"/>
                <w:color w:val="auto"/>
              </w:rPr>
            </w:pPr>
            <w:r>
              <w:rPr>
                <w:rFonts w:ascii="Arial" w:cs="Arial" w:eastAsia="Arial" w:hAnsi="Arial"/>
                <w:sz w:val="29"/>
                <w:szCs w:val="29"/>
                <w:b w:val="1"/>
                <w:bCs w:val="1"/>
                <w:color w:val="auto"/>
                <w:w w:val="90"/>
              </w:rPr>
              <w:t>Comcast Corporation</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7280" w:type="dxa"/>
            <w:vAlign w:val="bottom"/>
          </w:tcPr>
          <w:p>
            <w:pPr>
              <w:jc w:val="center"/>
              <w:ind w:right="2286"/>
              <w:spacing w:after="0" w:line="149" w:lineRule="exact"/>
              <w:rPr>
                <w:sz w:val="20"/>
                <w:szCs w:val="20"/>
                <w:color w:val="auto"/>
              </w:rPr>
            </w:pPr>
            <w:r>
              <w:rPr>
                <w:rFonts w:ascii="Arial" w:cs="Arial" w:eastAsia="Arial" w:hAnsi="Arial"/>
                <w:sz w:val="14"/>
                <w:szCs w:val="14"/>
                <w:color w:val="auto"/>
                <w:w w:val="93"/>
              </w:rPr>
              <w:t>(Exact Name of Registrant</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7280" w:type="dxa"/>
            <w:vAlign w:val="bottom"/>
          </w:tcPr>
          <w:p>
            <w:pPr>
              <w:jc w:val="center"/>
              <w:ind w:right="2266"/>
              <w:spacing w:after="0"/>
              <w:rPr>
                <w:sz w:val="20"/>
                <w:szCs w:val="20"/>
                <w:color w:val="auto"/>
              </w:rPr>
            </w:pPr>
            <w:r>
              <w:rPr>
                <w:rFonts w:ascii="Arial" w:cs="Arial" w:eastAsia="Arial" w:hAnsi="Arial"/>
                <w:sz w:val="14"/>
                <w:szCs w:val="14"/>
                <w:color w:val="auto"/>
                <w:w w:val="92"/>
              </w:rPr>
              <w:t>as Specified in Charter)</w:t>
            </w: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7280" w:type="dxa"/>
            <w:vAlign w:val="bottom"/>
          </w:tcPr>
          <w:p>
            <w:pPr>
              <w:jc w:val="center"/>
              <w:ind w:right="2266"/>
              <w:spacing w:after="0"/>
              <w:rPr>
                <w:sz w:val="20"/>
                <w:szCs w:val="20"/>
                <w:color w:val="auto"/>
              </w:rPr>
            </w:pPr>
            <w:r>
              <w:rPr>
                <w:rFonts w:ascii="Arial" w:cs="Arial" w:eastAsia="Arial" w:hAnsi="Arial"/>
                <w:sz w:val="14"/>
                <w:szCs w:val="14"/>
                <w:b w:val="1"/>
                <w:bCs w:val="1"/>
                <w:color w:val="auto"/>
                <w:w w:val="89"/>
              </w:rPr>
              <w:t>Pennsylvania</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7280" w:type="dxa"/>
            <w:vAlign w:val="bottom"/>
          </w:tcPr>
          <w:p>
            <w:pPr>
              <w:jc w:val="center"/>
              <w:ind w:right="2266"/>
              <w:spacing w:after="0"/>
              <w:rPr>
                <w:sz w:val="20"/>
                <w:szCs w:val="20"/>
                <w:color w:val="auto"/>
              </w:rPr>
            </w:pPr>
            <w:r>
              <w:rPr>
                <w:rFonts w:ascii="Arial" w:cs="Arial" w:eastAsia="Arial" w:hAnsi="Arial"/>
                <w:sz w:val="14"/>
                <w:szCs w:val="14"/>
                <w:color w:val="auto"/>
                <w:w w:val="95"/>
              </w:rPr>
              <w:t>(State or Other Jurisdiction of Incorporation)</w:t>
            </w:r>
          </w:p>
        </w:tc>
        <w:tc>
          <w:tcPr>
            <w:tcW w:w="0" w:type="dxa"/>
            <w:vAlign w:val="bottom"/>
          </w:tcPr>
          <w:p>
            <w:pPr>
              <w:spacing w:after="0"/>
              <w:rPr>
                <w:sz w:val="1"/>
                <w:szCs w:val="1"/>
                <w:color w:val="auto"/>
              </w:rPr>
            </w:pPr>
          </w:p>
        </w:tc>
      </w:tr>
      <w:tr>
        <w:trPr>
          <w:trHeight w:val="263"/>
        </w:trPr>
        <w:tc>
          <w:tcPr>
            <w:tcW w:w="254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001-32871</w:t>
            </w:r>
          </w:p>
        </w:tc>
        <w:tc>
          <w:tcPr>
            <w:tcW w:w="7280" w:type="dxa"/>
            <w:vAlign w:val="bottom"/>
          </w:tcPr>
          <w:p>
            <w:pPr>
              <w:jc w:val="center"/>
              <w:ind w:left="5206"/>
              <w:spacing w:after="0"/>
              <w:rPr>
                <w:sz w:val="20"/>
                <w:szCs w:val="20"/>
                <w:color w:val="auto"/>
              </w:rPr>
            </w:pPr>
            <w:r>
              <w:rPr>
                <w:rFonts w:ascii="Arial" w:cs="Arial" w:eastAsia="Arial" w:hAnsi="Arial"/>
                <w:sz w:val="14"/>
                <w:szCs w:val="14"/>
                <w:b w:val="1"/>
                <w:bCs w:val="1"/>
                <w:color w:val="auto"/>
                <w:w w:val="93"/>
              </w:rPr>
              <w:t>27-0000798</w:t>
            </w:r>
          </w:p>
        </w:tc>
        <w:tc>
          <w:tcPr>
            <w:tcW w:w="0" w:type="dxa"/>
            <w:vAlign w:val="bottom"/>
          </w:tcPr>
          <w:p>
            <w:pPr>
              <w:spacing w:after="0"/>
              <w:rPr>
                <w:sz w:val="1"/>
                <w:szCs w:val="1"/>
                <w:color w:val="auto"/>
              </w:rPr>
            </w:pPr>
          </w:p>
        </w:tc>
      </w:tr>
      <w:tr>
        <w:trPr>
          <w:trHeight w:val="182"/>
        </w:trPr>
        <w:tc>
          <w:tcPr>
            <w:tcW w:w="2540" w:type="dxa"/>
            <w:vAlign w:val="bottom"/>
          </w:tcPr>
          <w:p>
            <w:pPr>
              <w:jc w:val="center"/>
              <w:ind w:right="128"/>
              <w:spacing w:after="0"/>
              <w:rPr>
                <w:sz w:val="20"/>
                <w:szCs w:val="20"/>
                <w:color w:val="auto"/>
              </w:rPr>
            </w:pPr>
            <w:r>
              <w:rPr>
                <w:rFonts w:ascii="Arial" w:cs="Arial" w:eastAsia="Arial" w:hAnsi="Arial"/>
                <w:sz w:val="14"/>
                <w:szCs w:val="14"/>
                <w:color w:val="auto"/>
                <w:w w:val="94"/>
              </w:rPr>
              <w:t>(Commission File Number)</w:t>
            </w:r>
          </w:p>
        </w:tc>
        <w:tc>
          <w:tcPr>
            <w:tcW w:w="7280" w:type="dxa"/>
            <w:vAlign w:val="bottom"/>
          </w:tcPr>
          <w:p>
            <w:pPr>
              <w:jc w:val="center"/>
              <w:ind w:left="5206"/>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59"/>
        </w:trPr>
        <w:tc>
          <w:tcPr>
            <w:tcW w:w="25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One Comcast Center</w:t>
            </w:r>
          </w:p>
        </w:tc>
        <w:tc>
          <w:tcPr>
            <w:tcW w:w="7280" w:type="dxa"/>
            <w:vAlign w:val="bottom"/>
            <w:vMerge w:val="restart"/>
          </w:tcPr>
          <w:p>
            <w:pPr>
              <w:jc w:val="center"/>
              <w:ind w:left="5206"/>
              <w:spacing w:after="0"/>
              <w:rPr>
                <w:sz w:val="20"/>
                <w:szCs w:val="20"/>
                <w:color w:val="auto"/>
              </w:rPr>
            </w:pPr>
            <w:r>
              <w:rPr>
                <w:rFonts w:ascii="Arial" w:cs="Arial" w:eastAsia="Arial" w:hAnsi="Arial"/>
                <w:sz w:val="14"/>
                <w:szCs w:val="14"/>
                <w:b w:val="1"/>
                <w:bCs w:val="1"/>
                <w:color w:val="auto"/>
                <w:w w:val="93"/>
              </w:rPr>
              <w:t>19103-2838</w:t>
            </w:r>
          </w:p>
        </w:tc>
        <w:tc>
          <w:tcPr>
            <w:tcW w:w="0" w:type="dxa"/>
            <w:vAlign w:val="bottom"/>
          </w:tcPr>
          <w:p>
            <w:pPr>
              <w:spacing w:after="0"/>
              <w:rPr>
                <w:sz w:val="1"/>
                <w:szCs w:val="1"/>
                <w:color w:val="auto"/>
              </w:rPr>
            </w:pPr>
          </w:p>
        </w:tc>
      </w:tr>
      <w:tr>
        <w:trPr>
          <w:trHeight w:val="153"/>
        </w:trPr>
        <w:tc>
          <w:tcPr>
            <w:tcW w:w="254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2"/>
              </w:rPr>
              <w:t>Philadelphia, PA</w:t>
            </w:r>
          </w:p>
        </w:tc>
        <w:tc>
          <w:tcPr>
            <w:tcW w:w="7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40" w:type="dxa"/>
            <w:vAlign w:val="bottom"/>
          </w:tcPr>
          <w:p>
            <w:pPr>
              <w:jc w:val="center"/>
              <w:ind w:right="128"/>
              <w:spacing w:after="0"/>
              <w:rPr>
                <w:sz w:val="20"/>
                <w:szCs w:val="20"/>
                <w:color w:val="auto"/>
              </w:rPr>
            </w:pPr>
            <w:r>
              <w:rPr>
                <w:rFonts w:ascii="Arial" w:cs="Arial" w:eastAsia="Arial" w:hAnsi="Arial"/>
                <w:sz w:val="14"/>
                <w:szCs w:val="14"/>
                <w:color w:val="auto"/>
                <w:w w:val="95"/>
              </w:rPr>
              <w:t>(Address of Principal Executive Offices)</w:t>
            </w:r>
          </w:p>
        </w:tc>
        <w:tc>
          <w:tcPr>
            <w:tcW w:w="7280" w:type="dxa"/>
            <w:vAlign w:val="bottom"/>
          </w:tcPr>
          <w:p>
            <w:pPr>
              <w:jc w:val="center"/>
              <w:ind w:left="5186"/>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446"/>
        </w:trPr>
        <w:tc>
          <w:tcPr>
            <w:tcW w:w="2540" w:type="dxa"/>
            <w:vAlign w:val="bottom"/>
          </w:tcPr>
          <w:p>
            <w:pPr>
              <w:spacing w:after="0"/>
              <w:rPr>
                <w:sz w:val="24"/>
                <w:szCs w:val="24"/>
                <w:color w:val="auto"/>
              </w:rPr>
            </w:pPr>
          </w:p>
        </w:tc>
        <w:tc>
          <w:tcPr>
            <w:tcW w:w="7280" w:type="dxa"/>
            <w:vAlign w:val="bottom"/>
          </w:tcPr>
          <w:p>
            <w:pPr>
              <w:jc w:val="center"/>
              <w:ind w:right="2266"/>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(215) 286-1700</w:t>
            </w:r>
          </w:p>
        </w:tc>
        <w:tc>
          <w:tcPr>
            <w:tcW w:w="0" w:type="dxa"/>
            <w:vAlign w:val="bottom"/>
          </w:tcPr>
          <w:p>
            <w:pPr>
              <w:spacing w:after="0"/>
              <w:rPr>
                <w:sz w:val="1"/>
                <w:szCs w:val="1"/>
                <w:color w:val="auto"/>
              </w:rPr>
            </w:pPr>
          </w:p>
        </w:tc>
      </w:tr>
      <w:tr>
        <w:trPr>
          <w:trHeight w:val="446"/>
        </w:trPr>
        <w:tc>
          <w:tcPr>
            <w:tcW w:w="2540" w:type="dxa"/>
            <w:vAlign w:val="bottom"/>
          </w:tcPr>
          <w:p>
            <w:pPr>
              <w:spacing w:after="0"/>
              <w:rPr>
                <w:sz w:val="24"/>
                <w:szCs w:val="24"/>
                <w:color w:val="auto"/>
              </w:rPr>
            </w:pPr>
          </w:p>
        </w:tc>
        <w:tc>
          <w:tcPr>
            <w:tcW w:w="7280" w:type="dxa"/>
            <w:vAlign w:val="bottom"/>
          </w:tcPr>
          <w:p>
            <w:pPr>
              <w:jc w:val="center"/>
              <w:ind w:right="2266"/>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firstLine="324"/>
        <w:spacing w:after="0" w:line="25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Arial" w:cs="Arial" w:eastAsia="Arial" w:hAnsi="Arial"/>
          <w:sz w:val="14"/>
          <w:szCs w:val="14"/>
          <w:color w:val="auto"/>
        </w:rPr>
      </w:pP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Arial" w:cs="Arial" w:eastAsia="Arial" w:hAnsi="Arial"/>
          <w:sz w:val="14"/>
          <w:szCs w:val="14"/>
          <w:color w:val="auto"/>
        </w:rPr>
      </w:pP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Arial" w:cs="Arial" w:eastAsia="Arial" w:hAnsi="Arial"/>
          <w:sz w:val="14"/>
          <w:szCs w:val="14"/>
          <w:color w:val="auto"/>
        </w:rPr>
      </w:pPr>
    </w:p>
    <w:p>
      <w:pPr>
        <w:ind w:left="660" w:hanging="328"/>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On April 30, 2009, Comcast Corporation (“Comcast”) issued a press release reporting the results of its operations for the three months ended March 31, 2009.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Item 9.01. Exhibits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300" w:type="dxa"/>
            <w:vAlign w:val="bottom"/>
          </w:tcPr>
          <w:p>
            <w:pPr>
              <w:spacing w:after="0"/>
              <w:rPr>
                <w:sz w:val="16"/>
                <w:szCs w:val="16"/>
                <w:color w:val="auto"/>
              </w:rPr>
            </w:pPr>
          </w:p>
        </w:tc>
      </w:tr>
      <w:tr>
        <w:trPr>
          <w:trHeight w:val="597"/>
        </w:trPr>
        <w:tc>
          <w:tcPr>
            <w:tcW w:w="320" w:type="dxa"/>
            <w:vAlign w:val="bottom"/>
          </w:tcPr>
          <w:p>
            <w:pPr>
              <w:spacing w:after="0"/>
              <w:rPr>
                <w:sz w:val="24"/>
                <w:szCs w:val="2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00" w:type="dxa"/>
            <w:vAlign w:val="bottom"/>
          </w:tcPr>
          <w:p>
            <w:pPr>
              <w:spacing w:after="0"/>
              <w:rPr>
                <w:sz w:val="24"/>
                <w:szCs w:val="24"/>
                <w:color w:val="auto"/>
              </w:rPr>
            </w:pPr>
          </w:p>
        </w:tc>
      </w:tr>
      <w:tr>
        <w:trPr>
          <w:trHeight w:val="158"/>
        </w:trPr>
        <w:tc>
          <w:tcPr>
            <w:tcW w:w="32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3"/>
                <w:szCs w:val="13"/>
                <w:color w:val="auto"/>
              </w:rPr>
            </w:pPr>
          </w:p>
        </w:tc>
        <w:tc>
          <w:tcPr>
            <w:tcW w:w="10140" w:type="dxa"/>
            <w:vAlign w:val="bottom"/>
            <w:gridSpan w:val="3"/>
          </w:tcPr>
          <w:p>
            <w:pPr>
              <w:ind w:left="12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259"/>
        </w:trPr>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w w:val="95"/>
              </w:rPr>
              <w:t>99.1</w:t>
            </w:r>
          </w:p>
        </w:tc>
        <w:tc>
          <w:tcPr>
            <w:tcW w:w="460" w:type="dxa"/>
            <w:vAlign w:val="bottom"/>
          </w:tcPr>
          <w:p>
            <w:pPr>
              <w:spacing w:after="0"/>
              <w:rPr>
                <w:sz w:val="22"/>
                <w:szCs w:val="22"/>
                <w:color w:val="auto"/>
              </w:rPr>
            </w:pPr>
          </w:p>
        </w:tc>
        <w:tc>
          <w:tcPr>
            <w:tcW w:w="10140" w:type="dxa"/>
            <w:vAlign w:val="bottom"/>
            <w:gridSpan w:val="3"/>
          </w:tcPr>
          <w:p>
            <w:pPr>
              <w:ind w:left="120"/>
              <w:spacing w:after="0"/>
              <w:rPr>
                <w:sz w:val="20"/>
                <w:szCs w:val="20"/>
                <w:color w:val="auto"/>
              </w:rPr>
            </w:pPr>
            <w:r>
              <w:rPr>
                <w:rFonts w:ascii="Arial" w:cs="Arial" w:eastAsia="Arial" w:hAnsi="Arial"/>
                <w:sz w:val="14"/>
                <w:szCs w:val="14"/>
                <w:color w:val="auto"/>
              </w:rPr>
              <w:t>Comcast Corporation press release dated April 30, 2009.</w:t>
            </w:r>
          </w:p>
        </w:tc>
      </w:tr>
      <w:tr>
        <w:trPr>
          <w:trHeight w:val="182"/>
        </w:trPr>
        <w:tc>
          <w:tcPr>
            <w:tcW w:w="820" w:type="dxa"/>
            <w:vAlign w:val="bottom"/>
            <w:gridSpan w:val="2"/>
          </w:tcPr>
          <w:p>
            <w:pPr>
              <w:jc w:val="center"/>
              <w:ind w:left="248"/>
              <w:spacing w:after="0"/>
              <w:rPr>
                <w:sz w:val="20"/>
                <w:szCs w:val="20"/>
                <w:color w:val="auto"/>
              </w:rPr>
            </w:pPr>
            <w:r>
              <w:rPr>
                <w:rFonts w:ascii="Arial" w:cs="Arial" w:eastAsia="Arial" w:hAnsi="Arial"/>
                <w:sz w:val="14"/>
                <w:szCs w:val="14"/>
                <w:color w:val="auto"/>
                <w:w w:val="95"/>
              </w:rPr>
              <w:t>99.2</w:t>
            </w:r>
          </w:p>
        </w:tc>
        <w:tc>
          <w:tcPr>
            <w:tcW w:w="460" w:type="dxa"/>
            <w:vAlign w:val="bottom"/>
          </w:tcPr>
          <w:p>
            <w:pPr>
              <w:spacing w:after="0"/>
              <w:rPr>
                <w:sz w:val="15"/>
                <w:szCs w:val="15"/>
                <w:color w:val="auto"/>
              </w:rPr>
            </w:pPr>
          </w:p>
        </w:tc>
        <w:tc>
          <w:tcPr>
            <w:tcW w:w="10140" w:type="dxa"/>
            <w:vAlign w:val="bottom"/>
            <w:gridSpan w:val="3"/>
          </w:tcPr>
          <w:p>
            <w:pPr>
              <w:ind w:left="120"/>
              <w:spacing w:after="0"/>
              <w:rPr>
                <w:sz w:val="20"/>
                <w:szCs w:val="20"/>
                <w:color w:val="auto"/>
              </w:rPr>
            </w:pPr>
            <w:r>
              <w:rPr>
                <w:rFonts w:ascii="Arial" w:cs="Arial" w:eastAsia="Arial" w:hAnsi="Arial"/>
                <w:sz w:val="14"/>
                <w:szCs w:val="14"/>
                <w:color w:val="auto"/>
              </w:rPr>
              <w:t>Explanation of Non-GAAP and Other Financial Measures.</w:t>
            </w:r>
          </w:p>
        </w:tc>
      </w:tr>
      <w:tr>
        <w:trPr>
          <w:trHeight w:val="589"/>
        </w:trPr>
        <w:tc>
          <w:tcPr>
            <w:tcW w:w="3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ind w:left="5260"/>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COMCAST CORPORATION</w:t>
      </w:r>
    </w:p>
    <w:p>
      <w:pPr>
        <w:spacing w:after="0" w:line="258" w:lineRule="exact"/>
        <w:rPr>
          <w:sz w:val="20"/>
          <w:szCs w:val="20"/>
          <w:color w:val="auto"/>
        </w:rPr>
      </w:pPr>
    </w:p>
    <w:p>
      <w:pPr>
        <w:spacing w:after="0"/>
        <w:tabs>
          <w:tab w:leader="none" w:pos="440" w:val="left"/>
          <w:tab w:leader="none" w:pos="5600" w:val="left"/>
        </w:tabs>
        <w:rPr>
          <w:sz w:val="20"/>
          <w:szCs w:val="20"/>
          <w:color w:val="auto"/>
        </w:rPr>
      </w:pPr>
      <w:r>
        <w:rPr>
          <w:rFonts w:ascii="Arial" w:cs="Arial" w:eastAsia="Arial" w:hAnsi="Arial"/>
          <w:sz w:val="14"/>
          <w:szCs w:val="14"/>
          <w:color w:val="auto"/>
        </w:rPr>
        <w:t>Date:</w:t>
        <w:tab/>
        <w:t>April 30, 2009</w:t>
      </w:r>
      <w:r>
        <w:rPr>
          <w:sz w:val="20"/>
          <w:szCs w:val="20"/>
          <w:color w:val="auto"/>
        </w:rPr>
        <w:tab/>
      </w:r>
      <w:r>
        <w:rPr>
          <w:rFonts w:ascii="Arial" w:cs="Arial" w:eastAsia="Arial" w:hAnsi="Arial"/>
          <w:sz w:val="11"/>
          <w:szCs w:val="11"/>
          <w:color w:val="auto"/>
        </w:rPr>
        <w:t>By:</w:t>
      </w:r>
      <w:r>
        <w:rPr>
          <w:rFonts w:ascii="Arial" w:cs="Arial" w:eastAsia="Arial" w:hAnsi="Arial"/>
          <w:sz w:val="19"/>
          <w:szCs w:val="19"/>
          <w:color w:val="auto"/>
          <w:vertAlign w:val="superscript"/>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-12065</wp:posOffset>
            </wp:positionV>
            <wp:extent cx="35502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ind w:left="5820"/>
        <w:spacing w:after="0" w:line="221" w:lineRule="auto"/>
        <w:rPr>
          <w:sz w:val="20"/>
          <w:szCs w:val="20"/>
          <w:color w:val="auto"/>
        </w:rPr>
      </w:pPr>
      <w:r>
        <w:rPr>
          <w:rFonts w:ascii="Arial" w:cs="Arial" w:eastAsia="Arial" w:hAnsi="Arial"/>
          <w:sz w:val="14"/>
          <w:szCs w:val="14"/>
          <w:color w:val="auto"/>
        </w:rPr>
        <w:t>Lawrence J. Salva</w:t>
      </w:r>
    </w:p>
    <w:p>
      <w:pPr>
        <w:ind w:left="5820"/>
        <w:spacing w:after="0" w:line="221" w:lineRule="auto"/>
        <w:rPr>
          <w:sz w:val="20"/>
          <w:szCs w:val="20"/>
          <w:color w:val="auto"/>
        </w:rPr>
      </w:pPr>
      <w:r>
        <w:rPr>
          <w:rFonts w:ascii="Arial" w:cs="Arial" w:eastAsia="Arial" w:hAnsi="Arial"/>
          <w:sz w:val="14"/>
          <w:szCs w:val="14"/>
          <w:color w:val="auto"/>
        </w:rPr>
        <w:t>Senior Vice President, Chief Accounting Officer</w:t>
      </w:r>
    </w:p>
    <w:p>
      <w:pPr>
        <w:ind w:left="5820"/>
        <w:spacing w:after="0" w:line="222" w:lineRule="auto"/>
        <w:rPr>
          <w:sz w:val="20"/>
          <w:szCs w:val="20"/>
          <w:color w:val="auto"/>
        </w:rPr>
      </w:pPr>
      <w:r>
        <w:rPr>
          <w:rFonts w:ascii="Arial" w:cs="Arial" w:eastAsia="Arial" w:hAnsi="Arial"/>
          <w:sz w:val="14"/>
          <w:szCs w:val="14"/>
          <w:color w:val="auto"/>
        </w:rPr>
        <w:t>and Controller</w:t>
      </w:r>
    </w:p>
    <w:p>
      <w:pPr>
        <w:ind w:left="5820"/>
        <w:spacing w:after="0"/>
        <w:rPr>
          <w:sz w:val="20"/>
          <w:szCs w:val="20"/>
          <w:color w:val="auto"/>
        </w:rPr>
      </w:pPr>
      <w:r>
        <w:rPr>
          <w:rFonts w:ascii="Arial" w:cs="Arial" w:eastAsia="Arial" w:hAnsi="Arial"/>
          <w:sz w:val="14"/>
          <w:szCs w:val="14"/>
          <w:color w:val="auto"/>
        </w:rPr>
        <w:t>(Principal Accounting Officer)</w:t>
      </w:r>
    </w:p>
    <w:p>
      <w:pPr>
        <w:sectPr>
          <w:pgSz w:w="11900" w:h="16838" w:orient="portrait"/>
          <w:cols w:equalWidth="0" w:num="1">
            <w:col w:w="10800"/>
          </w:cols>
          <w:pgMar w:left="240" w:top="360" w:right="85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6469380</wp:posOffset>
            </wp:positionH>
            <wp:positionV relativeFrom="page">
              <wp:posOffset>551815</wp:posOffset>
            </wp:positionV>
            <wp:extent cx="9347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34720" cy="27432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71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242570</wp:posOffset>
            </wp:positionV>
            <wp:extent cx="171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242570</wp:posOffset>
            </wp:positionV>
            <wp:extent cx="17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242570</wp:posOffset>
            </wp:positionV>
            <wp:extent cx="171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242570</wp:posOffset>
            </wp:positionV>
            <wp:extent cx="171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242570</wp:posOffset>
            </wp:positionV>
            <wp:extent cx="171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242570</wp:posOffset>
            </wp:positionV>
            <wp:extent cx="17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242570</wp:posOffset>
            </wp:positionV>
            <wp:extent cx="171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242570</wp:posOffset>
            </wp:positionV>
            <wp:extent cx="171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242570</wp:posOffset>
            </wp:positionV>
            <wp:extent cx="171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242570</wp:posOffset>
            </wp:positionV>
            <wp:extent cx="17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242570</wp:posOffset>
            </wp:positionV>
            <wp:extent cx="171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242570</wp:posOffset>
            </wp:positionV>
            <wp:extent cx="17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242570</wp:posOffset>
            </wp:positionV>
            <wp:extent cx="171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242570</wp:posOffset>
            </wp:positionV>
            <wp:extent cx="17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242570</wp:posOffset>
            </wp:positionV>
            <wp:extent cx="17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242570</wp:posOffset>
            </wp:positionV>
            <wp:extent cx="17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242570</wp:posOffset>
            </wp:positionV>
            <wp:extent cx="17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242570</wp:posOffset>
            </wp:positionV>
            <wp:extent cx="17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242570</wp:posOffset>
            </wp:positionV>
            <wp:extent cx="17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242570</wp:posOffset>
            </wp:positionV>
            <wp:extent cx="17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242570</wp:posOffset>
            </wp:positionV>
            <wp:extent cx="17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242570</wp:posOffset>
            </wp:positionV>
            <wp:extent cx="17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242570</wp:posOffset>
            </wp:positionV>
            <wp:extent cx="17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242570</wp:posOffset>
            </wp:positionV>
            <wp:extent cx="17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242570</wp:posOffset>
            </wp:positionV>
            <wp:extent cx="17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242570</wp:posOffset>
            </wp:positionV>
            <wp:extent cx="17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242570</wp:posOffset>
            </wp:positionV>
            <wp:extent cx="17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242570</wp:posOffset>
            </wp:positionV>
            <wp:extent cx="17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242570</wp:posOffset>
            </wp:positionV>
            <wp:extent cx="17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242570</wp:posOffset>
            </wp:positionV>
            <wp:extent cx="17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242570</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242570</wp:posOffset>
            </wp:positionV>
            <wp:extent cx="17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242570</wp:posOffset>
            </wp:positionV>
            <wp:extent cx="17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242570</wp:posOffset>
            </wp:positionV>
            <wp:extent cx="17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242570</wp:posOffset>
            </wp:positionV>
            <wp:extent cx="17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242570</wp:posOffset>
            </wp:positionV>
            <wp:extent cx="17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242570</wp:posOffset>
            </wp:positionV>
            <wp:extent cx="17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242570</wp:posOffset>
            </wp:positionV>
            <wp:extent cx="17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242570</wp:posOffset>
            </wp:positionV>
            <wp:extent cx="17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242570</wp:posOffset>
            </wp:positionV>
            <wp:extent cx="17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242570</wp:posOffset>
            </wp:positionV>
            <wp:extent cx="17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242570</wp:posOffset>
            </wp:positionV>
            <wp:extent cx="342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242570</wp:posOffset>
            </wp:positionV>
            <wp:extent cx="17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242570</wp:posOffset>
            </wp:positionV>
            <wp:extent cx="17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242570</wp:posOffset>
            </wp:positionV>
            <wp:extent cx="17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242570</wp:posOffset>
            </wp:positionV>
            <wp:extent cx="17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242570</wp:posOffset>
            </wp:positionV>
            <wp:extent cx="17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242570</wp:posOffset>
            </wp:positionV>
            <wp:extent cx="17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242570</wp:posOffset>
            </wp:positionV>
            <wp:extent cx="17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242570</wp:posOffset>
            </wp:positionV>
            <wp:extent cx="17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242570</wp:posOffset>
            </wp:positionV>
            <wp:extent cx="17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242570</wp:posOffset>
            </wp:positionV>
            <wp:extent cx="17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242570</wp:posOffset>
            </wp:positionV>
            <wp:extent cx="17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242570</wp:posOffset>
            </wp:positionV>
            <wp:extent cx="17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242570</wp:posOffset>
            </wp:positionV>
            <wp:extent cx="17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242570</wp:posOffset>
            </wp:positionV>
            <wp:extent cx="17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242570</wp:posOffset>
            </wp:positionV>
            <wp:extent cx="17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242570</wp:posOffset>
            </wp:positionV>
            <wp:extent cx="17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242570</wp:posOffset>
            </wp:positionV>
            <wp:extent cx="17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242570</wp:posOffset>
            </wp:positionV>
            <wp:extent cx="17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242570</wp:posOffset>
            </wp:positionV>
            <wp:extent cx="17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242570</wp:posOffset>
            </wp:positionV>
            <wp:extent cx="17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242570</wp:posOffset>
            </wp:positionV>
            <wp:extent cx="17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242570</wp:posOffset>
            </wp:positionV>
            <wp:extent cx="17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242570</wp:posOffset>
            </wp:positionV>
            <wp:extent cx="17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242570</wp:posOffset>
            </wp:positionV>
            <wp:extent cx="17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242570</wp:posOffset>
            </wp:positionV>
            <wp:extent cx="17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242570</wp:posOffset>
            </wp:positionV>
            <wp:extent cx="17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242570</wp:posOffset>
            </wp:positionV>
            <wp:extent cx="17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242570</wp:posOffset>
            </wp:positionV>
            <wp:extent cx="17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242570</wp:posOffset>
            </wp:positionV>
            <wp:extent cx="17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242570</wp:posOffset>
            </wp:positionV>
            <wp:extent cx="17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242570</wp:posOffset>
            </wp:positionV>
            <wp:extent cx="17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242570</wp:posOffset>
            </wp:positionV>
            <wp:extent cx="17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242570</wp:posOffset>
            </wp:positionV>
            <wp:extent cx="17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242570</wp:posOffset>
            </wp:positionV>
            <wp:extent cx="17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242570</wp:posOffset>
            </wp:positionV>
            <wp:extent cx="17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242570</wp:posOffset>
            </wp:positionV>
            <wp:extent cx="17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242570</wp:posOffset>
            </wp:positionV>
            <wp:extent cx="17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242570</wp:posOffset>
            </wp:positionV>
            <wp:extent cx="171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242570</wp:posOffset>
            </wp:positionV>
            <wp:extent cx="17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242570</wp:posOffset>
            </wp:positionV>
            <wp:extent cx="17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242570</wp:posOffset>
            </wp:positionV>
            <wp:extent cx="17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242570</wp:posOffset>
            </wp:positionV>
            <wp:extent cx="17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242570</wp:posOffset>
            </wp:positionV>
            <wp:extent cx="17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242570</wp:posOffset>
            </wp:positionV>
            <wp:extent cx="17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242570</wp:posOffset>
            </wp:positionV>
            <wp:extent cx="17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242570</wp:posOffset>
            </wp:positionV>
            <wp:extent cx="17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242570</wp:posOffset>
            </wp:positionV>
            <wp:extent cx="17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242570</wp:posOffset>
            </wp:positionV>
            <wp:extent cx="17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242570</wp:posOffset>
            </wp:positionV>
            <wp:extent cx="17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242570</wp:posOffset>
            </wp:positionV>
            <wp:extent cx="17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242570</wp:posOffset>
            </wp:positionV>
            <wp:extent cx="171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242570</wp:posOffset>
            </wp:positionV>
            <wp:extent cx="39789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color w:val="auto"/>
              </w:rPr>
              <w:t>Investor Contacts:</w:t>
            </w:r>
          </w:p>
        </w:tc>
        <w:tc>
          <w:tcPr>
            <w:tcW w:w="3020" w:type="dxa"/>
            <w:vAlign w:val="bottom"/>
          </w:tcPr>
          <w:p>
            <w:pPr>
              <w:spacing w:after="0"/>
              <w:rPr>
                <w:sz w:val="14"/>
                <w:szCs w:val="14"/>
                <w:color w:val="auto"/>
              </w:rPr>
            </w:pPr>
          </w:p>
        </w:tc>
        <w:tc>
          <w:tcPr>
            <w:tcW w:w="3160" w:type="dxa"/>
            <w:vAlign w:val="bottom"/>
          </w:tcPr>
          <w:p>
            <w:pPr>
              <w:ind w:left="1540"/>
              <w:spacing w:after="0"/>
              <w:rPr>
                <w:sz w:val="20"/>
                <w:szCs w:val="20"/>
                <w:color w:val="auto"/>
              </w:rPr>
            </w:pPr>
            <w:r>
              <w:rPr>
                <w:rFonts w:ascii="Arial" w:cs="Arial" w:eastAsia="Arial" w:hAnsi="Arial"/>
                <w:sz w:val="14"/>
                <w:szCs w:val="14"/>
                <w:b w:val="1"/>
                <w:bCs w:val="1"/>
                <w:color w:val="auto"/>
              </w:rPr>
              <w:t>Press Contacts: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Marlene S. Dooner</w:t>
            </w:r>
          </w:p>
        </w:tc>
        <w:tc>
          <w:tcPr>
            <w:tcW w:w="3020" w:type="dxa"/>
            <w:vAlign w:val="bottom"/>
            <w:vMerge w:val="restart"/>
          </w:tcPr>
          <w:p>
            <w:pPr>
              <w:jc w:val="right"/>
              <w:ind w:right="1468"/>
              <w:spacing w:after="0"/>
              <w:rPr>
                <w:sz w:val="20"/>
                <w:szCs w:val="20"/>
                <w:color w:val="auto"/>
              </w:rPr>
            </w:pPr>
            <w:r>
              <w:rPr>
                <w:rFonts w:ascii="Arial" w:cs="Arial" w:eastAsia="Arial" w:hAnsi="Arial"/>
                <w:sz w:val="14"/>
                <w:szCs w:val="14"/>
                <w:color w:val="auto"/>
              </w:rPr>
              <w:t>(215) 286-7392</w:t>
            </w:r>
          </w:p>
        </w:tc>
        <w:tc>
          <w:tcPr>
            <w:tcW w:w="3160" w:type="dxa"/>
            <w:vAlign w:val="bottom"/>
          </w:tcPr>
          <w:p>
            <w:pPr>
              <w:ind w:left="1540"/>
              <w:spacing w:after="0" w:line="149" w:lineRule="exact"/>
              <w:rPr>
                <w:sz w:val="20"/>
                <w:szCs w:val="20"/>
                <w:color w:val="auto"/>
              </w:rPr>
            </w:pPr>
            <w:r>
              <w:rPr>
                <w:rFonts w:ascii="Arial" w:cs="Arial" w:eastAsia="Arial" w:hAnsi="Arial"/>
                <w:sz w:val="14"/>
                <w:szCs w:val="14"/>
                <w:color w:val="auto"/>
              </w:rPr>
              <w:t>D’Arcy Rudnay</w:t>
            </w: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(215) 286-8582</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line="149" w:lineRule="exact"/>
              <w:rPr>
                <w:sz w:val="20"/>
                <w:szCs w:val="20"/>
                <w:color w:val="auto"/>
              </w:rPr>
            </w:pPr>
            <w:r>
              <w:rPr>
                <w:rFonts w:ascii="Arial" w:cs="Arial" w:eastAsia="Arial" w:hAnsi="Arial"/>
                <w:sz w:val="14"/>
                <w:szCs w:val="14"/>
                <w:color w:val="auto"/>
              </w:rPr>
              <w:t>Jane B. Kearns</w:t>
            </w:r>
          </w:p>
        </w:tc>
        <w:tc>
          <w:tcPr>
            <w:tcW w:w="3020" w:type="dxa"/>
            <w:vAlign w:val="bottom"/>
            <w:vMerge w:val="continue"/>
          </w:tcPr>
          <w:p>
            <w:pPr>
              <w:spacing w:after="0"/>
              <w:rPr>
                <w:sz w:val="8"/>
                <w:szCs w:val="8"/>
                <w:color w:val="auto"/>
              </w:rPr>
            </w:pPr>
          </w:p>
        </w:tc>
        <w:tc>
          <w:tcPr>
            <w:tcW w:w="3160" w:type="dxa"/>
            <w:vAlign w:val="bottom"/>
            <w:vMerge w:val="restart"/>
          </w:tcPr>
          <w:p>
            <w:pPr>
              <w:ind w:left="1540"/>
              <w:spacing w:after="0" w:line="149" w:lineRule="exact"/>
              <w:rPr>
                <w:sz w:val="20"/>
                <w:szCs w:val="20"/>
                <w:color w:val="auto"/>
              </w:rPr>
            </w:pPr>
            <w:r>
              <w:rPr>
                <w:rFonts w:ascii="Arial" w:cs="Arial" w:eastAsia="Arial" w:hAnsi="Arial"/>
                <w:sz w:val="14"/>
                <w:szCs w:val="14"/>
                <w:color w:val="auto"/>
              </w:rPr>
              <w:t>John Demming</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720" w:type="dxa"/>
            <w:vAlign w:val="bottom"/>
            <w:vMerge w:val="continue"/>
          </w:tcPr>
          <w:p>
            <w:pPr>
              <w:spacing w:after="0"/>
              <w:rPr>
                <w:sz w:val="4"/>
                <w:szCs w:val="4"/>
                <w:color w:val="auto"/>
              </w:rPr>
            </w:pPr>
          </w:p>
        </w:tc>
        <w:tc>
          <w:tcPr>
            <w:tcW w:w="3020" w:type="dxa"/>
            <w:vAlign w:val="bottom"/>
            <w:vMerge w:val="restart"/>
          </w:tcPr>
          <w:p>
            <w:pPr>
              <w:jc w:val="right"/>
              <w:ind w:right="1468"/>
              <w:spacing w:after="0"/>
              <w:rPr>
                <w:sz w:val="20"/>
                <w:szCs w:val="20"/>
                <w:color w:val="auto"/>
              </w:rPr>
            </w:pPr>
            <w:r>
              <w:rPr>
                <w:rFonts w:ascii="Arial" w:cs="Arial" w:eastAsia="Arial" w:hAnsi="Arial"/>
                <w:sz w:val="14"/>
                <w:szCs w:val="14"/>
                <w:color w:val="auto"/>
              </w:rPr>
              <w:t>(215) 286-4794</w:t>
            </w:r>
          </w:p>
        </w:tc>
        <w:tc>
          <w:tcPr>
            <w:tcW w:w="3160" w:type="dxa"/>
            <w:vAlign w:val="bottom"/>
            <w:vMerge w:val="continue"/>
          </w:tcPr>
          <w:p>
            <w:pPr>
              <w:spacing w:after="0"/>
              <w:rPr>
                <w:sz w:val="4"/>
                <w:szCs w:val="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(215) 286-8011</w:t>
            </w:r>
          </w:p>
        </w:tc>
        <w:tc>
          <w:tcPr>
            <w:tcW w:w="0" w:type="dxa"/>
            <w:vAlign w:val="bottom"/>
          </w:tcPr>
          <w:p>
            <w:pPr>
              <w:spacing w:after="0"/>
              <w:rPr>
                <w:sz w:val="1"/>
                <w:szCs w:val="1"/>
                <w:color w:val="auto"/>
              </w:rPr>
            </w:pPr>
          </w:p>
        </w:tc>
      </w:tr>
      <w:tr>
        <w:trPr>
          <w:trHeight w:val="140"/>
        </w:trPr>
        <w:tc>
          <w:tcPr>
            <w:tcW w:w="1720" w:type="dxa"/>
            <w:vAlign w:val="bottom"/>
          </w:tcPr>
          <w:p>
            <w:pPr>
              <w:spacing w:after="0" w:line="141" w:lineRule="exact"/>
              <w:rPr>
                <w:sz w:val="20"/>
                <w:szCs w:val="20"/>
                <w:color w:val="auto"/>
              </w:rPr>
            </w:pPr>
            <w:r>
              <w:rPr>
                <w:rFonts w:ascii="Arial" w:cs="Arial" w:eastAsia="Arial" w:hAnsi="Arial"/>
                <w:sz w:val="14"/>
                <w:szCs w:val="14"/>
                <w:color w:val="auto"/>
              </w:rPr>
              <w:t>Michael A. Kelman</w:t>
            </w:r>
          </w:p>
        </w:tc>
        <w:tc>
          <w:tcPr>
            <w:tcW w:w="302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020" w:type="dxa"/>
            <w:vAlign w:val="bottom"/>
          </w:tcPr>
          <w:p>
            <w:pPr>
              <w:jc w:val="right"/>
              <w:ind w:right="1468"/>
              <w:spacing w:after="0"/>
              <w:rPr>
                <w:sz w:val="20"/>
                <w:szCs w:val="20"/>
                <w:color w:val="auto"/>
              </w:rPr>
            </w:pPr>
            <w:r>
              <w:rPr>
                <w:rFonts w:ascii="Arial" w:cs="Arial" w:eastAsia="Arial" w:hAnsi="Arial"/>
                <w:sz w:val="14"/>
                <w:szCs w:val="14"/>
                <w:color w:val="auto"/>
              </w:rPr>
              <w:t>(215) 286-3035</w:t>
            </w:r>
          </w:p>
        </w:tc>
        <w:tc>
          <w:tcPr>
            <w:tcW w:w="3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REPORTS FIRST QUARTER 2009 RESULTS</w:t>
      </w:r>
    </w:p>
    <w:p>
      <w:pPr>
        <w:spacing w:after="0" w:line="231" w:lineRule="exact"/>
        <w:rPr>
          <w:sz w:val="20"/>
          <w:szCs w:val="20"/>
          <w:color w:val="auto"/>
        </w:rPr>
      </w:pPr>
    </w:p>
    <w:p>
      <w:pPr>
        <w:ind w:left="340" w:hanging="152"/>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Consolidated Revenue Increased 5%</w:t>
      </w:r>
    </w:p>
    <w:p>
      <w:pPr>
        <w:spacing w:after="0" w:line="230" w:lineRule="exact"/>
        <w:rPr>
          <w:rFonts w:ascii="Arial" w:cs="Arial" w:eastAsia="Arial" w:hAnsi="Arial"/>
          <w:sz w:val="14"/>
          <w:szCs w:val="14"/>
          <w:b w:val="1"/>
          <w:bCs w:val="1"/>
          <w:color w:val="auto"/>
        </w:rPr>
      </w:pPr>
    </w:p>
    <w:p>
      <w:pPr>
        <w:ind w:left="340" w:hanging="152"/>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Consolidated Operating Cash Flow Increased 8%</w:t>
      </w:r>
    </w:p>
    <w:p>
      <w:pPr>
        <w:spacing w:after="0" w:line="230" w:lineRule="exact"/>
        <w:rPr>
          <w:rFonts w:ascii="Arial" w:cs="Arial" w:eastAsia="Arial" w:hAnsi="Arial"/>
          <w:sz w:val="14"/>
          <w:szCs w:val="14"/>
          <w:b w:val="1"/>
          <w:bCs w:val="1"/>
          <w:color w:val="auto"/>
        </w:rPr>
      </w:pPr>
    </w:p>
    <w:p>
      <w:pPr>
        <w:ind w:left="340" w:hanging="152"/>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Consolidated Operating Income Increased 16%</w:t>
      </w:r>
    </w:p>
    <w:p>
      <w:pPr>
        <w:spacing w:after="0" w:line="230" w:lineRule="exact"/>
        <w:rPr>
          <w:rFonts w:ascii="Arial" w:cs="Arial" w:eastAsia="Arial" w:hAnsi="Arial"/>
          <w:sz w:val="14"/>
          <w:szCs w:val="14"/>
          <w:b w:val="1"/>
          <w:bCs w:val="1"/>
          <w:color w:val="auto"/>
        </w:rPr>
      </w:pPr>
    </w:p>
    <w:p>
      <w:pPr>
        <w:ind w:left="340" w:hanging="152"/>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EPS of $0.27 Increased 13%; Adjusted EPS Increased 42%</w:t>
      </w:r>
    </w:p>
    <w:p>
      <w:pPr>
        <w:spacing w:after="0" w:line="230" w:lineRule="exact"/>
        <w:rPr>
          <w:rFonts w:ascii="Arial" w:cs="Arial" w:eastAsia="Arial" w:hAnsi="Arial"/>
          <w:sz w:val="14"/>
          <w:szCs w:val="14"/>
          <w:b w:val="1"/>
          <w:bCs w:val="1"/>
          <w:color w:val="auto"/>
        </w:rPr>
      </w:pPr>
    </w:p>
    <w:p>
      <w:pPr>
        <w:ind w:left="340" w:hanging="152"/>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Free Cash Flow Increased 95% to $1.4 Billion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Philadelphia, PA – April 30, 2009 …Comcast Corporation (NASDAQ: CMCSA, CMCSK) today reported results for the quarter ended March 31, 2009.</w:t>
      </w:r>
    </w:p>
    <w:p>
      <w:pPr>
        <w:spacing w:after="0" w:line="23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Brian L. Roberts, Chairman and Chief Executive Officer of Comcast Corporation, said, “Our results for the first quarter mark a solid start to 2009, demonstrating the underlying strength of our subscription businesses and our ability to continue to manage effectively in a challenging environment. We achieved significant free cash flow growth, driven by lower capital expenditures and healthy growth across key metrics including revenues and operating cash flow. The continued strength of our financial position has enabled us to maintain investment in our businesses and execute on our strategic initiatives. Looking ahead, we remain focused on delivering superior products to our customers, strengthening our competitive position and building value for our shareholders over the long-term.”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Results</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 xml:space="preserve">Revenue </w:t>
      </w:r>
      <w:r>
        <w:rPr>
          <w:rFonts w:ascii="Arial" w:cs="Arial" w:eastAsia="Arial" w:hAnsi="Arial"/>
          <w:sz w:val="14"/>
          <w:szCs w:val="14"/>
          <w:color w:val="auto"/>
        </w:rPr>
        <w:t>increased 5% in the first quarter 2009 to $8.8 billion, while</w:t>
      </w:r>
      <w:r>
        <w:rPr>
          <w:rFonts w:ascii="Arial" w:cs="Arial" w:eastAsia="Arial" w:hAnsi="Arial"/>
          <w:sz w:val="14"/>
          <w:szCs w:val="14"/>
          <w:b w:val="1"/>
          <w:bCs w:val="1"/>
          <w:i w:val="1"/>
          <w:iCs w:val="1"/>
          <w:color w:val="auto"/>
        </w:rPr>
        <w:t xml:space="preserve"> Operating Cash Flow </w:t>
      </w:r>
      <w:r>
        <w:rPr>
          <w:rFonts w:ascii="Arial" w:cs="Arial" w:eastAsia="Arial" w:hAnsi="Arial"/>
          <w:sz w:val="14"/>
          <w:szCs w:val="14"/>
          <w:color w:val="auto"/>
        </w:rPr>
        <w:t>increased 8% to $3.4 billion and</w:t>
      </w:r>
      <w:r>
        <w:rPr>
          <w:rFonts w:ascii="Arial" w:cs="Arial" w:eastAsia="Arial" w:hAnsi="Arial"/>
          <w:sz w:val="14"/>
          <w:szCs w:val="14"/>
          <w:b w:val="1"/>
          <w:bCs w:val="1"/>
          <w:i w:val="1"/>
          <w:iCs w:val="1"/>
          <w:color w:val="auto"/>
        </w:rPr>
        <w:t xml:space="preserve"> Operating Income </w:t>
      </w:r>
      <w:r>
        <w:rPr>
          <w:rFonts w:ascii="Arial" w:cs="Arial" w:eastAsia="Arial" w:hAnsi="Arial"/>
          <w:sz w:val="14"/>
          <w:szCs w:val="14"/>
          <w:color w:val="auto"/>
        </w:rPr>
        <w:t>increased 16% to $1.8 billion. This growth was due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solid operating results at Comcast Cable.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10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29"/>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7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40" w:type="dxa"/>
            <w:vAlign w:val="bottom"/>
          </w:tcPr>
          <w:p>
            <w:pPr>
              <w:ind w:left="180"/>
              <w:spacing w:after="0" w:line="149" w:lineRule="exact"/>
              <w:rPr>
                <w:sz w:val="20"/>
                <w:szCs w:val="20"/>
                <w:color w:val="auto"/>
              </w:rPr>
            </w:pPr>
            <w:r>
              <w:rPr>
                <w:rFonts w:ascii="Arial" w:cs="Arial" w:eastAsia="Arial" w:hAnsi="Arial"/>
                <w:sz w:val="14"/>
                <w:szCs w:val="14"/>
                <w:color w:val="auto"/>
              </w:rPr>
              <w:t>Cable</w:t>
            </w:r>
          </w:p>
        </w:tc>
        <w:tc>
          <w:tcPr>
            <w:tcW w:w="440" w:type="dxa"/>
            <w:vAlign w:val="bottom"/>
          </w:tcPr>
          <w:p>
            <w:pPr>
              <w:jc w:val="right"/>
              <w:ind w:right="324"/>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7,916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5"/>
          </w:tcPr>
          <w:p>
            <w:pPr>
              <w:jc w:val="right"/>
              <w:ind w:right="300"/>
              <w:spacing w:after="0" w:line="149" w:lineRule="exact"/>
              <w:rPr>
                <w:sz w:val="20"/>
                <w:szCs w:val="20"/>
                <w:color w:val="auto"/>
              </w:rPr>
            </w:pPr>
            <w:r>
              <w:rPr>
                <w:rFonts w:ascii="Arial" w:cs="Arial" w:eastAsia="Arial" w:hAnsi="Arial"/>
                <w:sz w:val="14"/>
                <w:szCs w:val="14"/>
                <w:color w:val="auto"/>
              </w:rPr>
              <w:t>8,349</w:t>
            </w:r>
          </w:p>
        </w:tc>
        <w:tc>
          <w:tcPr>
            <w:tcW w:w="7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8"/>
              </w:rPr>
              <w:t>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ind w:left="180"/>
              <w:spacing w:after="0" w:line="149" w:lineRule="exact"/>
              <w:rPr>
                <w:sz w:val="20"/>
                <w:szCs w:val="20"/>
                <w:color w:val="auto"/>
              </w:rPr>
            </w:pPr>
            <w:r>
              <w:rPr>
                <w:rFonts w:ascii="Arial" w:cs="Arial" w:eastAsia="Arial" w:hAnsi="Arial"/>
                <w:sz w:val="14"/>
                <w:szCs w:val="14"/>
                <w:color w:val="auto"/>
              </w:rPr>
              <w:t>Programming</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363</w:t>
            </w:r>
          </w:p>
        </w:tc>
        <w:tc>
          <w:tcPr>
            <w:tcW w:w="220" w:type="dxa"/>
            <w:vAlign w:val="bottom"/>
          </w:tcPr>
          <w:p>
            <w:pPr>
              <w:spacing w:after="0"/>
              <w:rPr>
                <w:sz w:val="12"/>
                <w:szCs w:val="12"/>
                <w:color w:val="auto"/>
              </w:rPr>
            </w:pPr>
          </w:p>
        </w:tc>
        <w:tc>
          <w:tcPr>
            <w:tcW w:w="1300" w:type="dxa"/>
            <w:vAlign w:val="bottom"/>
            <w:gridSpan w:val="5"/>
          </w:tcPr>
          <w:p>
            <w:pPr>
              <w:jc w:val="right"/>
              <w:ind w:right="300"/>
              <w:spacing w:after="0" w:line="149" w:lineRule="exact"/>
              <w:rPr>
                <w:sz w:val="20"/>
                <w:szCs w:val="20"/>
                <w:color w:val="auto"/>
              </w:rPr>
            </w:pPr>
            <w:r>
              <w:rPr>
                <w:rFonts w:ascii="Arial" w:cs="Arial" w:eastAsia="Arial" w:hAnsi="Arial"/>
                <w:sz w:val="14"/>
                <w:szCs w:val="14"/>
                <w:color w:val="auto"/>
              </w:rPr>
              <w:t>361</w:t>
            </w:r>
          </w:p>
        </w:tc>
        <w:tc>
          <w:tcPr>
            <w:tcW w:w="7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4"/>
              </w:rPr>
              <w:t>(1%)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180"/>
              <w:spacing w:after="0"/>
              <w:rPr>
                <w:sz w:val="20"/>
                <w:szCs w:val="20"/>
                <w:color w:val="auto"/>
              </w:rPr>
            </w:pPr>
            <w:r>
              <w:rPr>
                <w:rFonts w:ascii="Arial" w:cs="Arial" w:eastAsia="Arial" w:hAnsi="Arial"/>
                <w:sz w:val="14"/>
                <w:szCs w:val="14"/>
                <w:color w:val="auto"/>
              </w:rPr>
              <w:t>Corporate &amp; Other</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color w:val="auto"/>
              </w:rPr>
              <w:t>125</w:t>
            </w:r>
          </w:p>
        </w:tc>
        <w:tc>
          <w:tcPr>
            <w:tcW w:w="72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color w:val="auto"/>
                <w:w w:val="99"/>
              </w:rPr>
              <w:t>15%</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4"/>
                <w:szCs w:val="14"/>
                <w:b w:val="1"/>
                <w:bCs w:val="1"/>
                <w:color w:val="auto"/>
              </w:rPr>
              <w:t>Total Consolidated Revenue</w:t>
            </w:r>
          </w:p>
        </w:tc>
        <w:tc>
          <w:tcPr>
            <w:tcW w:w="440" w:type="dxa"/>
            <w:vAlign w:val="bottom"/>
          </w:tcPr>
          <w:p>
            <w:pPr>
              <w:jc w:val="right"/>
              <w:ind w:right="324"/>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8,389</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8,835</w:t>
            </w:r>
          </w:p>
        </w:tc>
        <w:tc>
          <w:tcPr>
            <w:tcW w:w="7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8"/>
              </w:rPr>
              <w:t>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r>
              <w:rPr>
                <w:rFonts w:ascii="Arial" w:cs="Arial" w:eastAsia="Arial" w:hAnsi="Arial"/>
                <w:sz w:val="14"/>
                <w:szCs w:val="14"/>
                <w:b w:val="1"/>
                <w:bCs w:val="1"/>
                <w:color w:val="auto"/>
              </w:rPr>
              <w:t>Operating Cash Flow (OCF)</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440" w:type="dxa"/>
            <w:vAlign w:val="bottom"/>
          </w:tcPr>
          <w:p>
            <w:pPr>
              <w:ind w:left="180"/>
              <w:spacing w:after="0" w:line="149" w:lineRule="exact"/>
              <w:rPr>
                <w:sz w:val="20"/>
                <w:szCs w:val="20"/>
                <w:color w:val="auto"/>
              </w:rPr>
            </w:pPr>
            <w:r>
              <w:rPr>
                <w:rFonts w:ascii="Arial" w:cs="Arial" w:eastAsia="Arial" w:hAnsi="Arial"/>
                <w:sz w:val="14"/>
                <w:szCs w:val="14"/>
                <w:color w:val="auto"/>
              </w:rPr>
              <w:t>Cable</w:t>
            </w:r>
          </w:p>
        </w:tc>
        <w:tc>
          <w:tcPr>
            <w:tcW w:w="440" w:type="dxa"/>
            <w:vAlign w:val="bottom"/>
          </w:tcPr>
          <w:p>
            <w:pPr>
              <w:jc w:val="right"/>
              <w:ind w:right="324"/>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3,142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5"/>
          </w:tcPr>
          <w:p>
            <w:pPr>
              <w:jc w:val="right"/>
              <w:ind w:right="300"/>
              <w:spacing w:after="0" w:line="149" w:lineRule="exact"/>
              <w:rPr>
                <w:sz w:val="20"/>
                <w:szCs w:val="20"/>
                <w:color w:val="auto"/>
              </w:rPr>
            </w:pPr>
            <w:r>
              <w:rPr>
                <w:rFonts w:ascii="Arial" w:cs="Arial" w:eastAsia="Arial" w:hAnsi="Arial"/>
                <w:sz w:val="14"/>
                <w:szCs w:val="14"/>
                <w:color w:val="auto"/>
              </w:rPr>
              <w:t>3,406</w:t>
            </w:r>
          </w:p>
        </w:tc>
        <w:tc>
          <w:tcPr>
            <w:tcW w:w="7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8"/>
              </w:rPr>
              <w:t>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ind w:left="180"/>
              <w:spacing w:after="0" w:line="149" w:lineRule="exact"/>
              <w:rPr>
                <w:sz w:val="20"/>
                <w:szCs w:val="20"/>
                <w:color w:val="auto"/>
              </w:rPr>
            </w:pPr>
            <w:r>
              <w:rPr>
                <w:rFonts w:ascii="Arial" w:cs="Arial" w:eastAsia="Arial" w:hAnsi="Arial"/>
                <w:sz w:val="14"/>
                <w:szCs w:val="14"/>
                <w:color w:val="auto"/>
              </w:rPr>
              <w:t>Programming</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113</w:t>
            </w:r>
          </w:p>
        </w:tc>
        <w:tc>
          <w:tcPr>
            <w:tcW w:w="220" w:type="dxa"/>
            <w:vAlign w:val="bottom"/>
          </w:tcPr>
          <w:p>
            <w:pPr>
              <w:spacing w:after="0"/>
              <w:rPr>
                <w:sz w:val="12"/>
                <w:szCs w:val="12"/>
                <w:color w:val="auto"/>
              </w:rPr>
            </w:pPr>
          </w:p>
        </w:tc>
        <w:tc>
          <w:tcPr>
            <w:tcW w:w="1300" w:type="dxa"/>
            <w:vAlign w:val="bottom"/>
            <w:gridSpan w:val="5"/>
          </w:tcPr>
          <w:p>
            <w:pPr>
              <w:jc w:val="right"/>
              <w:ind w:right="300"/>
              <w:spacing w:after="0" w:line="149" w:lineRule="exact"/>
              <w:rPr>
                <w:sz w:val="20"/>
                <w:szCs w:val="20"/>
                <w:color w:val="auto"/>
              </w:rPr>
            </w:pPr>
            <w:r>
              <w:rPr>
                <w:rFonts w:ascii="Arial" w:cs="Arial" w:eastAsia="Arial" w:hAnsi="Arial"/>
                <w:sz w:val="14"/>
                <w:szCs w:val="14"/>
                <w:color w:val="auto"/>
              </w:rPr>
              <w:t>112</w:t>
            </w:r>
          </w:p>
        </w:tc>
        <w:tc>
          <w:tcPr>
            <w:tcW w:w="7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4"/>
              </w:rPr>
              <w:t>(2%)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180"/>
              <w:spacing w:after="0"/>
              <w:rPr>
                <w:sz w:val="20"/>
                <w:szCs w:val="20"/>
                <w:color w:val="auto"/>
              </w:rPr>
            </w:pPr>
            <w:r>
              <w:rPr>
                <w:rFonts w:ascii="Arial" w:cs="Arial" w:eastAsia="Arial" w:hAnsi="Arial"/>
                <w:sz w:val="14"/>
                <w:szCs w:val="14"/>
                <w:color w:val="auto"/>
              </w:rPr>
              <w:t>Corporate &amp; Other</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color w:val="auto"/>
              </w:rPr>
              <w:t>(74)</w:t>
            </w:r>
          </w:p>
        </w:tc>
        <w:tc>
          <w:tcPr>
            <w:tcW w:w="72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color w:val="auto"/>
                <w:w w:val="98"/>
              </w:rPr>
              <w:t>9%</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4"/>
                <w:szCs w:val="14"/>
                <w:b w:val="1"/>
                <w:bCs w:val="1"/>
                <w:color w:val="auto"/>
              </w:rPr>
              <w:t>Total Consolidated OCF</w:t>
            </w:r>
          </w:p>
        </w:tc>
        <w:tc>
          <w:tcPr>
            <w:tcW w:w="440" w:type="dxa"/>
            <w:vAlign w:val="bottom"/>
          </w:tcPr>
          <w:p>
            <w:pPr>
              <w:jc w:val="right"/>
              <w:ind w:right="324"/>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3,174</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3,444</w:t>
            </w:r>
          </w:p>
        </w:tc>
        <w:tc>
          <w:tcPr>
            <w:tcW w:w="7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8"/>
              </w:rPr>
              <w:t>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i w:val="1"/>
          <w:iCs w:val="1"/>
          <w:color w:val="auto"/>
        </w:rPr>
        <w:t>For additional detail on revenue and operating expenses, customer metrics, and capital expenditures,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4"/>
          <w:szCs w:val="14"/>
          <w:b w:val="1"/>
          <w:bCs w:val="1"/>
          <w:i w:val="1"/>
          <w:iCs w:val="1"/>
          <w:color w:val="auto"/>
        </w:rPr>
        <w:t xml:space="preserve">Earnings per Share (EPS) </w:t>
      </w:r>
      <w:r>
        <w:rPr>
          <w:rFonts w:ascii="Arial" w:cs="Arial" w:eastAsia="Arial" w:hAnsi="Arial"/>
          <w:sz w:val="14"/>
          <w:szCs w:val="14"/>
          <w:color w:val="auto"/>
        </w:rPr>
        <w:t>for the quarter ended March 31, 2009 was $0.27, an increase of 13% compared to the $0.24 reported in the same time period in 2008. Excluding $144 million or a $0.05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per share gain related to the January 2008 dissolution of the Insight Midwest partnership, </w:t>
      </w:r>
      <w:r>
        <w:rPr>
          <w:rFonts w:ascii="Arial" w:cs="Arial" w:eastAsia="Arial" w:hAnsi="Arial"/>
          <w:sz w:val="14"/>
          <w:szCs w:val="14"/>
          <w:b w:val="1"/>
          <w:bCs w:val="1"/>
          <w:color w:val="auto"/>
        </w:rPr>
        <w:t>Adjusted Earnings per Share</w:t>
      </w:r>
      <w:r>
        <w:rPr>
          <w:rFonts w:ascii="Arial" w:cs="Arial" w:eastAsia="Arial" w:hAnsi="Arial"/>
          <w:sz w:val="20"/>
          <w:szCs w:val="20"/>
          <w:color w:val="auto"/>
          <w:vertAlign w:val="superscript"/>
        </w:rPr>
        <w:t>1</w:t>
      </w:r>
      <w:r>
        <w:rPr>
          <w:rFonts w:ascii="Arial" w:cs="Arial" w:eastAsia="Arial" w:hAnsi="Arial"/>
          <w:sz w:val="14"/>
          <w:szCs w:val="14"/>
          <w:color w:val="auto"/>
        </w:rPr>
        <w:t xml:space="preserve"> increased 42%.</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1st Quarter</w:t>
            </w:r>
          </w:p>
        </w:tc>
        <w:tc>
          <w:tcPr>
            <w:tcW w:w="10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56"/>
        </w:trPr>
        <w:tc>
          <w:tcPr>
            <w:tcW w:w="744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3"/>
        </w:trPr>
        <w:tc>
          <w:tcPr>
            <w:tcW w:w="7440" w:type="dxa"/>
            <w:vAlign w:val="bottom"/>
          </w:tcPr>
          <w:p>
            <w:pPr>
              <w:spacing w:after="0"/>
              <w:rPr>
                <w:sz w:val="20"/>
                <w:szCs w:val="20"/>
                <w:color w:val="auto"/>
              </w:rPr>
            </w:pPr>
            <w:r>
              <w:rPr>
                <w:rFonts w:ascii="Arial" w:cs="Arial" w:eastAsia="Arial" w:hAnsi="Arial"/>
                <w:sz w:val="14"/>
                <w:szCs w:val="14"/>
                <w:color w:val="auto"/>
              </w:rPr>
              <w:t>Earnings per Share</w:t>
            </w:r>
          </w:p>
        </w:tc>
        <w:tc>
          <w:tcPr>
            <w:tcW w:w="440" w:type="dxa"/>
            <w:vAlign w:val="bottom"/>
          </w:tcPr>
          <w:p>
            <w:pPr>
              <w:jc w:val="right"/>
              <w:ind w:right="32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0.24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0.27</w:t>
            </w:r>
          </w:p>
        </w:tc>
        <w:tc>
          <w:tcPr>
            <w:tcW w:w="260" w:type="dxa"/>
            <w:vAlign w:val="bottom"/>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Adjustments, net of tax:</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120"/>
              <w:spacing w:after="0"/>
              <w:rPr>
                <w:sz w:val="20"/>
                <w:szCs w:val="20"/>
                <w:color w:val="auto"/>
              </w:rPr>
            </w:pPr>
            <w:r>
              <w:rPr>
                <w:rFonts w:ascii="Arial" w:cs="Arial" w:eastAsia="Arial" w:hAnsi="Arial"/>
                <w:sz w:val="14"/>
                <w:szCs w:val="14"/>
                <w:color w:val="auto"/>
              </w:rPr>
              <w:t>Gain from dissolution of cable partnership</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7440" w:type="dxa"/>
            <w:vAlign w:val="bottom"/>
          </w:tcPr>
          <w:p>
            <w:pPr>
              <w:ind w:left="100"/>
              <w:spacing w:after="0"/>
              <w:rPr>
                <w:sz w:val="20"/>
                <w:szCs w:val="20"/>
                <w:color w:val="auto"/>
              </w:rPr>
            </w:pPr>
            <w:r>
              <w:rPr>
                <w:rFonts w:ascii="Arial" w:cs="Arial" w:eastAsia="Arial" w:hAnsi="Arial"/>
                <w:sz w:val="14"/>
                <w:szCs w:val="14"/>
                <w:b w:val="1"/>
                <w:bCs w:val="1"/>
                <w:color w:val="auto"/>
              </w:rPr>
              <w:t>Adjusted Earnings per Share</w:t>
            </w:r>
          </w:p>
        </w:tc>
        <w:tc>
          <w:tcPr>
            <w:tcW w:w="440" w:type="dxa"/>
            <w:vAlign w:val="bottom"/>
          </w:tcPr>
          <w:p>
            <w:pPr>
              <w:jc w:val="right"/>
              <w:ind w:right="322"/>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0.19</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0.27</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42%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 xml:space="preserve">Free Cash Flow* </w:t>
      </w:r>
      <w:r>
        <w:rPr>
          <w:rFonts w:ascii="Arial" w:cs="Arial" w:eastAsia="Arial" w:hAnsi="Arial"/>
          <w:sz w:val="14"/>
          <w:szCs w:val="14"/>
          <w:color w:val="auto"/>
        </w:rPr>
        <w:t>totaled $1.4 billion in the first quarter of 2009 as compared to $702 million in 2008, a 95% increase. The increase in Free Cash Flow (FCF) was due primarily to growth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Consolidated Operating Cash Flow and lower capital expenditures. Consolidated capital expenditures decreased 19% from the prior year to $1.2 billion, or 13.1% of total revenue, reflecting a decreased level of capital intensity at Comcast Cable.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1st Quarter</w:t>
            </w:r>
          </w:p>
        </w:tc>
        <w:tc>
          <w:tcPr>
            <w:tcW w:w="10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56"/>
        </w:trPr>
        <w:tc>
          <w:tcPr>
            <w:tcW w:w="74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gridSpan w:val="3"/>
          </w:tcPr>
          <w:p>
            <w:pPr>
              <w:jc w:val="right"/>
              <w:ind w:right="148"/>
              <w:spacing w:after="0" w:line="155"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3"/>
        </w:trPr>
        <w:tc>
          <w:tcPr>
            <w:tcW w:w="74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tcPr>
          <w:p>
            <w:pPr>
              <w:jc w:val="right"/>
              <w:ind w:right="32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2,259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2,512</w:t>
            </w:r>
          </w:p>
        </w:tc>
        <w:tc>
          <w:tcPr>
            <w:tcW w:w="240" w:type="dxa"/>
            <w:vAlign w:val="bottom"/>
          </w:tcPr>
          <w:p>
            <w:pPr>
              <w:spacing w:after="0"/>
              <w:rPr>
                <w:sz w:val="24"/>
                <w:szCs w:val="24"/>
                <w:color w:val="auto"/>
              </w:rPr>
            </w:pPr>
          </w:p>
        </w:tc>
        <w:tc>
          <w:tcPr>
            <w:tcW w:w="48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color w:val="auto"/>
                <w:w w:val="92"/>
              </w:rPr>
              <w:t>11%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4"/>
              </w:rPr>
              <w:t>(1,431)</w:t>
            </w:r>
          </w:p>
        </w:tc>
        <w:tc>
          <w:tcPr>
            <w:tcW w:w="22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4"/>
                <w:szCs w:val="14"/>
                <w:color w:val="auto"/>
              </w:rPr>
              <w:t>(1,160)</w:t>
            </w:r>
          </w:p>
        </w:tc>
        <w:tc>
          <w:tcPr>
            <w:tcW w:w="720" w:type="dxa"/>
            <w:vAlign w:val="bottom"/>
            <w:gridSpan w:val="2"/>
          </w:tcPr>
          <w:p>
            <w:pPr>
              <w:jc w:val="center"/>
              <w:ind w:left="288"/>
              <w:spacing w:after="0"/>
              <w:rPr>
                <w:sz w:val="20"/>
                <w:szCs w:val="20"/>
                <w:color w:val="auto"/>
              </w:rPr>
            </w:pPr>
            <w:r>
              <w:rPr>
                <w:rFonts w:ascii="Arial" w:cs="Arial" w:eastAsia="Arial" w:hAnsi="Arial"/>
                <w:sz w:val="14"/>
                <w:szCs w:val="14"/>
                <w:color w:val="auto"/>
                <w:w w:val="96"/>
              </w:rPr>
              <w:t>(19%)</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Cash Paid for Capitalized Software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4"/>
                <w:szCs w:val="14"/>
                <w:color w:val="auto"/>
              </w:rPr>
              <w:t>(105)</w:t>
            </w:r>
          </w:p>
        </w:tc>
        <w:tc>
          <w:tcPr>
            <w:tcW w:w="720" w:type="dxa"/>
            <w:vAlign w:val="bottom"/>
            <w:gridSpan w:val="2"/>
          </w:tcPr>
          <w:p>
            <w:pPr>
              <w:jc w:val="center"/>
              <w:ind w:left="288"/>
              <w:spacing w:after="0"/>
              <w:rPr>
                <w:sz w:val="20"/>
                <w:szCs w:val="20"/>
                <w:color w:val="auto"/>
              </w:rPr>
            </w:pPr>
            <w:r>
              <w:rPr>
                <w:rFonts w:ascii="Arial" w:cs="Arial" w:eastAsia="Arial" w:hAnsi="Arial"/>
                <w:sz w:val="14"/>
                <w:szCs w:val="14"/>
                <w:color w:val="auto"/>
                <w:w w:val="98"/>
              </w:rPr>
              <w:t>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Cash Paid for Other Intangible Assets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5"/>
                <w:szCs w:val="15"/>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4"/>
                <w:szCs w:val="14"/>
                <w:color w:val="auto"/>
              </w:rPr>
              <w:t>(28)</w:t>
            </w:r>
          </w:p>
        </w:tc>
        <w:tc>
          <w:tcPr>
            <w:tcW w:w="720" w:type="dxa"/>
            <w:vAlign w:val="bottom"/>
            <w:gridSpan w:val="2"/>
          </w:tcPr>
          <w:p>
            <w:pPr>
              <w:jc w:val="center"/>
              <w:ind w:left="288"/>
              <w:spacing w:after="0"/>
              <w:rPr>
                <w:sz w:val="20"/>
                <w:szCs w:val="20"/>
                <w:color w:val="auto"/>
              </w:rPr>
            </w:pPr>
            <w:r>
              <w:rPr>
                <w:rFonts w:ascii="Arial" w:cs="Arial" w:eastAsia="Arial" w:hAnsi="Arial"/>
                <w:sz w:val="14"/>
                <w:szCs w:val="14"/>
                <w:color w:val="auto"/>
                <w:w w:val="98"/>
              </w:rPr>
              <w:t>4%</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4"/>
                <w:szCs w:val="14"/>
                <w:color w:val="auto"/>
              </w:rPr>
              <w:t>Adjustments for Payment of Tax on Nonoperating Items</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color w:val="auto"/>
              </w:rPr>
              <w:t>147</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440" w:type="dxa"/>
            <w:vAlign w:val="bottom"/>
          </w:tcPr>
          <w:p>
            <w:pPr>
              <w:jc w:val="right"/>
              <w:ind w:right="322"/>
              <w:spacing w:after="0"/>
              <w:rPr>
                <w:sz w:val="20"/>
                <w:szCs w:val="20"/>
                <w:color w:val="auto"/>
              </w:rPr>
            </w:pPr>
            <w:r>
              <w:rPr>
                <w:rFonts w:ascii="Arial" w:cs="Arial" w:eastAsia="Arial" w:hAnsi="Arial"/>
                <w:sz w:val="10"/>
                <w:szCs w:val="10"/>
                <w:b w:val="1"/>
                <w:bCs w:val="1"/>
                <w:color w:val="auto"/>
                <w:w w:val="71"/>
              </w:rPr>
              <w:t>$</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702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1,366</w:t>
            </w:r>
          </w:p>
        </w:tc>
        <w:tc>
          <w:tcPr>
            <w:tcW w:w="7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9"/>
              </w:rPr>
              <w:t>95%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The definition of Free Cash Flow remains unchanged and specifically excludes any impact from the 2008 or 2009 Economic Stimulus packages.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Cable Segment Results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from the Cable segment increased 5% to $8.3 billion for the first quarter of 2009 as compared to $7.9 billion in the first quarter of 2008. This increase reflects customer upgrades to digital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advanced video services, continued growth in high-speed Internet (HSI), Comcast Digital Voice (CDV) and Comcast Business Services, partially offset by video customer losses and lower advertising revenue. The monthly average total revenue per video customer increased 8% from $106.70 to $115.27, reflecting an increasing number of customers taking multiple products.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b w:val="1"/>
          <w:bCs w:val="1"/>
          <w:i w:val="1"/>
          <w:iCs w:val="1"/>
          <w:color w:val="auto"/>
        </w:rPr>
        <w:t xml:space="preserve">Operating Cash Flow </w:t>
      </w:r>
      <w:r>
        <w:rPr>
          <w:rFonts w:ascii="Arial" w:cs="Arial" w:eastAsia="Arial" w:hAnsi="Arial"/>
          <w:sz w:val="14"/>
          <w:szCs w:val="14"/>
          <w:color w:val="auto"/>
        </w:rPr>
        <w:t>grew 8% to $3.4 billion in the first quarter of 2009 from $3.1 billion in the first quarter of 2008. Operating Cash Flow margin was 40.8%, an increase from the 39.7% reported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first quarter of 2008, reflecting a focus on expense management, improved operating efficiencies in CDV and HSI and lower marketing expenses, offset by increases in video programming and technical service expenses and additional investments in Business Services.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Customers</w:t>
      </w:r>
      <w:r>
        <w:rPr>
          <w:rFonts w:ascii="Arial" w:cs="Arial" w:eastAsia="Arial" w:hAnsi="Arial"/>
          <w:sz w:val="20"/>
          <w:szCs w:val="20"/>
          <w:b w:val="1"/>
          <w:bCs w:val="1"/>
          <w:i w:val="1"/>
          <w:iCs w:val="1"/>
          <w:color w:val="auto"/>
          <w:vertAlign w:val="superscript"/>
        </w:rPr>
        <w:t>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of March 31, 2009, Comcast’s video, high-speed Internet and voice customers totaled 46.1 million, reflecting 549,000 net additions during the first quarter of 2009.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4"/>
                <w:szCs w:val="14"/>
                <w:color w:val="auto"/>
              </w:rPr>
            </w:pP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7"/>
              </w:rPr>
              <w:t>1Q08</w:t>
            </w: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Customers</w:t>
            </w:r>
          </w:p>
        </w:tc>
        <w:tc>
          <w:tcPr>
            <w:tcW w:w="10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Growth</w:t>
            </w:r>
          </w:p>
        </w:tc>
        <w:tc>
          <w:tcPr>
            <w:tcW w:w="1380" w:type="dxa"/>
            <w:vAlign w:val="bottom"/>
          </w:tcPr>
          <w:p>
            <w:pPr>
              <w:spacing w:after="0"/>
              <w:rPr>
                <w:sz w:val="14"/>
                <w:szCs w:val="14"/>
                <w:color w:val="auto"/>
              </w:rPr>
            </w:pPr>
          </w:p>
        </w:tc>
        <w:tc>
          <w:tcPr>
            <w:tcW w:w="1180" w:type="dxa"/>
            <w:vAlign w:val="bottom"/>
            <w:gridSpan w:val="5"/>
          </w:tcPr>
          <w:p>
            <w:pPr>
              <w:ind w:left="300"/>
              <w:spacing w:after="0"/>
              <w:rPr>
                <w:sz w:val="20"/>
                <w:szCs w:val="20"/>
                <w:color w:val="auto"/>
              </w:rPr>
            </w:pPr>
            <w:r>
              <w:rPr>
                <w:rFonts w:ascii="Arial" w:cs="Arial" w:eastAsia="Arial" w:hAnsi="Arial"/>
                <w:sz w:val="14"/>
                <w:szCs w:val="14"/>
                <w:b w:val="1"/>
                <w:bCs w:val="1"/>
                <w:color w:val="auto"/>
              </w:rPr>
              <w:t>Net Adds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7"/>
              </w:rPr>
              <w:t>1Q09</w:t>
            </w:r>
          </w:p>
        </w:tc>
        <w:tc>
          <w:tcPr>
            <w:tcW w:w="5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1Q09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860" w:type="dxa"/>
            <w:vAlign w:val="bottom"/>
          </w:tcPr>
          <w:p>
            <w:pPr>
              <w:spacing w:after="0"/>
              <w:rPr>
                <w:sz w:val="20"/>
                <w:szCs w:val="20"/>
                <w:color w:val="auto"/>
              </w:rPr>
            </w:pPr>
            <w:r>
              <w:rPr>
                <w:rFonts w:ascii="Arial" w:cs="Arial" w:eastAsia="Arial" w:hAnsi="Arial"/>
                <w:sz w:val="14"/>
                <w:szCs w:val="14"/>
                <w:color w:val="auto"/>
              </w:rPr>
              <w:t>Video Customers</w:t>
            </w:r>
          </w:p>
        </w:tc>
        <w:tc>
          <w:tcPr>
            <w:tcW w:w="4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24,701</w:t>
            </w:r>
          </w:p>
        </w:tc>
        <w:tc>
          <w:tcPr>
            <w:tcW w:w="1420" w:type="dxa"/>
            <w:vAlign w:val="bottom"/>
            <w:gridSpan w:val="5"/>
          </w:tcPr>
          <w:p>
            <w:pPr>
              <w:jc w:val="right"/>
              <w:ind w:right="280"/>
              <w:spacing w:after="0"/>
              <w:rPr>
                <w:sz w:val="20"/>
                <w:szCs w:val="20"/>
                <w:color w:val="auto"/>
              </w:rPr>
            </w:pPr>
            <w:r>
              <w:rPr>
                <w:rFonts w:ascii="Arial" w:cs="Arial" w:eastAsia="Arial" w:hAnsi="Arial"/>
                <w:sz w:val="14"/>
                <w:szCs w:val="14"/>
                <w:color w:val="auto"/>
              </w:rPr>
              <w:t>24,104</w:t>
            </w:r>
          </w:p>
        </w:tc>
        <w:tc>
          <w:tcPr>
            <w:tcW w:w="760" w:type="dxa"/>
            <w:vAlign w:val="bottom"/>
            <w:gridSpan w:val="2"/>
          </w:tcPr>
          <w:p>
            <w:pPr>
              <w:jc w:val="center"/>
              <w:ind w:left="288"/>
              <w:spacing w:after="0"/>
              <w:rPr>
                <w:sz w:val="20"/>
                <w:szCs w:val="20"/>
                <w:color w:val="auto"/>
              </w:rPr>
            </w:pPr>
            <w:r>
              <w:rPr>
                <w:rFonts w:ascii="Arial" w:cs="Arial" w:eastAsia="Arial" w:hAnsi="Arial"/>
                <w:sz w:val="14"/>
                <w:szCs w:val="14"/>
                <w:color w:val="auto"/>
                <w:w w:val="94"/>
              </w:rPr>
              <w:t>(2%)</w:t>
            </w:r>
          </w:p>
        </w:tc>
        <w:tc>
          <w:tcPr>
            <w:tcW w:w="320" w:type="dxa"/>
            <w:vAlign w:val="bottom"/>
          </w:tcPr>
          <w:p>
            <w:pPr>
              <w:spacing w:after="0"/>
              <w:rPr>
                <w:sz w:val="24"/>
                <w:szCs w:val="24"/>
                <w:color w:val="auto"/>
              </w:rPr>
            </w:pPr>
          </w:p>
        </w:tc>
        <w:tc>
          <w:tcPr>
            <w:tcW w:w="2180" w:type="dxa"/>
            <w:vAlign w:val="bottom"/>
            <w:gridSpan w:val="4"/>
          </w:tcPr>
          <w:p>
            <w:pPr>
              <w:jc w:val="center"/>
              <w:ind w:left="1788"/>
              <w:spacing w:after="0"/>
              <w:rPr>
                <w:sz w:val="20"/>
                <w:szCs w:val="20"/>
                <w:color w:val="auto"/>
              </w:rPr>
            </w:pPr>
            <w:r>
              <w:rPr>
                <w:rFonts w:ascii="Arial" w:cs="Arial" w:eastAsia="Arial" w:hAnsi="Arial"/>
                <w:sz w:val="14"/>
                <w:szCs w:val="14"/>
                <w:color w:val="auto"/>
                <w:w w:val="96"/>
              </w:rPr>
              <w:t>(78)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Arial" w:cs="Arial" w:eastAsia="Arial" w:hAnsi="Arial"/>
                <w:sz w:val="14"/>
                <w:szCs w:val="14"/>
                <w:color w:val="auto"/>
              </w:rPr>
              <w:t>High-Speed Internet Customers</w:t>
            </w: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14,085</w:t>
            </w:r>
          </w:p>
        </w:tc>
        <w:tc>
          <w:tcPr>
            <w:tcW w:w="1420" w:type="dxa"/>
            <w:vAlign w:val="bottom"/>
            <w:gridSpan w:val="5"/>
          </w:tcPr>
          <w:p>
            <w:pPr>
              <w:jc w:val="right"/>
              <w:ind w:right="280"/>
              <w:spacing w:after="0"/>
              <w:rPr>
                <w:sz w:val="20"/>
                <w:szCs w:val="20"/>
                <w:color w:val="auto"/>
              </w:rPr>
            </w:pPr>
            <w:r>
              <w:rPr>
                <w:rFonts w:ascii="Arial" w:cs="Arial" w:eastAsia="Arial" w:hAnsi="Arial"/>
                <w:sz w:val="14"/>
                <w:szCs w:val="14"/>
                <w:color w:val="auto"/>
              </w:rPr>
              <w:t>15,258</w:t>
            </w:r>
          </w:p>
        </w:tc>
        <w:tc>
          <w:tcPr>
            <w:tcW w:w="760" w:type="dxa"/>
            <w:vAlign w:val="bottom"/>
            <w:gridSpan w:val="2"/>
          </w:tcPr>
          <w:p>
            <w:pPr>
              <w:jc w:val="center"/>
              <w:ind w:left="308"/>
              <w:spacing w:after="0"/>
              <w:rPr>
                <w:sz w:val="20"/>
                <w:szCs w:val="20"/>
                <w:color w:val="auto"/>
              </w:rPr>
            </w:pPr>
            <w:r>
              <w:rPr>
                <w:rFonts w:ascii="Arial" w:cs="Arial" w:eastAsia="Arial" w:hAnsi="Arial"/>
                <w:sz w:val="14"/>
                <w:szCs w:val="14"/>
                <w:color w:val="auto"/>
                <w:w w:val="88"/>
              </w:rPr>
              <w:t>8%</w:t>
            </w:r>
          </w:p>
        </w:tc>
        <w:tc>
          <w:tcPr>
            <w:tcW w:w="320" w:type="dxa"/>
            <w:vAlign w:val="bottom"/>
          </w:tcPr>
          <w:p>
            <w:pPr>
              <w:spacing w:after="0"/>
              <w:rPr>
                <w:sz w:val="15"/>
                <w:szCs w:val="15"/>
                <w:color w:val="auto"/>
              </w:rPr>
            </w:pPr>
          </w:p>
        </w:tc>
        <w:tc>
          <w:tcPr>
            <w:tcW w:w="2180" w:type="dxa"/>
            <w:vAlign w:val="bottom"/>
            <w:gridSpan w:val="4"/>
          </w:tcPr>
          <w:p>
            <w:pPr>
              <w:jc w:val="center"/>
              <w:ind w:left="1808"/>
              <w:spacing w:after="0"/>
              <w:rPr>
                <w:sz w:val="20"/>
                <w:szCs w:val="20"/>
                <w:color w:val="auto"/>
              </w:rPr>
            </w:pPr>
            <w:r>
              <w:rPr>
                <w:rFonts w:ascii="Arial" w:cs="Arial" w:eastAsia="Arial" w:hAnsi="Arial"/>
                <w:sz w:val="14"/>
                <w:szCs w:val="14"/>
                <w:color w:val="auto"/>
                <w:w w:val="94"/>
              </w:rPr>
              <w:t>329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20"/>
                <w:szCs w:val="20"/>
                <w:color w:val="auto"/>
              </w:rPr>
            </w:pPr>
            <w:r>
              <w:rPr>
                <w:rFonts w:ascii="Arial" w:cs="Arial" w:eastAsia="Arial" w:hAnsi="Arial"/>
                <w:sz w:val="14"/>
                <w:szCs w:val="14"/>
                <w:color w:val="auto"/>
              </w:rPr>
              <w:t>Comcast Digital Voice Customers</w:t>
            </w: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5,088</w:t>
            </w:r>
          </w:p>
        </w:tc>
        <w:tc>
          <w:tcPr>
            <w:tcW w:w="1420" w:type="dxa"/>
            <w:vAlign w:val="bottom"/>
            <w:gridSpan w:val="5"/>
          </w:tcPr>
          <w:p>
            <w:pPr>
              <w:jc w:val="right"/>
              <w:ind w:right="280"/>
              <w:spacing w:after="0"/>
              <w:rPr>
                <w:sz w:val="20"/>
                <w:szCs w:val="20"/>
                <w:color w:val="auto"/>
              </w:rPr>
            </w:pPr>
            <w:r>
              <w:rPr>
                <w:rFonts w:ascii="Arial" w:cs="Arial" w:eastAsia="Arial" w:hAnsi="Arial"/>
                <w:sz w:val="14"/>
                <w:szCs w:val="14"/>
                <w:color w:val="auto"/>
              </w:rPr>
              <w:t>6,769</w:t>
            </w:r>
          </w:p>
        </w:tc>
        <w:tc>
          <w:tcPr>
            <w:tcW w:w="760" w:type="dxa"/>
            <w:vAlign w:val="bottom"/>
            <w:gridSpan w:val="2"/>
          </w:tcPr>
          <w:p>
            <w:pPr>
              <w:jc w:val="center"/>
              <w:ind w:left="308"/>
              <w:spacing w:after="0"/>
              <w:rPr>
                <w:sz w:val="20"/>
                <w:szCs w:val="20"/>
                <w:color w:val="auto"/>
              </w:rPr>
            </w:pPr>
            <w:r>
              <w:rPr>
                <w:rFonts w:ascii="Arial" w:cs="Arial" w:eastAsia="Arial" w:hAnsi="Arial"/>
                <w:sz w:val="14"/>
                <w:szCs w:val="14"/>
                <w:color w:val="auto"/>
                <w:w w:val="92"/>
              </w:rPr>
              <w:t>33%</w:t>
            </w:r>
          </w:p>
        </w:tc>
        <w:tc>
          <w:tcPr>
            <w:tcW w:w="320" w:type="dxa"/>
            <w:vAlign w:val="bottom"/>
          </w:tcPr>
          <w:p>
            <w:pPr>
              <w:spacing w:after="0"/>
              <w:rPr>
                <w:sz w:val="15"/>
                <w:szCs w:val="15"/>
                <w:color w:val="auto"/>
              </w:rPr>
            </w:pPr>
          </w:p>
        </w:tc>
        <w:tc>
          <w:tcPr>
            <w:tcW w:w="2180" w:type="dxa"/>
            <w:vAlign w:val="bottom"/>
            <w:gridSpan w:val="4"/>
          </w:tcPr>
          <w:p>
            <w:pPr>
              <w:jc w:val="center"/>
              <w:ind w:left="1808"/>
              <w:spacing w:after="0"/>
              <w:rPr>
                <w:sz w:val="20"/>
                <w:szCs w:val="20"/>
                <w:color w:val="auto"/>
              </w:rPr>
            </w:pPr>
            <w:r>
              <w:rPr>
                <w:rFonts w:ascii="Arial" w:cs="Arial" w:eastAsia="Arial" w:hAnsi="Arial"/>
                <w:sz w:val="14"/>
                <w:szCs w:val="14"/>
                <w:color w:val="auto"/>
                <w:w w:val="94"/>
              </w:rPr>
              <w:t>298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Circuit-Switched Voice Customers</w:t>
            </w: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66</w:t>
            </w:r>
          </w:p>
        </w:tc>
        <w:tc>
          <w:tcPr>
            <w:tcW w:w="14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NM</w:t>
            </w:r>
          </w:p>
        </w:tc>
        <w:tc>
          <w:tcPr>
            <w:tcW w:w="1380" w:type="dxa"/>
            <w:vAlign w:val="bottom"/>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4860" w:type="dxa"/>
            <w:vAlign w:val="bottom"/>
          </w:tcPr>
          <w:p>
            <w:pPr>
              <w:spacing w:after="0"/>
              <w:rPr>
                <w:sz w:val="20"/>
                <w:szCs w:val="20"/>
                <w:color w:val="auto"/>
              </w:rPr>
            </w:pPr>
            <w:r>
              <w:rPr>
                <w:rFonts w:ascii="Arial" w:cs="Arial" w:eastAsia="Arial" w:hAnsi="Arial"/>
                <w:sz w:val="14"/>
                <w:szCs w:val="14"/>
                <w:color w:val="auto"/>
              </w:rPr>
              <w:t>Combined Video, HSI and Voice Customers</w:t>
            </w: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43,940</w:t>
            </w:r>
          </w:p>
        </w:tc>
        <w:tc>
          <w:tcPr>
            <w:tcW w:w="1420" w:type="dxa"/>
            <w:vAlign w:val="bottom"/>
            <w:gridSpan w:val="5"/>
          </w:tcPr>
          <w:p>
            <w:pPr>
              <w:jc w:val="right"/>
              <w:ind w:right="280"/>
              <w:spacing w:after="0"/>
              <w:rPr>
                <w:sz w:val="20"/>
                <w:szCs w:val="20"/>
                <w:color w:val="auto"/>
              </w:rPr>
            </w:pPr>
            <w:r>
              <w:rPr>
                <w:rFonts w:ascii="Arial" w:cs="Arial" w:eastAsia="Arial" w:hAnsi="Arial"/>
                <w:sz w:val="14"/>
                <w:szCs w:val="14"/>
                <w:color w:val="auto"/>
              </w:rPr>
              <w:t>46,133</w:t>
            </w:r>
          </w:p>
        </w:tc>
        <w:tc>
          <w:tcPr>
            <w:tcW w:w="760" w:type="dxa"/>
            <w:vAlign w:val="bottom"/>
            <w:gridSpan w:val="2"/>
          </w:tcPr>
          <w:p>
            <w:pPr>
              <w:jc w:val="center"/>
              <w:ind w:left="308"/>
              <w:spacing w:after="0"/>
              <w:rPr>
                <w:sz w:val="20"/>
                <w:szCs w:val="20"/>
                <w:color w:val="auto"/>
              </w:rPr>
            </w:pPr>
            <w:r>
              <w:rPr>
                <w:rFonts w:ascii="Arial" w:cs="Arial" w:eastAsia="Arial" w:hAnsi="Arial"/>
                <w:sz w:val="14"/>
                <w:szCs w:val="14"/>
                <w:color w:val="auto"/>
                <w:w w:val="88"/>
              </w:rPr>
              <w:t>5%</w:t>
            </w:r>
          </w:p>
        </w:tc>
        <w:tc>
          <w:tcPr>
            <w:tcW w:w="320" w:type="dxa"/>
            <w:vAlign w:val="bottom"/>
          </w:tcPr>
          <w:p>
            <w:pPr>
              <w:spacing w:after="0"/>
              <w:rPr>
                <w:sz w:val="24"/>
                <w:szCs w:val="24"/>
                <w:color w:val="auto"/>
              </w:rPr>
            </w:pPr>
          </w:p>
        </w:tc>
        <w:tc>
          <w:tcPr>
            <w:tcW w:w="2180" w:type="dxa"/>
            <w:vAlign w:val="bottom"/>
            <w:gridSpan w:val="4"/>
          </w:tcPr>
          <w:p>
            <w:pPr>
              <w:jc w:val="center"/>
              <w:ind w:left="1808"/>
              <w:spacing w:after="0"/>
              <w:rPr>
                <w:sz w:val="20"/>
                <w:szCs w:val="20"/>
                <w:color w:val="auto"/>
              </w:rPr>
            </w:pPr>
            <w:r>
              <w:rPr>
                <w:rFonts w:ascii="Arial" w:cs="Arial" w:eastAsia="Arial" w:hAnsi="Arial"/>
                <w:sz w:val="14"/>
                <w:szCs w:val="14"/>
                <w:color w:val="auto"/>
                <w:w w:val="94"/>
              </w:rPr>
              <w:t>549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Digital Video Customers</w:t>
            </w: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16,021</w:t>
            </w:r>
          </w:p>
        </w:tc>
        <w:tc>
          <w:tcPr>
            <w:tcW w:w="14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rPr>
              <w:t>17,293</w:t>
            </w:r>
          </w:p>
        </w:tc>
        <w:tc>
          <w:tcPr>
            <w:tcW w:w="760" w:type="dxa"/>
            <w:vAlign w:val="bottom"/>
            <w:tcBorders>
              <w:bottom w:val="single" w:sz="8" w:color="auto"/>
            </w:tcBorders>
            <w:gridSpan w:val="2"/>
          </w:tcPr>
          <w:p>
            <w:pPr>
              <w:jc w:val="center"/>
              <w:ind w:left="308"/>
              <w:spacing w:after="0"/>
              <w:rPr>
                <w:sz w:val="20"/>
                <w:szCs w:val="20"/>
                <w:color w:val="auto"/>
              </w:rPr>
            </w:pPr>
            <w:r>
              <w:rPr>
                <w:rFonts w:ascii="Arial" w:cs="Arial" w:eastAsia="Arial" w:hAnsi="Arial"/>
                <w:sz w:val="14"/>
                <w:szCs w:val="14"/>
                <w:color w:val="auto"/>
                <w:w w:val="88"/>
              </w:rPr>
              <w:t>8%</w:t>
            </w:r>
          </w:p>
        </w:tc>
        <w:tc>
          <w:tcPr>
            <w:tcW w:w="320" w:type="dxa"/>
            <w:vAlign w:val="bottom"/>
            <w:tcBorders>
              <w:bottom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color w:val="auto"/>
                <w:w w:val="94"/>
              </w:rPr>
              <w:t>288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60" w:type="dxa"/>
            <w:vAlign w:val="bottom"/>
          </w:tcPr>
          <w:p>
            <w:pPr>
              <w:spacing w:after="0"/>
              <w:rPr>
                <w:sz w:val="20"/>
                <w:szCs w:val="20"/>
                <w:color w:val="auto"/>
              </w:rPr>
            </w:pPr>
            <w:r>
              <w:rPr>
                <w:rFonts w:ascii="Arial" w:cs="Arial" w:eastAsia="Arial" w:hAnsi="Arial"/>
                <w:sz w:val="14"/>
                <w:szCs w:val="14"/>
                <w:color w:val="auto"/>
              </w:rPr>
              <w:t>Total Revenue Generating Units</w:t>
            </w: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rPr>
              <w:t>59,961</w:t>
            </w:r>
          </w:p>
        </w:tc>
        <w:tc>
          <w:tcPr>
            <w:tcW w:w="1420" w:type="dxa"/>
            <w:vAlign w:val="bottom"/>
            <w:gridSpan w:val="5"/>
          </w:tcPr>
          <w:p>
            <w:pPr>
              <w:jc w:val="right"/>
              <w:ind w:right="280"/>
              <w:spacing w:after="0"/>
              <w:rPr>
                <w:sz w:val="20"/>
                <w:szCs w:val="20"/>
                <w:color w:val="auto"/>
              </w:rPr>
            </w:pPr>
            <w:r>
              <w:rPr>
                <w:rFonts w:ascii="Arial" w:cs="Arial" w:eastAsia="Arial" w:hAnsi="Arial"/>
                <w:sz w:val="14"/>
                <w:szCs w:val="14"/>
                <w:color w:val="auto"/>
              </w:rPr>
              <w:t>63,426</w:t>
            </w:r>
          </w:p>
        </w:tc>
        <w:tc>
          <w:tcPr>
            <w:tcW w:w="760" w:type="dxa"/>
            <w:vAlign w:val="bottom"/>
            <w:gridSpan w:val="2"/>
          </w:tcPr>
          <w:p>
            <w:pPr>
              <w:jc w:val="center"/>
              <w:ind w:left="308"/>
              <w:spacing w:after="0"/>
              <w:rPr>
                <w:sz w:val="20"/>
                <w:szCs w:val="20"/>
                <w:color w:val="auto"/>
              </w:rPr>
            </w:pPr>
            <w:r>
              <w:rPr>
                <w:rFonts w:ascii="Arial" w:cs="Arial" w:eastAsia="Arial" w:hAnsi="Arial"/>
                <w:sz w:val="14"/>
                <w:szCs w:val="14"/>
                <w:color w:val="auto"/>
                <w:w w:val="88"/>
              </w:rPr>
              <w:t>6%</w:t>
            </w:r>
          </w:p>
        </w:tc>
        <w:tc>
          <w:tcPr>
            <w:tcW w:w="320" w:type="dxa"/>
            <w:vAlign w:val="bottom"/>
          </w:tcPr>
          <w:p>
            <w:pPr>
              <w:spacing w:after="0"/>
              <w:rPr>
                <w:sz w:val="18"/>
                <w:szCs w:val="18"/>
                <w:color w:val="auto"/>
              </w:rPr>
            </w:pPr>
          </w:p>
        </w:tc>
        <w:tc>
          <w:tcPr>
            <w:tcW w:w="2180" w:type="dxa"/>
            <w:vAlign w:val="bottom"/>
            <w:gridSpan w:val="4"/>
          </w:tcPr>
          <w:p>
            <w:pPr>
              <w:jc w:val="center"/>
              <w:ind w:left="1808"/>
              <w:spacing w:after="0"/>
              <w:rPr>
                <w:sz w:val="20"/>
                <w:szCs w:val="20"/>
                <w:color w:val="auto"/>
              </w:rPr>
            </w:pPr>
            <w:r>
              <w:rPr>
                <w:rFonts w:ascii="Arial" w:cs="Arial" w:eastAsia="Arial" w:hAnsi="Arial"/>
                <w:sz w:val="14"/>
                <w:szCs w:val="14"/>
                <w:color w:val="auto"/>
                <w:w w:val="94"/>
              </w:rPr>
              <w:t>837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4860" w:type="dxa"/>
            <w:vAlign w:val="bottom"/>
          </w:tcPr>
          <w:p>
            <w:pPr>
              <w:spacing w:after="0"/>
              <w:rPr>
                <w:sz w:val="24"/>
                <w:szCs w:val="24"/>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Programming Segment Results</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Programming segment reported first quarter 2009 revenue of $361 million, a 1% decrease from 2008, largely attributable to a soft advertising environment. Operating Cash Flow decreased 2% to $112 million in the first quarter of 2009, reflecting relatively stable production, programming and marketing expenses.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Other</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Corporate and Other includes corporate overhead, Comcast Interactive Media (CIM), Comcast-Spectacor, and other operations and eliminations between Comcast's businesses. For the quarter ended March 31, 2009, Corporate and Other reported a 15% increase in revenue to $125 million, primarily due to strong performances at CIM and Comcast Spectacor. The Operating Cash Flow loss for the first quarter of 2009 was $74 million compared to a loss of $81 million in the first quarter of 2008.</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 and Dividend</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 of March 31, 2009, Comcast had approximately $4.1 billion of availability remaining under its share repurchase authorization. While the company did not repurchase shares in the first quarter of 2009, it may repurchase stock from time to time subject to market conditions.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During the first four months of 2009, Comcast paid two cash dividends totaling $375 million. Comcast paid quarterly cash dividends of $180 million on January 28, 2009 and $195 million on April 29, 2009.</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4" w:lineRule="exact"/>
        <w:rPr>
          <w:sz w:val="20"/>
          <w:szCs w:val="20"/>
          <w:color w:val="auto"/>
        </w:rPr>
      </w:pPr>
    </w:p>
    <w:p>
      <w:pPr>
        <w:ind w:left="180" w:hanging="154"/>
        <w:spacing w:after="0" w:line="237" w:lineRule="auto"/>
        <w:tabs>
          <w:tab w:leader="none" w:pos="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Earnings per share are adjusted for gains, net of tax, related to the dissolution of the 2008 Insight Midwest Partnership. Please refer to Table 4 for a reconciliation of adjusted net income attributable to Comcast Corporation and earnings per share. Earnings per share amounts are presented on a diluted basis.</w:t>
      </w:r>
    </w:p>
    <w:p>
      <w:pPr>
        <w:spacing w:after="0" w:line="210" w:lineRule="exact"/>
        <w:rPr>
          <w:sz w:val="20"/>
          <w:szCs w:val="20"/>
          <w:color w:val="auto"/>
        </w:rPr>
      </w:pPr>
    </w:p>
    <w:p>
      <w:pPr>
        <w:ind w:left="180" w:right="20" w:hanging="154"/>
        <w:spacing w:after="0" w:line="253" w:lineRule="auto"/>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Customer data is presented on a pro forma basis. Pro forma customer data includes 7,000 video customers acquired through an acquisition in November 2008. The impact of this acquisition on segment operating results was not material.</w:t>
      </w:r>
    </w:p>
    <w:p>
      <w:pPr>
        <w:spacing w:after="0" w:line="200"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color w:val="auto"/>
        </w:rPr>
        <w:t>Minor differences may exist due to rounding.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Information</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Comcast Corporation will host a conference call with the financial community today, April 30, 2009 at 8:30 a.m. Eastern Time (ET). The conference call will be broadcast live on Comcast’s Investor Relations website at www.cmcsa.com or www.cmcsk.com. A recording of the call will be available on the Investor Relations website starting at 12:30 p.m. ET on April 30, 2009. Those parties interested in participating via telephone should dial (800) 263-8495 with the conference ID number 91519607. A telephone replay will begin immediately following the call until Friday, May 1, 2009 at midnight ET. To access the rebroadcast, please dial (800) 642-1687 and enter passcode number 91519607. To automatically receive Comcast financial news by email, please visit www.cmcsa.com or www.cmcsk.com and subscribe to email alerts.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 Concerning Forward-Looking Statements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 All percentages are calculated on whole numbers. Minor differences may exist due to rounding.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Comcast Corporation</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Comcast Corporation (Nasdaq: CMCSA, CMCSK) (</w:t>
      </w:r>
      <w:r>
        <w:rPr>
          <w:rFonts w:ascii="Arial" w:cs="Arial" w:eastAsia="Arial" w:hAnsi="Arial"/>
          <w:sz w:val="14"/>
          <w:szCs w:val="14"/>
          <w:u w:val="single" w:color="auto"/>
          <w:color w:val="auto"/>
        </w:rPr>
        <w:t>http://www.comcast.com</w:t>
      </w:r>
      <w:r>
        <w:rPr>
          <w:rFonts w:ascii="Arial" w:cs="Arial" w:eastAsia="Arial" w:hAnsi="Arial"/>
          <w:sz w:val="14"/>
          <w:szCs w:val="14"/>
          <w:color w:val="auto"/>
        </w:rPr>
        <w:t>) is one of the nation's leading providers of entertainment, information and communications products and services. With 24.1 million video customers, 15.3 million high-speed Internet customers, and 6.8 million Comcast Digital Voice customers, Comcast is principally involved in the development, management and operation of cable systems and in the delivery of programming content.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Comcast's content networks and investments include E! Entertainment Television, Style Network, Golf Channel, VERSUS, G4, PBS KIDS Sprout, TV One, ten Comcast SportsNet networks and Comcast Interactive Media, which develops and operates Comcast's Internet business. Comcast also has a majority ownership in Comcast-Spectacor, whose major holdings include the Philadelphia Flyers NHL hockey team, the Philadelphia 76ers NBA basketball team and two large multipurpose arenas in Philadelphia.</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6400800</wp:posOffset>
            </wp:positionH>
            <wp:positionV relativeFrom="page">
              <wp:posOffset>243205</wp:posOffset>
            </wp:positionV>
            <wp:extent cx="9347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934720" cy="274320"/>
                    </a:xfrm>
                    <a:prstGeom prst="rect">
                      <a:avLst/>
                    </a:prstGeom>
                    <a:noFill/>
                  </pic:spPr>
                </pic:pic>
              </a:graphicData>
            </a:graphic>
          </wp:anchor>
        </w:drawing>
        <w:t>TABLE 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8020" w:type="dxa"/>
            <w:vAlign w:val="bottom"/>
          </w:tcPr>
          <w:p>
            <w:pPr>
              <w:spacing w:after="0" w:line="153" w:lineRule="exact"/>
              <w:rPr>
                <w:sz w:val="20"/>
                <w:szCs w:val="20"/>
                <w:color w:val="auto"/>
              </w:rPr>
            </w:pPr>
            <w:r>
              <w:rPr>
                <w:rFonts w:ascii="Arial" w:cs="Arial" w:eastAsia="Arial" w:hAnsi="Arial"/>
                <w:sz w:val="14"/>
                <w:szCs w:val="14"/>
                <w:color w:val="auto"/>
              </w:rPr>
              <w:t>(in millions, except per share data)</w:t>
            </w:r>
          </w:p>
        </w:tc>
        <w:tc>
          <w:tcPr>
            <w:tcW w:w="280" w:type="dxa"/>
            <w:vAlign w:val="bottom"/>
          </w:tcPr>
          <w:p>
            <w:pPr>
              <w:spacing w:after="0"/>
              <w:rPr>
                <w:sz w:val="13"/>
                <w:szCs w:val="13"/>
                <w:color w:val="auto"/>
              </w:rPr>
            </w:pPr>
          </w:p>
        </w:tc>
        <w:tc>
          <w:tcPr>
            <w:tcW w:w="1520" w:type="dxa"/>
            <w:vAlign w:val="bottom"/>
            <w:gridSpan w:val="5"/>
          </w:tcPr>
          <w:p>
            <w:pPr>
              <w:jc w:val="right"/>
              <w:ind w:right="68"/>
              <w:spacing w:after="0" w:line="153" w:lineRule="exact"/>
              <w:rPr>
                <w:sz w:val="20"/>
                <w:szCs w:val="20"/>
                <w:color w:val="auto"/>
              </w:rPr>
            </w:pPr>
            <w:r>
              <w:rPr>
                <w:rFonts w:ascii="Arial" w:cs="Arial" w:eastAsia="Arial" w:hAnsi="Arial"/>
                <w:sz w:val="14"/>
                <w:szCs w:val="14"/>
                <w:b w:val="1"/>
                <w:bCs w:val="1"/>
                <w:color w:val="auto"/>
              </w:rPr>
              <w:t>March 31,</w:t>
            </w: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$8,389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$8,835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18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3,565</w:t>
            </w:r>
          </w:p>
        </w:tc>
        <w:tc>
          <w:tcPr>
            <w:tcW w:w="0" w:type="dxa"/>
            <w:vAlign w:val="bottom"/>
          </w:tcPr>
          <w:p>
            <w:pPr>
              <w:spacing w:after="0"/>
              <w:rPr>
                <w:sz w:val="1"/>
                <w:szCs w:val="1"/>
                <w:color w:val="auto"/>
              </w:rPr>
            </w:pPr>
          </w:p>
        </w:tc>
      </w:tr>
      <w:tr>
        <w:trPr>
          <w:trHeight w:val="178"/>
        </w:trPr>
        <w:tc>
          <w:tcPr>
            <w:tcW w:w="8020" w:type="dxa"/>
            <w:vAlign w:val="bottom"/>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1,826</w:t>
            </w:r>
          </w:p>
        </w:tc>
        <w:tc>
          <w:tcPr>
            <w:tcW w:w="0" w:type="dxa"/>
            <w:vAlign w:val="bottom"/>
          </w:tcPr>
          <w:p>
            <w:pPr>
              <w:spacing w:after="0"/>
              <w:rPr>
                <w:sz w:val="1"/>
                <w:szCs w:val="1"/>
                <w:color w:val="auto"/>
              </w:rPr>
            </w:pPr>
          </w:p>
        </w:tc>
      </w:tr>
      <w:tr>
        <w:trPr>
          <w:trHeight w:val="156"/>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Operating cash flow</w:t>
            </w: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5,215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5,391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1,380</w:t>
            </w:r>
          </w:p>
        </w:tc>
        <w:tc>
          <w:tcPr>
            <w:tcW w:w="0" w:type="dxa"/>
            <w:vAlign w:val="bottom"/>
          </w:tcPr>
          <w:p>
            <w:pPr>
              <w:spacing w:after="0"/>
              <w:rPr>
                <w:sz w:val="1"/>
                <w:szCs w:val="1"/>
                <w:color w:val="auto"/>
              </w:rPr>
            </w:pPr>
          </w:p>
        </w:tc>
      </w:tr>
      <w:tr>
        <w:trPr>
          <w:trHeight w:val="178"/>
        </w:trPr>
        <w:tc>
          <w:tcPr>
            <w:tcW w:w="8020" w:type="dxa"/>
            <w:vAlign w:val="bottom"/>
          </w:tcPr>
          <w:p>
            <w:pPr>
              <w:ind w:left="180"/>
              <w:spacing w:after="0"/>
              <w:rPr>
                <w:sz w:val="20"/>
                <w:szCs w:val="20"/>
                <w:color w:val="auto"/>
              </w:rPr>
            </w:pPr>
            <w:r>
              <w:rPr>
                <w:rFonts w:ascii="Arial" w:cs="Arial" w:eastAsia="Arial" w:hAnsi="Arial"/>
                <w:sz w:val="14"/>
                <w:szCs w:val="14"/>
                <w:color w:val="auto"/>
              </w:rPr>
              <w:t>Amortization expense</w:t>
            </w: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56"/>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1,619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1,633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02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(570)</w:t>
            </w:r>
          </w:p>
        </w:tc>
        <w:tc>
          <w:tcPr>
            <w:tcW w:w="0" w:type="dxa"/>
            <w:vAlign w:val="bottom"/>
          </w:tcPr>
          <w:p>
            <w:pPr>
              <w:spacing w:after="0"/>
              <w:rPr>
                <w:sz w:val="1"/>
                <w:szCs w:val="1"/>
                <w:color w:val="auto"/>
              </w:rPr>
            </w:pPr>
          </w:p>
        </w:tc>
      </w:tr>
      <w:tr>
        <w:trPr>
          <w:trHeight w:val="145"/>
        </w:trPr>
        <w:tc>
          <w:tcPr>
            <w:tcW w:w="8020" w:type="dxa"/>
            <w:vAlign w:val="bottom"/>
          </w:tcPr>
          <w:p>
            <w:pPr>
              <w:ind w:left="180"/>
              <w:spacing w:after="0" w:line="145" w:lineRule="exact"/>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2"/>
                <w:szCs w:val="12"/>
                <w:color w:val="auto"/>
              </w:rPr>
            </w:pPr>
          </w:p>
        </w:tc>
        <w:tc>
          <w:tcPr>
            <w:tcW w:w="110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(621)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Investment income (loss), net</w:t>
            </w:r>
          </w:p>
        </w:tc>
        <w:tc>
          <w:tcPr>
            <w:tcW w:w="2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49"/>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280" w:type="dxa"/>
            <w:vAlign w:val="bottom"/>
          </w:tcPr>
          <w:p>
            <w:pPr>
              <w:spacing w:after="0"/>
              <w:rPr>
                <w:sz w:val="12"/>
                <w:szCs w:val="12"/>
                <w:color w:val="auto"/>
              </w:rPr>
            </w:pPr>
          </w:p>
        </w:tc>
        <w:tc>
          <w:tcPr>
            <w:tcW w:w="11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78"/>
        </w:trPr>
        <w:tc>
          <w:tcPr>
            <w:tcW w:w="8020" w:type="dxa"/>
            <w:vAlign w:val="bottom"/>
          </w:tcPr>
          <w:p>
            <w:pPr>
              <w:ind w:left="180"/>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802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1,239</w:t>
            </w:r>
          </w:p>
        </w:tc>
        <w:tc>
          <w:tcPr>
            <w:tcW w:w="0" w:type="dxa"/>
            <w:vAlign w:val="bottom"/>
          </w:tcPr>
          <w:p>
            <w:pPr>
              <w:spacing w:after="0"/>
              <w:rPr>
                <w:sz w:val="1"/>
                <w:szCs w:val="1"/>
                <w:color w:val="auto"/>
              </w:rPr>
            </w:pPr>
          </w:p>
        </w:tc>
      </w:tr>
      <w:tr>
        <w:trPr>
          <w:trHeight w:val="289"/>
        </w:trPr>
        <w:tc>
          <w:tcPr>
            <w:tcW w:w="8020" w:type="dxa"/>
            <w:vAlign w:val="bottom"/>
          </w:tcPr>
          <w:p>
            <w:pPr>
              <w:spacing w:after="0"/>
              <w:rPr>
                <w:sz w:val="20"/>
                <w:szCs w:val="20"/>
                <w:color w:val="auto"/>
              </w:rPr>
            </w:pPr>
            <w:r>
              <w:rPr>
                <w:rFonts w:ascii="Arial" w:cs="Arial" w:eastAsia="Arial" w:hAnsi="Arial"/>
                <w:sz w:val="14"/>
                <w:szCs w:val="14"/>
                <w:color w:val="auto"/>
              </w:rPr>
              <w:t>Income tax expense</w:t>
            </w:r>
          </w:p>
        </w:tc>
        <w:tc>
          <w:tcPr>
            <w:tcW w:w="28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(461)</w:t>
            </w:r>
          </w:p>
        </w:tc>
        <w:tc>
          <w:tcPr>
            <w:tcW w:w="0" w:type="dxa"/>
            <w:vAlign w:val="bottom"/>
          </w:tcPr>
          <w:p>
            <w:pPr>
              <w:spacing w:after="0"/>
              <w:rPr>
                <w:sz w:val="1"/>
                <w:szCs w:val="1"/>
                <w:color w:val="auto"/>
              </w:rPr>
            </w:pPr>
          </w:p>
        </w:tc>
      </w:tr>
      <w:tr>
        <w:trPr>
          <w:trHeight w:val="312"/>
        </w:trPr>
        <w:tc>
          <w:tcPr>
            <w:tcW w:w="8020" w:type="dxa"/>
            <w:vAlign w:val="bottom"/>
          </w:tcPr>
          <w:p>
            <w:pPr>
              <w:spacing w:after="0"/>
              <w:rPr>
                <w:sz w:val="20"/>
                <w:szCs w:val="20"/>
                <w:color w:val="auto"/>
              </w:rPr>
            </w:pPr>
            <w:r>
              <w:rPr>
                <w:rFonts w:ascii="Arial" w:cs="Arial" w:eastAsia="Arial" w:hAnsi="Arial"/>
                <w:sz w:val="14"/>
                <w:szCs w:val="14"/>
                <w:b w:val="1"/>
                <w:bCs w:val="1"/>
                <w:color w:val="auto"/>
              </w:rPr>
              <w:t>Net income from consolidated operations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20" w:type="dxa"/>
            <w:vAlign w:val="bottom"/>
          </w:tcPr>
          <w:p>
            <w:pPr>
              <w:ind w:left="180"/>
              <w:spacing w:after="0"/>
              <w:rPr>
                <w:sz w:val="20"/>
                <w:szCs w:val="20"/>
                <w:color w:val="auto"/>
              </w:rPr>
            </w:pPr>
            <w:r>
              <w:rPr>
                <w:rFonts w:ascii="Arial" w:cs="Arial" w:eastAsia="Arial" w:hAnsi="Arial"/>
                <w:sz w:val="14"/>
                <w:szCs w:val="14"/>
                <w:color w:val="auto"/>
              </w:rPr>
              <w:t>Less: Net income (loss) attributable to noncontrolling interests</w:t>
            </w:r>
          </w:p>
        </w:tc>
        <w:tc>
          <w:tcPr>
            <w:tcW w:w="2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41"/>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2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2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732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20" w:type="dxa"/>
            <w:vAlign w:val="bottom"/>
          </w:tcPr>
          <w:p>
            <w:pPr>
              <w:spacing w:after="0"/>
              <w:rPr>
                <w:sz w:val="20"/>
                <w:szCs w:val="20"/>
                <w:color w:val="auto"/>
              </w:rPr>
            </w:pPr>
            <w:r>
              <w:rPr>
                <w:rFonts w:ascii="Arial" w:cs="Arial" w:eastAsia="Arial" w:hAnsi="Arial"/>
                <w:sz w:val="14"/>
                <w:szCs w:val="14"/>
                <w:b w:val="1"/>
                <w:bCs w:val="1"/>
                <w:color w:val="auto"/>
              </w:rPr>
              <w:t>Diluted earnings per common share attributable to Comcast Corporation stockholders</w:t>
            </w: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earnings per common share attributable to Comcast Corporation stockholders </w:t>
            </w:r>
            <w:r>
              <w:rPr>
                <w:rFonts w:ascii="Arial" w:cs="Arial" w:eastAsia="Arial" w:hAnsi="Arial"/>
                <w:sz w:val="20"/>
                <w:szCs w:val="20"/>
                <w:b w:val="1"/>
                <w:bCs w:val="1"/>
                <w:color w:val="auto"/>
                <w:vertAlign w:val="superscript"/>
              </w:rPr>
              <w:t>(1)</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8020" w:type="dxa"/>
            <w:vAlign w:val="bottom"/>
            <w:vMerge w:val="continue"/>
          </w:tcPr>
          <w:p>
            <w:pPr>
              <w:spacing w:after="0"/>
              <w:rPr>
                <w:sz w:val="24"/>
                <w:szCs w:val="2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020" w:type="dxa"/>
            <w:vAlign w:val="bottom"/>
          </w:tcPr>
          <w:p>
            <w:pPr>
              <w:spacing w:after="0"/>
              <w:rPr>
                <w:sz w:val="20"/>
                <w:szCs w:val="20"/>
                <w:color w:val="auto"/>
              </w:rPr>
            </w:pPr>
            <w:r>
              <w:rPr>
                <w:rFonts w:ascii="Arial" w:cs="Arial" w:eastAsia="Arial" w:hAnsi="Arial"/>
                <w:sz w:val="14"/>
                <w:szCs w:val="14"/>
                <w:b w:val="1"/>
                <w:bCs w:val="1"/>
                <w:color w:val="auto"/>
              </w:rPr>
              <w:t>Dividends declared per common share attributable to Comcast Corporation stockholders</w:t>
            </w: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8020" w:type="dxa"/>
            <w:vAlign w:val="bottom"/>
          </w:tcPr>
          <w:p>
            <w:pPr>
              <w:spacing w:after="0"/>
              <w:rPr>
                <w:sz w:val="20"/>
                <w:szCs w:val="20"/>
                <w:color w:val="auto"/>
              </w:rPr>
            </w:pPr>
            <w:r>
              <w:rPr>
                <w:rFonts w:ascii="Arial" w:cs="Arial" w:eastAsia="Arial" w:hAnsi="Arial"/>
                <w:sz w:val="14"/>
                <w:szCs w:val="14"/>
                <w:color w:val="auto"/>
              </w:rPr>
              <w:t>Diluted weighted-average number of common shares</w:t>
            </w:r>
          </w:p>
        </w:tc>
        <w:tc>
          <w:tcPr>
            <w:tcW w:w="2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3,017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2,890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800" w:right="4100" w:hanging="211"/>
        <w:spacing w:after="0" w:line="253" w:lineRule="auto"/>
        <w:tabs>
          <w:tab w:leader="none" w:pos="788" w:val="left"/>
        </w:tabs>
        <w:numPr>
          <w:ilvl w:val="0"/>
          <w:numId w:val="5"/>
        </w:numPr>
        <w:rPr>
          <w:rFonts w:ascii="Arial" w:cs="Arial" w:eastAsia="Arial" w:hAnsi="Arial"/>
          <w:sz w:val="14"/>
          <w:szCs w:val="14"/>
          <w:color w:val="auto"/>
        </w:rPr>
      </w:pPr>
      <w:r>
        <w:rPr>
          <w:rFonts w:ascii="Arial" w:cs="Arial" w:eastAsia="Arial" w:hAnsi="Arial"/>
          <w:sz w:val="14"/>
          <w:szCs w:val="14"/>
          <w:color w:val="auto"/>
        </w:rPr>
        <w:t>Please refer to Table 4 for a reconciliation of adjusted net income and earnings per share attributable to Comcast Corporation stockholders.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70"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6469380</wp:posOffset>
            </wp:positionH>
            <wp:positionV relativeFrom="page">
              <wp:posOffset>243205</wp:posOffset>
            </wp:positionV>
            <wp:extent cx="9347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934720" cy="274320"/>
                    </a:xfrm>
                    <a:prstGeom prst="rect">
                      <a:avLst/>
                    </a:prstGeom>
                    <a:noFill/>
                  </pic:spPr>
                </pic:pic>
              </a:graphicData>
            </a:graphic>
          </wp:anchor>
        </w:drawing>
        <w:t>TABLE 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20"/>
                <w:szCs w:val="20"/>
                <w:color w:val="auto"/>
              </w:rPr>
            </w:pPr>
            <w:r>
              <w:rPr>
                <w:rFonts w:ascii="Arial" w:cs="Arial" w:eastAsia="Arial" w:hAnsi="Arial"/>
                <w:sz w:val="14"/>
                <w:szCs w:val="14"/>
                <w:color w:val="auto"/>
              </w:rPr>
              <w:t>(in millions)</w:t>
            </w: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8"/>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8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8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1,879</w:t>
            </w:r>
          </w:p>
        </w:tc>
        <w:tc>
          <w:tcPr>
            <w:tcW w:w="0" w:type="dxa"/>
            <w:vAlign w:val="bottom"/>
          </w:tcPr>
          <w:p>
            <w:pPr>
              <w:spacing w:after="0"/>
              <w:rPr>
                <w:sz w:val="1"/>
                <w:szCs w:val="1"/>
                <w:color w:val="auto"/>
              </w:rPr>
            </w:pPr>
          </w:p>
        </w:tc>
      </w:tr>
      <w:tr>
        <w:trPr>
          <w:trHeight w:val="145"/>
        </w:trPr>
        <w:tc>
          <w:tcPr>
            <w:tcW w:w="4880" w:type="dxa"/>
            <w:vAlign w:val="bottom"/>
          </w:tcPr>
          <w:p>
            <w:pPr>
              <w:ind w:left="300"/>
              <w:spacing w:after="0" w:line="145" w:lineRule="exact"/>
              <w:rPr>
                <w:sz w:val="20"/>
                <w:szCs w:val="20"/>
                <w:color w:val="auto"/>
              </w:rPr>
            </w:pPr>
            <w:r>
              <w:rPr>
                <w:rFonts w:ascii="Arial" w:cs="Arial" w:eastAsia="Arial" w:hAnsi="Arial"/>
                <w:sz w:val="14"/>
                <w:szCs w:val="14"/>
                <w:color w:val="auto"/>
              </w:rPr>
              <w:t>Cash and cash equivalents</w:t>
            </w:r>
          </w:p>
        </w:tc>
        <w:tc>
          <w:tcPr>
            <w:tcW w:w="3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1,195</w:t>
            </w: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ind w:left="300"/>
              <w:spacing w:after="0" w:line="149" w:lineRule="exact"/>
              <w:rPr>
                <w:sz w:val="20"/>
                <w:szCs w:val="20"/>
                <w:color w:val="auto"/>
              </w:rPr>
            </w:pPr>
            <w:r>
              <w:rPr>
                <w:rFonts w:ascii="Arial" w:cs="Arial" w:eastAsia="Arial" w:hAnsi="Arial"/>
                <w:sz w:val="14"/>
                <w:szCs w:val="14"/>
                <w:color w:val="auto"/>
              </w:rPr>
              <w:t>Investments</w:t>
            </w: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488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1,483</w:t>
            </w:r>
          </w:p>
        </w:tc>
        <w:tc>
          <w:tcPr>
            <w:tcW w:w="0" w:type="dxa"/>
            <w:vAlign w:val="bottom"/>
          </w:tcPr>
          <w:p>
            <w:pPr>
              <w:spacing w:after="0"/>
              <w:rPr>
                <w:sz w:val="1"/>
                <w:szCs w:val="1"/>
                <w:color w:val="auto"/>
              </w:rPr>
            </w:pPr>
          </w:p>
        </w:tc>
      </w:tr>
      <w:tr>
        <w:trPr>
          <w:trHeight w:val="178"/>
        </w:trPr>
        <w:tc>
          <w:tcPr>
            <w:tcW w:w="4880" w:type="dxa"/>
            <w:vAlign w:val="bottom"/>
          </w:tcPr>
          <w:p>
            <w:pPr>
              <w:ind w:left="300"/>
              <w:spacing w:after="0"/>
              <w:rPr>
                <w:sz w:val="20"/>
                <w:szCs w:val="20"/>
                <w:color w:val="auto"/>
              </w:rPr>
            </w:pPr>
            <w:r>
              <w:rPr>
                <w:rFonts w:ascii="Arial" w:cs="Arial" w:eastAsia="Arial" w:hAnsi="Arial"/>
                <w:sz w:val="14"/>
                <w:szCs w:val="14"/>
                <w:color w:val="auto"/>
              </w:rPr>
              <w:t>Other current assets</w:t>
            </w: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829</w:t>
            </w:r>
          </w:p>
        </w:tc>
        <w:tc>
          <w:tcPr>
            <w:tcW w:w="0" w:type="dxa"/>
            <w:vAlign w:val="bottom"/>
          </w:tcPr>
          <w:p>
            <w:pPr>
              <w:spacing w:after="0"/>
              <w:rPr>
                <w:sz w:val="1"/>
                <w:szCs w:val="1"/>
                <w:color w:val="auto"/>
              </w:rPr>
            </w:pPr>
          </w:p>
        </w:tc>
      </w:tr>
      <w:tr>
        <w:trPr>
          <w:trHeight w:val="156"/>
        </w:trPr>
        <w:tc>
          <w:tcPr>
            <w:tcW w:w="4880" w:type="dxa"/>
            <w:vAlign w:val="bottom"/>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37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880" w:type="dxa"/>
            <w:vAlign w:val="bottom"/>
          </w:tcPr>
          <w:p>
            <w:pPr>
              <w:ind w:left="80"/>
              <w:spacing w:after="0"/>
              <w:rPr>
                <w:sz w:val="20"/>
                <w:szCs w:val="20"/>
                <w:color w:val="auto"/>
              </w:rPr>
            </w:pPr>
            <w:r>
              <w:rPr>
                <w:rFonts w:ascii="Arial" w:cs="Arial" w:eastAsia="Arial" w:hAnsi="Arial"/>
                <w:sz w:val="14"/>
                <w:szCs w:val="14"/>
                <w:color w:val="auto"/>
              </w:rPr>
              <w:t>Investments</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4,872</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24,444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24,038</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Franchise rights</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59,449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59,446</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Goodwill</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14,893</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Other intangible assets, net</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4,446</w:t>
            </w:r>
          </w:p>
        </w:tc>
        <w:tc>
          <w:tcPr>
            <w:tcW w:w="0" w:type="dxa"/>
            <w:vAlign w:val="bottom"/>
          </w:tcPr>
          <w:p>
            <w:pPr>
              <w:spacing w:after="0"/>
              <w:rPr>
                <w:sz w:val="1"/>
                <w:szCs w:val="1"/>
                <w:color w:val="auto"/>
              </w:rPr>
            </w:pPr>
          </w:p>
        </w:tc>
      </w:tr>
      <w:tr>
        <w:trPr>
          <w:trHeight w:val="289"/>
        </w:trPr>
        <w:tc>
          <w:tcPr>
            <w:tcW w:w="4880" w:type="dxa"/>
            <w:vAlign w:val="bottom"/>
          </w:tcPr>
          <w:p>
            <w:pPr>
              <w:ind w:left="80"/>
              <w:spacing w:after="0"/>
              <w:rPr>
                <w:sz w:val="20"/>
                <w:szCs w:val="20"/>
                <w:color w:val="auto"/>
              </w:rPr>
            </w:pPr>
            <w:r>
              <w:rPr>
                <w:rFonts w:ascii="Arial" w:cs="Arial" w:eastAsia="Arial" w:hAnsi="Arial"/>
                <w:sz w:val="14"/>
                <w:szCs w:val="14"/>
                <w:color w:val="auto"/>
              </w:rPr>
              <w:t>Other noncurrent assets, net</w:t>
            </w:r>
          </w:p>
        </w:tc>
        <w:tc>
          <w:tcPr>
            <w:tcW w:w="3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80" w:type="dxa"/>
            <w:vAlign w:val="bottom"/>
          </w:tcPr>
          <w:p>
            <w:pPr>
              <w:spacing w:after="0"/>
              <w:rPr>
                <w:sz w:val="24"/>
                <w:szCs w:val="24"/>
                <w:color w:val="auto"/>
              </w:rPr>
            </w:pPr>
          </w:p>
        </w:tc>
        <w:tc>
          <w:tcPr>
            <w:tcW w:w="3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113,017</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113,071</w:t>
            </w:r>
          </w:p>
        </w:tc>
        <w:tc>
          <w:tcPr>
            <w:tcW w:w="0" w:type="dxa"/>
            <w:vAlign w:val="bottom"/>
          </w:tcPr>
          <w:p>
            <w:pPr>
              <w:spacing w:after="0"/>
              <w:rPr>
                <w:sz w:val="1"/>
                <w:szCs w:val="1"/>
                <w:color w:val="auto"/>
              </w:rPr>
            </w:pPr>
          </w:p>
        </w:tc>
      </w:tr>
      <w:tr>
        <w:trPr>
          <w:trHeight w:val="2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3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880" w:type="dxa"/>
            <w:vAlign w:val="bottom"/>
            <w:vMerge w:val="continue"/>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4"/>
                <w:szCs w:val="14"/>
                <w:color w:val="auto"/>
              </w:rPr>
              <w:t>Current Liabilities</w:t>
            </w:r>
          </w:p>
        </w:tc>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3,121</w:t>
            </w:r>
          </w:p>
        </w:tc>
        <w:tc>
          <w:tcPr>
            <w:tcW w:w="0" w:type="dxa"/>
            <w:vAlign w:val="bottom"/>
          </w:tcPr>
          <w:p>
            <w:pPr>
              <w:spacing w:after="0"/>
              <w:rPr>
                <w:sz w:val="1"/>
                <w:szCs w:val="1"/>
                <w:color w:val="auto"/>
              </w:rPr>
            </w:pPr>
          </w:p>
        </w:tc>
      </w:tr>
      <w:tr>
        <w:trPr>
          <w:trHeight w:val="145"/>
        </w:trPr>
        <w:tc>
          <w:tcPr>
            <w:tcW w:w="4880" w:type="dxa"/>
            <w:vAlign w:val="bottom"/>
          </w:tcPr>
          <w:p>
            <w:pPr>
              <w:ind w:left="340"/>
              <w:spacing w:after="0" w:line="145" w:lineRule="exact"/>
              <w:rPr>
                <w:sz w:val="20"/>
                <w:szCs w:val="20"/>
                <w:color w:val="auto"/>
              </w:rPr>
            </w:pPr>
            <w:r>
              <w:rPr>
                <w:rFonts w:ascii="Arial" w:cs="Arial" w:eastAsia="Arial" w:hAnsi="Arial"/>
                <w:sz w:val="14"/>
                <w:szCs w:val="14"/>
                <w:color w:val="auto"/>
              </w:rPr>
              <w:t>Accounts payable and accrued expenses related to trade creditors</w:t>
            </w:r>
          </w:p>
        </w:tc>
        <w:tc>
          <w:tcPr>
            <w:tcW w:w="3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3,393</w:t>
            </w: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ind w:left="3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3,268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3,119</w:t>
            </w:r>
          </w:p>
        </w:tc>
        <w:tc>
          <w:tcPr>
            <w:tcW w:w="0" w:type="dxa"/>
            <w:vAlign w:val="bottom"/>
          </w:tcPr>
          <w:p>
            <w:pPr>
              <w:spacing w:after="0"/>
              <w:rPr>
                <w:sz w:val="1"/>
                <w:szCs w:val="1"/>
                <w:color w:val="auto"/>
              </w:rPr>
            </w:pPr>
          </w:p>
        </w:tc>
      </w:tr>
      <w:tr>
        <w:trPr>
          <w:trHeight w:val="178"/>
        </w:trPr>
        <w:tc>
          <w:tcPr>
            <w:tcW w:w="4880" w:type="dxa"/>
            <w:vAlign w:val="bottom"/>
          </w:tcPr>
          <w:p>
            <w:pPr>
              <w:ind w:left="340"/>
              <w:spacing w:after="0"/>
              <w:rPr>
                <w:sz w:val="20"/>
                <w:szCs w:val="20"/>
                <w:color w:val="auto"/>
              </w:rPr>
            </w:pPr>
            <w:r>
              <w:rPr>
                <w:rFonts w:ascii="Arial" w:cs="Arial" w:eastAsia="Arial" w:hAnsi="Arial"/>
                <w:sz w:val="14"/>
                <w:szCs w:val="14"/>
                <w:color w:val="auto"/>
              </w:rPr>
              <w:t>Current portion of long-term debt</w:t>
            </w: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2,647</w:t>
            </w:r>
          </w:p>
        </w:tc>
        <w:tc>
          <w:tcPr>
            <w:tcW w:w="0" w:type="dxa"/>
            <w:vAlign w:val="bottom"/>
          </w:tcPr>
          <w:p>
            <w:pPr>
              <w:spacing w:after="0"/>
              <w:rPr>
                <w:sz w:val="1"/>
                <w:szCs w:val="1"/>
                <w:color w:val="auto"/>
              </w:rPr>
            </w:pPr>
          </w:p>
        </w:tc>
      </w:tr>
      <w:tr>
        <w:trPr>
          <w:trHeight w:val="156"/>
        </w:trPr>
        <w:tc>
          <w:tcPr>
            <w:tcW w:w="4880" w:type="dxa"/>
            <w:vAlign w:val="bottom"/>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37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8,939</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8,887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880" w:type="dxa"/>
            <w:vAlign w:val="bottom"/>
          </w:tcPr>
          <w:p>
            <w:pPr>
              <w:ind w:left="80"/>
              <w:spacing w:after="0"/>
              <w:rPr>
                <w:sz w:val="20"/>
                <w:szCs w:val="20"/>
                <w:color w:val="auto"/>
              </w:rPr>
            </w:pPr>
            <w:r>
              <w:rPr>
                <w:rFonts w:ascii="Arial" w:cs="Arial" w:eastAsia="Arial" w:hAnsi="Arial"/>
                <w:sz w:val="14"/>
                <w:szCs w:val="14"/>
                <w:color w:val="auto"/>
              </w:rPr>
              <w:t>Long-term debt, less current portion</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30,178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29,415</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Deferred income taxes</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27,188</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Other noncurrent liabilities</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6,219</w:t>
            </w:r>
          </w:p>
        </w:tc>
        <w:tc>
          <w:tcPr>
            <w:tcW w:w="0" w:type="dxa"/>
            <w:vAlign w:val="bottom"/>
          </w:tcPr>
          <w:p>
            <w:pPr>
              <w:spacing w:after="0"/>
              <w:rPr>
                <w:sz w:val="1"/>
                <w:szCs w:val="1"/>
                <w:color w:val="auto"/>
              </w:rPr>
            </w:pPr>
          </w:p>
        </w:tc>
      </w:tr>
      <w:tr>
        <w:trPr>
          <w:trHeight w:val="297"/>
        </w:trPr>
        <w:tc>
          <w:tcPr>
            <w:tcW w:w="4880" w:type="dxa"/>
            <w:vAlign w:val="bottom"/>
          </w:tcPr>
          <w:p>
            <w:pPr>
              <w:ind w:left="80"/>
              <w:spacing w:after="0"/>
              <w:rPr>
                <w:sz w:val="20"/>
                <w:szCs w:val="20"/>
                <w:color w:val="auto"/>
              </w:rPr>
            </w:pPr>
            <w:r>
              <w:rPr>
                <w:rFonts w:ascii="Arial" w:cs="Arial" w:eastAsia="Arial" w:hAnsi="Arial"/>
                <w:sz w:val="14"/>
                <w:szCs w:val="14"/>
                <w:color w:val="auto"/>
              </w:rPr>
              <w:t>Redeemable noncontrolling interests</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4"/>
                <w:szCs w:val="14"/>
                <w:color w:val="auto"/>
              </w:rPr>
              <w:t>Equity</w:t>
            </w:r>
          </w:p>
        </w:tc>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41,095</w:t>
            </w:r>
          </w:p>
        </w:tc>
        <w:tc>
          <w:tcPr>
            <w:tcW w:w="0" w:type="dxa"/>
            <w:vAlign w:val="bottom"/>
          </w:tcPr>
          <w:p>
            <w:pPr>
              <w:spacing w:after="0"/>
              <w:rPr>
                <w:sz w:val="1"/>
                <w:szCs w:val="1"/>
                <w:color w:val="auto"/>
              </w:rPr>
            </w:pPr>
          </w:p>
        </w:tc>
      </w:tr>
      <w:tr>
        <w:trPr>
          <w:trHeight w:val="145"/>
        </w:trPr>
        <w:tc>
          <w:tcPr>
            <w:tcW w:w="4880" w:type="dxa"/>
            <w:vAlign w:val="bottom"/>
          </w:tcPr>
          <w:p>
            <w:pPr>
              <w:ind w:left="340"/>
              <w:spacing w:after="0" w:line="145" w:lineRule="exact"/>
              <w:rPr>
                <w:sz w:val="20"/>
                <w:szCs w:val="20"/>
                <w:color w:val="auto"/>
              </w:rPr>
            </w:pPr>
            <w:r>
              <w:rPr>
                <w:rFonts w:ascii="Arial" w:cs="Arial" w:eastAsia="Arial" w:hAnsi="Arial"/>
                <w:sz w:val="14"/>
                <w:szCs w:val="14"/>
                <w:color w:val="auto"/>
              </w:rPr>
              <w:t>Comcast Corporation stockholders' equity</w:t>
            </w: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40,450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80" w:type="dxa"/>
            <w:vAlign w:val="bottom"/>
          </w:tcPr>
          <w:p>
            <w:pPr>
              <w:ind w:left="340"/>
              <w:spacing w:after="0"/>
              <w:rPr>
                <w:sz w:val="20"/>
                <w:szCs w:val="20"/>
                <w:color w:val="auto"/>
              </w:rPr>
            </w:pPr>
            <w:r>
              <w:rPr>
                <w:rFonts w:ascii="Arial" w:cs="Arial" w:eastAsia="Arial" w:hAnsi="Arial"/>
                <w:sz w:val="14"/>
                <w:szCs w:val="14"/>
                <w:color w:val="auto"/>
              </w:rPr>
              <w:t>Noncontrolling interests</w:t>
            </w: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56"/>
        </w:trPr>
        <w:tc>
          <w:tcPr>
            <w:tcW w:w="4880" w:type="dxa"/>
            <w:vAlign w:val="bottom"/>
          </w:tcPr>
          <w:p>
            <w:pPr>
              <w:ind w:left="500"/>
              <w:spacing w:after="0" w:line="149" w:lineRule="exact"/>
              <w:rPr>
                <w:sz w:val="20"/>
                <w:szCs w:val="20"/>
                <w:color w:val="auto"/>
              </w:rPr>
            </w:pPr>
            <w:r>
              <w:rPr>
                <w:rFonts w:ascii="Arial" w:cs="Arial" w:eastAsia="Arial" w:hAnsi="Arial"/>
                <w:sz w:val="14"/>
                <w:szCs w:val="14"/>
                <w:color w:val="auto"/>
              </w:rPr>
              <w:t>Total Equity</w:t>
            </w:r>
          </w:p>
        </w:tc>
        <w:tc>
          <w:tcPr>
            <w:tcW w:w="37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40,576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41,189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880" w:type="dxa"/>
            <w:vAlign w:val="bottom"/>
          </w:tcPr>
          <w:p>
            <w:pPr>
              <w:spacing w:after="0"/>
              <w:rPr>
                <w:sz w:val="24"/>
                <w:szCs w:val="24"/>
                <w:color w:val="auto"/>
              </w:rPr>
            </w:pPr>
          </w:p>
        </w:tc>
        <w:tc>
          <w:tcPr>
            <w:tcW w:w="3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113,017</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113,071</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3700" w:type="dxa"/>
            <w:vAlign w:val="bottom"/>
            <w:vMerge w:val="restart"/>
          </w:tcPr>
          <w:p>
            <w:pPr>
              <w:jc w:val="right"/>
              <w:ind w:right="2768"/>
              <w:spacing w:after="0"/>
              <w:rPr>
                <w:sz w:val="20"/>
                <w:szCs w:val="20"/>
                <w:color w:val="auto"/>
              </w:rPr>
            </w:pPr>
            <w:r>
              <w:rPr>
                <w:rFonts w:ascii="Arial" w:cs="Arial" w:eastAsia="Arial" w:hAnsi="Arial"/>
                <w:sz w:val="14"/>
                <w:szCs w:val="14"/>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4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80" w:type="dxa"/>
            <w:vAlign w:val="bottom"/>
            <w:tcBorders>
              <w:bottom w:val="single" w:sz="8" w:color="808080"/>
            </w:tcBorders>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6400800</wp:posOffset>
            </wp:positionH>
            <wp:positionV relativeFrom="page">
              <wp:posOffset>243205</wp:posOffset>
            </wp:positionV>
            <wp:extent cx="9347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934720" cy="274320"/>
                    </a:xfrm>
                    <a:prstGeom prst="rect">
                      <a:avLst/>
                    </a:prstGeom>
                    <a:noFill/>
                  </pic:spPr>
                </pic:pic>
              </a:graphicData>
            </a:graphic>
          </wp:anchor>
        </w:drawing>
        <w:t>TABLE 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7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6"/>
          </w:tcPr>
          <w:p>
            <w:pPr>
              <w:jc w:val="right"/>
              <w:ind w:right="100"/>
              <w:spacing w:after="0" w:line="153" w:lineRule="exact"/>
              <w:rPr>
                <w:sz w:val="20"/>
                <w:szCs w:val="20"/>
                <w:color w:val="auto"/>
              </w:rPr>
            </w:pPr>
            <w:r>
              <w:rPr>
                <w:rFonts w:ascii="Arial" w:cs="Arial" w:eastAsia="Arial" w:hAnsi="Arial"/>
                <w:sz w:val="14"/>
                <w:szCs w:val="14"/>
                <w:b w:val="1"/>
                <w:bCs w:val="1"/>
                <w:color w:val="auto"/>
              </w:rPr>
              <w:t>March 31,</w:t>
            </w:r>
          </w:p>
        </w:tc>
        <w:tc>
          <w:tcPr>
            <w:tcW w:w="8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76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778</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Net income from consolidated operations</w:t>
            </w: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1,380</w:t>
            </w:r>
          </w:p>
        </w:tc>
        <w:tc>
          <w:tcPr>
            <w:tcW w:w="0" w:type="dxa"/>
            <w:vAlign w:val="bottom"/>
          </w:tcPr>
          <w:p>
            <w:pPr>
              <w:spacing w:after="0"/>
              <w:rPr>
                <w:sz w:val="1"/>
                <w:szCs w:val="1"/>
                <w:color w:val="auto"/>
              </w:rPr>
            </w:pPr>
          </w:p>
        </w:tc>
      </w:tr>
      <w:tr>
        <w:trPr>
          <w:trHeight w:val="145"/>
        </w:trPr>
        <w:tc>
          <w:tcPr>
            <w:tcW w:w="7680" w:type="dxa"/>
            <w:vAlign w:val="bottom"/>
          </w:tcPr>
          <w:p>
            <w:pPr>
              <w:ind w:left="340"/>
              <w:spacing w:after="0" w:line="145" w:lineRule="exact"/>
              <w:rPr>
                <w:sz w:val="20"/>
                <w:szCs w:val="20"/>
                <w:color w:val="auto"/>
              </w:rPr>
            </w:pPr>
            <w:r>
              <w:rPr>
                <w:rFonts w:ascii="Arial" w:cs="Arial" w:eastAsia="Arial" w:hAnsi="Arial"/>
                <w:sz w:val="14"/>
                <w:szCs w:val="14"/>
                <w:color w:val="auto"/>
              </w:rPr>
              <w:t>Depreciation</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right"/>
              <w:ind w:right="40"/>
              <w:spacing w:after="0" w:line="145" w:lineRule="exact"/>
              <w:rPr>
                <w:sz w:val="20"/>
                <w:szCs w:val="20"/>
                <w:color w:val="auto"/>
              </w:rPr>
            </w:pPr>
            <w:r>
              <w:rPr>
                <w:rFonts w:ascii="Arial" w:cs="Arial" w:eastAsia="Arial" w:hAnsi="Arial"/>
                <w:sz w:val="14"/>
                <w:szCs w:val="14"/>
                <w:color w:val="auto"/>
              </w:rPr>
              <w:t>1,390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340"/>
              <w:spacing w:after="0" w:line="149" w:lineRule="exact"/>
              <w:rPr>
                <w:sz w:val="20"/>
                <w:szCs w:val="20"/>
                <w:color w:val="auto"/>
              </w:rPr>
            </w:pPr>
            <w:r>
              <w:rPr>
                <w:rFonts w:ascii="Arial" w:cs="Arial" w:eastAsia="Arial" w:hAnsi="Arial"/>
                <w:sz w:val="14"/>
                <w:szCs w:val="14"/>
                <w:color w:val="auto"/>
              </w:rPr>
              <w:t>Amortization</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7680" w:type="dxa"/>
            <w:vAlign w:val="bottom"/>
          </w:tcPr>
          <w:p>
            <w:pPr>
              <w:ind w:left="340"/>
              <w:spacing w:after="0" w:line="149" w:lineRule="exact"/>
              <w:rPr>
                <w:sz w:val="20"/>
                <w:szCs w:val="20"/>
                <w:color w:val="auto"/>
              </w:rPr>
            </w:pPr>
            <w:r>
              <w:rPr>
                <w:rFonts w:ascii="Arial" w:cs="Arial" w:eastAsia="Arial" w:hAnsi="Arial"/>
                <w:sz w:val="14"/>
                <w:szCs w:val="14"/>
                <w:color w:val="auto"/>
              </w:rPr>
              <w:t>Share-based compensation</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49"/>
        </w:trPr>
        <w:tc>
          <w:tcPr>
            <w:tcW w:w="7680" w:type="dxa"/>
            <w:vAlign w:val="bottom"/>
          </w:tcPr>
          <w:p>
            <w:pPr>
              <w:ind w:left="340"/>
              <w:spacing w:after="0" w:line="149" w:lineRule="exact"/>
              <w:rPr>
                <w:sz w:val="20"/>
                <w:szCs w:val="20"/>
                <w:color w:val="auto"/>
              </w:rPr>
            </w:pPr>
            <w:r>
              <w:rPr>
                <w:rFonts w:ascii="Arial" w:cs="Arial" w:eastAsia="Arial" w:hAnsi="Arial"/>
                <w:sz w:val="14"/>
                <w:szCs w:val="14"/>
                <w:color w:val="auto"/>
              </w:rPr>
              <w:t>Noncash interest expense (income), net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49"/>
        </w:trPr>
        <w:tc>
          <w:tcPr>
            <w:tcW w:w="7680" w:type="dxa"/>
            <w:vAlign w:val="bottom"/>
          </w:tcPr>
          <w:p>
            <w:pPr>
              <w:ind w:left="340"/>
              <w:spacing w:after="0" w:line="149" w:lineRule="exact"/>
              <w:rPr>
                <w:sz w:val="20"/>
                <w:szCs w:val="20"/>
                <w:color w:val="auto"/>
              </w:rPr>
            </w:pPr>
            <w:r>
              <w:rPr>
                <w:rFonts w:ascii="Arial" w:cs="Arial" w:eastAsia="Arial" w:hAnsi="Arial"/>
                <w:sz w:val="14"/>
                <w:szCs w:val="14"/>
                <w:color w:val="auto"/>
              </w:rPr>
              <w:t>Equity in net losses (income) of affiliates, net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7680" w:type="dxa"/>
            <w:vAlign w:val="bottom"/>
          </w:tcPr>
          <w:p>
            <w:pPr>
              <w:ind w:left="34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(316)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53"/>
        </w:trPr>
        <w:tc>
          <w:tcPr>
            <w:tcW w:w="7680" w:type="dxa"/>
            <w:vAlign w:val="bottom"/>
          </w:tcPr>
          <w:p>
            <w:pPr>
              <w:ind w:left="340"/>
              <w:spacing w:after="0" w:line="153" w:lineRule="exact"/>
              <w:rPr>
                <w:sz w:val="20"/>
                <w:szCs w:val="20"/>
                <w:color w:val="auto"/>
              </w:rPr>
            </w:pPr>
            <w:r>
              <w:rPr>
                <w:rFonts w:ascii="Arial" w:cs="Arial" w:eastAsia="Arial" w:hAnsi="Arial"/>
                <w:sz w:val="14"/>
                <w:szCs w:val="14"/>
                <w:color w:val="auto"/>
              </w:rPr>
              <w:t>Deferred income taxes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232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5"/>
        </w:trPr>
        <w:tc>
          <w:tcPr>
            <w:tcW w:w="7680" w:type="dxa"/>
            <w:vAlign w:val="bottom"/>
          </w:tcPr>
          <w:p>
            <w:pPr>
              <w:ind w:left="340"/>
              <w:spacing w:after="0" w:line="145" w:lineRule="exact"/>
              <w:rPr>
                <w:sz w:val="20"/>
                <w:szCs w:val="20"/>
                <w:color w:val="auto"/>
              </w:rPr>
            </w:pPr>
            <w:r>
              <w:rPr>
                <w:rFonts w:ascii="Arial" w:cs="Arial" w:eastAsia="Arial" w:hAnsi="Arial"/>
                <w:sz w:val="14"/>
                <w:szCs w:val="14"/>
                <w:color w:val="auto"/>
              </w:rPr>
              <w:t>Change in accounts receivable, net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162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34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78"/>
        </w:trPr>
        <w:tc>
          <w:tcPr>
            <w:tcW w:w="7680" w:type="dxa"/>
            <w:vAlign w:val="bottom"/>
          </w:tcPr>
          <w:p>
            <w:pPr>
              <w:ind w:left="340"/>
              <w:spacing w:after="0"/>
              <w:rPr>
                <w:sz w:val="20"/>
                <w:szCs w:val="20"/>
                <w:color w:val="auto"/>
              </w:rPr>
            </w:pPr>
            <w:r>
              <w:rPr>
                <w:rFonts w:ascii="Arial" w:cs="Arial" w:eastAsia="Arial" w:hAnsi="Arial"/>
                <w:sz w:val="14"/>
                <w:szCs w:val="14"/>
                <w:color w:val="auto"/>
              </w:rPr>
              <w:t>Change in other operating assets and liabilities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(289)</w:t>
            </w:r>
          </w:p>
        </w:tc>
        <w:tc>
          <w:tcPr>
            <w:tcW w:w="0" w:type="dxa"/>
            <w:vAlign w:val="bottom"/>
          </w:tcPr>
          <w:p>
            <w:pPr>
              <w:spacing w:after="0"/>
              <w:rPr>
                <w:sz w:val="1"/>
                <w:szCs w:val="1"/>
                <w:color w:val="auto"/>
              </w:rPr>
            </w:pPr>
          </w:p>
        </w:tc>
      </w:tr>
      <w:tr>
        <w:trPr>
          <w:trHeight w:val="304"/>
        </w:trPr>
        <w:tc>
          <w:tcPr>
            <w:tcW w:w="7680" w:type="dxa"/>
            <w:vAlign w:val="bottom"/>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114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2,259</w:t>
            </w:r>
          </w:p>
        </w:tc>
        <w:tc>
          <w:tcPr>
            <w:tcW w:w="40" w:type="dxa"/>
            <w:vAlign w:val="bottom"/>
            <w:tcBorders>
              <w:top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6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5"/>
        </w:trPr>
        <w:tc>
          <w:tcPr>
            <w:tcW w:w="7680" w:type="dxa"/>
            <w:vAlign w:val="bottom"/>
          </w:tcPr>
          <w:p>
            <w:pPr>
              <w:ind w:left="180"/>
              <w:spacing w:after="0" w:line="145" w:lineRule="exact"/>
              <w:rPr>
                <w:sz w:val="20"/>
                <w:szCs w:val="20"/>
                <w:color w:val="auto"/>
              </w:rPr>
            </w:pPr>
            <w:r>
              <w:rPr>
                <w:rFonts w:ascii="Arial" w:cs="Arial" w:eastAsia="Arial" w:hAnsi="Arial"/>
                <w:sz w:val="14"/>
                <w:szCs w:val="14"/>
                <w:color w:val="auto"/>
              </w:rPr>
              <w:t>Proceeds from borrowings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Repurchases and repayments of debt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(218)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(352)</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Repurchases of common stock</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Dividends paid</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Issuances of common stock</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7680" w:type="dxa"/>
            <w:vAlign w:val="bottom"/>
          </w:tcPr>
          <w:p>
            <w:pPr>
              <w:ind w:left="180"/>
              <w:spacing w:after="0"/>
              <w:rPr>
                <w:sz w:val="20"/>
                <w:szCs w:val="20"/>
                <w:color w:val="auto"/>
              </w:rPr>
            </w:pPr>
            <w:r>
              <w:rPr>
                <w:rFonts w:ascii="Arial" w:cs="Arial" w:eastAsia="Arial" w:hAnsi="Arial"/>
                <w:sz w:val="14"/>
                <w:szCs w:val="14"/>
                <w:color w:val="auto"/>
              </w:rPr>
              <w:t>Other</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80" w:type="dxa"/>
            <w:vAlign w:val="bottom"/>
          </w:tcPr>
          <w:p>
            <w:pPr>
              <w:ind w:left="660"/>
              <w:spacing w:after="0"/>
              <w:rPr>
                <w:sz w:val="20"/>
                <w:szCs w:val="20"/>
                <w:color w:val="auto"/>
              </w:rPr>
            </w:pPr>
            <w:r>
              <w:rPr>
                <w:rFonts w:ascii="Arial" w:cs="Arial" w:eastAsia="Arial" w:hAnsi="Arial"/>
                <w:sz w:val="14"/>
                <w:szCs w:val="14"/>
                <w:color w:val="auto"/>
              </w:rPr>
              <w:t>Net cash provided by (used in) financing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(512)</w:t>
            </w:r>
          </w:p>
        </w:tc>
        <w:tc>
          <w:tcPr>
            <w:tcW w:w="0" w:type="dxa"/>
            <w:vAlign w:val="bottom"/>
          </w:tcPr>
          <w:p>
            <w:pPr>
              <w:spacing w:after="0"/>
              <w:rPr>
                <w:sz w:val="1"/>
                <w:szCs w:val="1"/>
                <w:color w:val="auto"/>
              </w:rPr>
            </w:pPr>
          </w:p>
        </w:tc>
      </w:tr>
      <w:tr>
        <w:trPr>
          <w:trHeight w:val="27"/>
        </w:trPr>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INVESTING ACTIVITIES</w:t>
            </w:r>
          </w:p>
        </w:tc>
        <w:tc>
          <w:tcPr>
            <w:tcW w:w="1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7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(1,160)</w:t>
            </w:r>
          </w:p>
        </w:tc>
        <w:tc>
          <w:tcPr>
            <w:tcW w:w="0" w:type="dxa"/>
            <w:vAlign w:val="bottom"/>
          </w:tcPr>
          <w:p>
            <w:pPr>
              <w:spacing w:after="0"/>
              <w:rPr>
                <w:sz w:val="1"/>
                <w:szCs w:val="1"/>
                <w:color w:val="auto"/>
              </w:rPr>
            </w:pPr>
          </w:p>
        </w:tc>
      </w:tr>
      <w:tr>
        <w:trPr>
          <w:trHeight w:val="145"/>
        </w:trPr>
        <w:tc>
          <w:tcPr>
            <w:tcW w:w="7680" w:type="dxa"/>
            <w:vAlign w:val="bottom"/>
          </w:tcPr>
          <w:p>
            <w:pPr>
              <w:ind w:left="180"/>
              <w:spacing w:after="0" w:line="145" w:lineRule="exact"/>
              <w:rPr>
                <w:sz w:val="20"/>
                <w:szCs w:val="20"/>
                <w:color w:val="auto"/>
              </w:rPr>
            </w:pPr>
            <w:r>
              <w:rPr>
                <w:rFonts w:ascii="Arial" w:cs="Arial" w:eastAsia="Arial" w:hAnsi="Arial"/>
                <w:sz w:val="14"/>
                <w:szCs w:val="14"/>
                <w:color w:val="auto"/>
              </w:rPr>
              <w:t>Capital expenditures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5" w:lineRule="exact"/>
              <w:rPr>
                <w:sz w:val="20"/>
                <w:szCs w:val="20"/>
                <w:color w:val="auto"/>
              </w:rPr>
            </w:pPr>
            <w:r>
              <w:rPr>
                <w:rFonts w:ascii="Arial" w:cs="Arial" w:eastAsia="Arial" w:hAnsi="Arial"/>
                <w:sz w:val="14"/>
                <w:szCs w:val="14"/>
                <w:color w:val="auto"/>
              </w:rPr>
              <w:t>(1,431)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Acquisitions, net of cash acquired</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Proceeds from sales of investments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49"/>
        </w:trPr>
        <w:tc>
          <w:tcPr>
            <w:tcW w:w="7680" w:type="dxa"/>
            <w:vAlign w:val="bottom"/>
          </w:tcPr>
          <w:p>
            <w:pPr>
              <w:ind w:left="180"/>
              <w:spacing w:after="0" w:line="149" w:lineRule="exact"/>
              <w:rPr>
                <w:sz w:val="20"/>
                <w:szCs w:val="20"/>
                <w:color w:val="auto"/>
              </w:rPr>
            </w:pPr>
            <w:r>
              <w:rPr>
                <w:rFonts w:ascii="Arial" w:cs="Arial" w:eastAsia="Arial" w:hAnsi="Arial"/>
                <w:sz w:val="14"/>
                <w:szCs w:val="14"/>
                <w:color w:val="auto"/>
              </w:rPr>
              <w:t>Purchases of investments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78"/>
        </w:trPr>
        <w:tc>
          <w:tcPr>
            <w:tcW w:w="7680" w:type="dxa"/>
            <w:vAlign w:val="bottom"/>
          </w:tcPr>
          <w:p>
            <w:pPr>
              <w:ind w:left="180"/>
              <w:spacing w:after="0"/>
              <w:rPr>
                <w:sz w:val="20"/>
                <w:szCs w:val="20"/>
                <w:color w:val="auto"/>
              </w:rPr>
            </w:pPr>
            <w:r>
              <w:rPr>
                <w:rFonts w:ascii="Arial" w:cs="Arial" w:eastAsia="Arial" w:hAnsi="Arial"/>
                <w:sz w:val="14"/>
                <w:szCs w:val="14"/>
                <w:color w:val="auto"/>
              </w:rPr>
              <w:t>Other</w:t>
            </w: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680" w:type="dxa"/>
            <w:vAlign w:val="bottom"/>
          </w:tcPr>
          <w:p>
            <w:pPr>
              <w:ind w:left="660"/>
              <w:spacing w:after="0"/>
              <w:rPr>
                <w:sz w:val="20"/>
                <w:szCs w:val="20"/>
                <w:color w:val="auto"/>
              </w:rPr>
            </w:pPr>
            <w:r>
              <w:rPr>
                <w:rFonts w:ascii="Arial" w:cs="Arial" w:eastAsia="Arial" w:hAnsi="Arial"/>
                <w:sz w:val="14"/>
                <w:szCs w:val="14"/>
                <w:color w:val="auto"/>
              </w:rPr>
              <w:t>Net cash provided by (used in) investing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(1,543)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(1,316)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76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684</w:t>
            </w:r>
          </w:p>
        </w:tc>
        <w:tc>
          <w:tcPr>
            <w:tcW w:w="0" w:type="dxa"/>
            <w:vAlign w:val="bottom"/>
          </w:tcPr>
          <w:p>
            <w:pPr>
              <w:spacing w:after="0"/>
              <w:rPr>
                <w:sz w:val="1"/>
                <w:szCs w:val="1"/>
                <w:color w:val="auto"/>
              </w:rPr>
            </w:pPr>
          </w:p>
        </w:tc>
      </w:tr>
      <w:tr>
        <w:trPr>
          <w:trHeight w:val="289"/>
        </w:trPr>
        <w:tc>
          <w:tcPr>
            <w:tcW w:w="76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635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1,879</w:t>
            </w:r>
          </w:p>
        </w:tc>
        <w:tc>
          <w:tcPr>
            <w:tcW w:w="0" w:type="dxa"/>
            <w:vAlign w:val="bottom"/>
          </w:tcPr>
          <w:p>
            <w:pPr>
              <w:spacing w:after="0"/>
              <w:rPr>
                <w:sz w:val="1"/>
                <w:szCs w:val="1"/>
                <w:color w:val="auto"/>
              </w:rPr>
            </w:pPr>
          </w:p>
        </w:tc>
      </w:tr>
      <w:tr>
        <w:trPr>
          <w:trHeight w:val="21"/>
        </w:trPr>
        <w:tc>
          <w:tcPr>
            <w:tcW w:w="7680" w:type="dxa"/>
            <w:vAlign w:val="bottom"/>
            <w:vMerge w:val="restart"/>
          </w:tcPr>
          <w:p>
            <w:pPr>
              <w:ind w:left="5680"/>
              <w:spacing w:after="0"/>
              <w:rPr>
                <w:sz w:val="20"/>
                <w:szCs w:val="20"/>
                <w:color w:val="auto"/>
              </w:rPr>
            </w:pPr>
            <w:r>
              <w:rPr>
                <w:rFonts w:ascii="Arial" w:cs="Arial" w:eastAsia="Arial" w:hAnsi="Arial"/>
                <w:sz w:val="14"/>
                <w:szCs w:val="14"/>
                <w:color w:val="auto"/>
              </w:rPr>
              <w:t>7</w:t>
            </w: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7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7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6400800</wp:posOffset>
            </wp:positionH>
            <wp:positionV relativeFrom="page">
              <wp:posOffset>243205</wp:posOffset>
            </wp:positionV>
            <wp:extent cx="9347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934720" cy="274320"/>
                    </a:xfrm>
                    <a:prstGeom prst="rect">
                      <a:avLst/>
                    </a:prstGeom>
                    <a:noFill/>
                  </pic:spPr>
                </pic:pic>
              </a:graphicData>
            </a:graphic>
          </wp:anchor>
        </w:drawing>
        <w:t>TABLE 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Net Income attributable to Comcast Corporation to Adjusted Net Income attributable to Comcast Corporation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80" w:type="dxa"/>
        <w:tblCellMar>
          <w:top w:w="0" w:type="dxa"/>
          <w:left w:w="0" w:type="dxa"/>
          <w:bottom w:w="0" w:type="dxa"/>
          <w:right w:w="0" w:type="dxa"/>
        </w:tblCellMar>
      </w:tblPr>
      <w:tr>
        <w:trPr>
          <w:trHeight w:val="35"/>
        </w:trPr>
        <w:tc>
          <w:tcPr>
            <w:tcW w:w="3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2009 vs. 2008</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86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Growth (%)</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20" w:type="dxa"/>
            <w:vAlign w:val="bottom"/>
            <w:gridSpan w:val="3"/>
            <w:vMerge w:val="restart"/>
          </w:tcPr>
          <w:p>
            <w:pPr>
              <w:jc w:val="right"/>
              <w:ind w:right="280"/>
              <w:spacing w:after="0"/>
              <w:rPr>
                <w:sz w:val="20"/>
                <w:szCs w:val="20"/>
                <w:color w:val="auto"/>
              </w:rPr>
            </w:pPr>
            <w:r>
              <w:rPr>
                <w:rFonts w:ascii="Arial" w:cs="Arial" w:eastAsia="Arial" w:hAnsi="Arial"/>
                <w:sz w:val="28"/>
                <w:szCs w:val="28"/>
                <w:color w:val="auto"/>
                <w:vertAlign w:val="subscript"/>
              </w:rPr>
              <w:t>EPS</w:t>
            </w:r>
            <w:r>
              <w:rPr>
                <w:rFonts w:ascii="Arial" w:cs="Arial" w:eastAsia="Arial" w:hAnsi="Arial"/>
                <w:sz w:val="10"/>
                <w:szCs w:val="10"/>
                <w:b w:val="1"/>
                <w:bCs w:val="1"/>
                <w:color w:val="auto"/>
              </w:rPr>
              <w:t xml:space="preserve"> (1)</w:t>
            </w:r>
          </w:p>
        </w:tc>
        <w:tc>
          <w:tcPr>
            <w:tcW w:w="500" w:type="dxa"/>
            <w:vAlign w:val="bottom"/>
          </w:tcPr>
          <w:p>
            <w:pPr>
              <w:spacing w:after="0"/>
              <w:rPr>
                <w:sz w:val="14"/>
                <w:szCs w:val="14"/>
                <w:color w:val="auto"/>
              </w:rPr>
            </w:pPr>
          </w:p>
        </w:tc>
        <w:tc>
          <w:tcPr>
            <w:tcW w:w="6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80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28"/>
                <w:szCs w:val="28"/>
                <w:b w:val="1"/>
                <w:bCs w:val="1"/>
                <w:color w:val="auto"/>
                <w:w w:val="95"/>
                <w:vertAlign w:val="subscript"/>
              </w:rPr>
              <w:t>EPS</w:t>
            </w:r>
            <w:r>
              <w:rPr>
                <w:rFonts w:ascii="Arial" w:cs="Arial" w:eastAsia="Arial" w:hAnsi="Arial"/>
                <w:sz w:val="10"/>
                <w:szCs w:val="10"/>
                <w:color w:val="auto"/>
                <w:w w:val="95"/>
              </w:rPr>
              <w:t xml:space="preserve"> (1)</w:t>
            </w:r>
          </w:p>
        </w:tc>
        <w:tc>
          <w:tcPr>
            <w:tcW w:w="100" w:type="dxa"/>
            <w:vAlign w:val="bottom"/>
          </w:tcPr>
          <w:p>
            <w:pPr>
              <w:spacing w:after="0"/>
              <w:rPr>
                <w:sz w:val="14"/>
                <w:szCs w:val="14"/>
                <w:color w:val="auto"/>
              </w:rPr>
            </w:pPr>
          </w:p>
        </w:tc>
        <w:tc>
          <w:tcPr>
            <w:tcW w:w="1660" w:type="dxa"/>
            <w:vAlign w:val="bottom"/>
            <w:vMerge w:val="restart"/>
          </w:tcPr>
          <w:p>
            <w:pPr>
              <w:jc w:val="right"/>
              <w:ind w:right="102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28"/>
                <w:szCs w:val="28"/>
                <w:b w:val="1"/>
                <w:bCs w:val="1"/>
                <w:color w:val="auto"/>
                <w:vertAlign w:val="subscript"/>
              </w:rPr>
              <w:t>EPS</w:t>
            </w:r>
            <w:r>
              <w:rPr>
                <w:rFonts w:ascii="Arial" w:cs="Arial" w:eastAsia="Arial" w:hAnsi="Arial"/>
                <w:sz w:val="10"/>
                <w:szCs w:val="10"/>
                <w:b w:val="1"/>
                <w:bCs w:val="1"/>
                <w:color w:val="auto"/>
              </w:rPr>
              <w:t xml:space="preserve"> (1)</w:t>
            </w:r>
          </w:p>
        </w:tc>
        <w:tc>
          <w:tcPr>
            <w:tcW w:w="0" w:type="dxa"/>
            <w:vAlign w:val="bottom"/>
          </w:tcPr>
          <w:p>
            <w:pPr>
              <w:spacing w:after="0"/>
              <w:rPr>
                <w:sz w:val="1"/>
                <w:szCs w:val="1"/>
                <w:color w:val="auto"/>
              </w:rPr>
            </w:pPr>
          </w:p>
        </w:tc>
      </w:tr>
      <w:tr>
        <w:trPr>
          <w:trHeight w:val="235"/>
        </w:trPr>
        <w:tc>
          <w:tcPr>
            <w:tcW w:w="3860" w:type="dxa"/>
            <w:vAlign w:val="bottom"/>
            <w:vMerge w:val="restart"/>
          </w:tcPr>
          <w:p>
            <w:pPr>
              <w:spacing w:after="0"/>
              <w:rPr>
                <w:sz w:val="20"/>
                <w:szCs w:val="20"/>
                <w:color w:val="auto"/>
              </w:rPr>
            </w:pPr>
            <w:r>
              <w:rPr>
                <w:rFonts w:ascii="Arial" w:cs="Arial" w:eastAsia="Arial" w:hAnsi="Arial"/>
                <w:sz w:val="14"/>
                <w:szCs w:val="14"/>
                <w:color w:val="auto"/>
              </w:rPr>
              <w:t>Net Income attributable to Comcast Corporation</w:t>
            </w: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860" w:type="dxa"/>
            <w:vAlign w:val="bottom"/>
            <w:vMerge w:val="continue"/>
          </w:tcPr>
          <w:p>
            <w:pPr>
              <w:spacing w:after="0"/>
              <w:rPr>
                <w:sz w:val="16"/>
                <w:szCs w:val="16"/>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732</w:t>
            </w:r>
          </w:p>
        </w:tc>
        <w:tc>
          <w:tcPr>
            <w:tcW w:w="3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772</w:t>
            </w:r>
          </w:p>
        </w:tc>
        <w:tc>
          <w:tcPr>
            <w:tcW w:w="4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0.27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6%</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860" w:type="dxa"/>
            <w:vAlign w:val="bottom"/>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860" w:type="dxa"/>
            <w:vAlign w:val="bottom"/>
          </w:tcPr>
          <w:p>
            <w:pPr>
              <w:ind w:left="180"/>
              <w:spacing w:after="0"/>
              <w:rPr>
                <w:sz w:val="20"/>
                <w:szCs w:val="20"/>
                <w:color w:val="auto"/>
              </w:rPr>
            </w:pPr>
            <w:r>
              <w:rPr>
                <w:rFonts w:ascii="Arial" w:cs="Arial" w:eastAsia="Arial" w:hAnsi="Arial"/>
                <w:sz w:val="14"/>
                <w:szCs w:val="14"/>
                <w:color w:val="auto"/>
              </w:rPr>
              <w:t>Gain related to the dissolution of the Insight Midwest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480"/>
              <w:spacing w:after="0" w:line="179" w:lineRule="exact"/>
              <w:rPr>
                <w:sz w:val="20"/>
                <w:szCs w:val="20"/>
                <w:color w:val="auto"/>
              </w:rPr>
            </w:pPr>
            <w:r>
              <w:rPr>
                <w:rFonts w:ascii="Arial" w:cs="Arial" w:eastAsia="Arial" w:hAnsi="Arial"/>
                <w:sz w:val="14"/>
                <w:szCs w:val="14"/>
                <w:color w:val="auto"/>
              </w:rPr>
              <w:t xml:space="preserve">partnership, net of tax </w:t>
            </w:r>
            <w:r>
              <w:rPr>
                <w:rFonts w:ascii="Arial" w:cs="Arial" w:eastAsia="Arial" w:hAnsi="Arial"/>
                <w:sz w:val="20"/>
                <w:szCs w:val="20"/>
                <w:color w:val="auto"/>
                <w:vertAlign w:val="superscript"/>
              </w:rPr>
              <w:t>(2)</w:t>
            </w:r>
          </w:p>
        </w:tc>
        <w:tc>
          <w:tcPr>
            <w:tcW w:w="3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36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(0.05)</w:t>
            </w:r>
          </w:p>
        </w:tc>
        <w:tc>
          <w:tcPr>
            <w:tcW w:w="5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60" w:type="dxa"/>
            <w:vAlign w:val="bottom"/>
          </w:tcPr>
          <w:p>
            <w:pPr>
              <w:ind w:left="700"/>
              <w:spacing w:after="0"/>
              <w:rPr>
                <w:sz w:val="20"/>
                <w:szCs w:val="20"/>
                <w:color w:val="auto"/>
              </w:rPr>
            </w:pPr>
            <w:r>
              <w:rPr>
                <w:rFonts w:ascii="Arial" w:cs="Arial" w:eastAsia="Arial" w:hAnsi="Arial"/>
                <w:sz w:val="14"/>
                <w:szCs w:val="14"/>
                <w:color w:val="auto"/>
              </w:rPr>
              <w:t>NM</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97"/>
        </w:trPr>
        <w:tc>
          <w:tcPr>
            <w:tcW w:w="3860" w:type="dxa"/>
            <w:vAlign w:val="bottom"/>
          </w:tcPr>
          <w:p>
            <w:pPr>
              <w:spacing w:after="0"/>
              <w:rPr>
                <w:sz w:val="20"/>
                <w:szCs w:val="20"/>
                <w:color w:val="auto"/>
              </w:rPr>
            </w:pPr>
            <w:r>
              <w:rPr>
                <w:rFonts w:ascii="Arial" w:cs="Arial" w:eastAsia="Arial" w:hAnsi="Arial"/>
                <w:sz w:val="14"/>
                <w:szCs w:val="14"/>
                <w:color w:val="auto"/>
              </w:rPr>
              <w:t>Adjusted Net Income attributable to Comcast Corporation</w:t>
            </w: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588</w:t>
            </w: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0.19</w:t>
            </w:r>
          </w:p>
        </w:tc>
        <w:tc>
          <w:tcPr>
            <w:tcW w:w="22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772</w:t>
            </w: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460" w:hanging="290"/>
        <w:spacing w:after="0"/>
        <w:tabs>
          <w:tab w:leader="none" w:pos="46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Based on diluted average number of common shares for the respective periods as presented in Table 1.</w:t>
      </w:r>
    </w:p>
    <w:p>
      <w:pPr>
        <w:spacing w:after="0" w:line="124" w:lineRule="exact"/>
        <w:rPr>
          <w:rFonts w:ascii="Arial" w:cs="Arial" w:eastAsia="Arial" w:hAnsi="Arial"/>
          <w:sz w:val="29"/>
          <w:szCs w:val="29"/>
          <w:color w:val="auto"/>
          <w:vertAlign w:val="superscript"/>
        </w:rPr>
      </w:pPr>
    </w:p>
    <w:p>
      <w:pPr>
        <w:ind w:left="460" w:hanging="290"/>
        <w:spacing w:after="0" w:line="191" w:lineRule="auto"/>
        <w:tabs>
          <w:tab w:leader="none" w:pos="46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2008 Net Income attributable to Comcast Corporation includes a $235 million ($144 million net of tax) gain related to the dissolution of the Insight Midwest Partnership.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70"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14"/>
          <w:szCs w:val="14"/>
          <w:b w:val="1"/>
          <w:bCs w:val="1"/>
          <w:color w:val="auto"/>
        </w:rPr>
        <w:t>Exhibit 99.2 – Explanation of Non-GAAP and Other Financial Measures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Operating Cash Flow is the measure of our business segment profit or loss, we reconcile it to operating income, the most directly comparable financial measure calculated and presented in accordance with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99"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Exhibit 99.2 – Explanation of Non-GAAP and Other Financial Measures, cont’d</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We provide reconciliations of Free Cash Flow in Exhibit 99.1 to this current report on Form 8-K and of Consolidated Operating Cash Flow in Table 1 and Adjusted Data in Table 4 set forth in Exhibit 99.1 to this Current Report on Form 8-K.</w:t>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2019-12-10T21:40:59Z</dcterms:created>
  <dcterms:modified xsi:type="dcterms:W3CDTF">2019-12-10T21:40:59Z</dcterms:modified>
</cp:coreProperties>
</file>