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2,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719" w:right="27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8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23,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333-174175</w:t>
      </w:r>
    </w:p>
    <w:p>
      <w:pPr>
        <w:spacing w:after="0" w:line="200" w:lineRule="exact"/>
        <w:rPr>
          <w:sz w:val="24"/>
          <w:szCs w:val="24"/>
          <w:color w:val="auto"/>
        </w:rPr>
      </w:pPr>
    </w:p>
    <w:p>
      <w:pPr>
        <w:sectPr>
          <w:pgSz w:w="11900" w:h="16838" w:orient="portrait"/>
          <w:cols w:equalWidth="0" w:num="2">
            <w:col w:w="1080" w:space="720"/>
            <w:col w:w="9580"/>
          </w:cols>
          <w:pgMar w:left="240" w:top="719"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Mr. Spirgel:</w:t>
      </w:r>
    </w:p>
    <w:p>
      <w:pPr>
        <w:sectPr>
          <w:pgSz w:w="11900" w:h="16838" w:orient="portrait"/>
          <w:cols w:equalWidth="0" w:num="1">
            <w:col w:w="11380"/>
          </w:cols>
          <w:pgMar w:left="240" w:top="719" w:right="279" w:bottom="1440" w:gutter="0" w:footer="0" w:header="0"/>
          <w:type w:val="continuous"/>
        </w:sectPr>
      </w:pPr>
    </w:p>
    <w:p>
      <w:pPr>
        <w:spacing w:after="0" w:line="275"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June 28, 2012, relating to the review of our Form 10-K for the fiscal year ended December 31, 2011 (the “Form 10-K”).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Statement of Income, page 47</w:t>
      </w:r>
    </w:p>
    <w:p>
      <w:pPr>
        <w:spacing w:after="0" w:line="252" w:lineRule="exact"/>
        <w:rPr>
          <w:sz w:val="24"/>
          <w:szCs w:val="24"/>
          <w:color w:val="auto"/>
        </w:rPr>
      </w:pPr>
    </w:p>
    <w:p>
      <w:pPr>
        <w:ind w:left="820" w:hanging="488"/>
        <w:spacing w:after="0"/>
        <w:tabs>
          <w:tab w:leader="none" w:pos="8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presentation to comply with the reporting requirements of Rule 5-03 of Regulation S-X.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We note that the Staff provided a nearly identical comment to Comcast Corporation in connection with the Staff’s review of Comcast’s Form 10-K for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fiscal year ended December 31, 2011. Specifically, in Comment 3 to the letter dated June 28, 2012 to Comcast, the Staff stated, “We note that beginning with</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your March 31, 2011 Form 10-Q, you changed your presentation. Please revise to comply with the reporting requirements of Rule 5-03 of Regulation S-</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X.” As NBCUniversal Media, LLC is a consolidated subsidiary of Comcast, we respectfully refer you to the response to such Comment No. 3 included in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correspondence submitted to the Staff by Comcast on August 2, 2012, a copy of which is attached as Appendix I to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19" w:right="279" w:bottom="1440" w:gutter="0" w:footer="0" w:header="0"/>
          <w:type w:val="continuous"/>
        </w:sectPr>
      </w:pPr>
    </w:p>
    <w:bookmarkStart w:id="1" w:name="page2"/>
    <w:bookmarkEnd w:id="1"/>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response to the Staff’s comments, NBCUniversal Media, LLC acknowledges that:</w:t>
      </w:r>
    </w:p>
    <w:p>
      <w:pPr>
        <w:spacing w:after="0" w:line="252" w:lineRule="exact"/>
        <w:rPr>
          <w:sz w:val="20"/>
          <w:szCs w:val="20"/>
          <w:color w:val="auto"/>
        </w:rPr>
      </w:pPr>
    </w:p>
    <w:p>
      <w:pPr>
        <w:ind w:left="660" w:hanging="35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Media, LLC is responsible for the adequacy and accuracy of the disclosure in the filing;</w:t>
      </w:r>
    </w:p>
    <w:p>
      <w:pPr>
        <w:spacing w:after="0" w:line="252" w:lineRule="exact"/>
        <w:rPr>
          <w:rFonts w:ascii="Arial" w:cs="Arial" w:eastAsia="Arial" w:hAnsi="Arial"/>
          <w:sz w:val="18"/>
          <w:szCs w:val="18"/>
          <w:color w:val="auto"/>
        </w:rPr>
      </w:pPr>
    </w:p>
    <w:p>
      <w:pPr>
        <w:ind w:left="660" w:hanging="35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hanging="35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Media, LLC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7520" w:hanging="352"/>
        <w:spacing w:after="0" w:line="271"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Brian L. Roberts, Principal Executive Officer Michael J. Angelakis, Principal Financial Officer Arthur R. Block, Senior Vice President</w:t>
      </w:r>
    </w:p>
    <w:p>
      <w:pPr>
        <w:ind w:left="360" w:right="5040"/>
        <w:spacing w:after="0" w:line="250" w:lineRule="auto"/>
        <w:rPr>
          <w:rFonts w:ascii="Arial" w:cs="Arial" w:eastAsia="Arial" w:hAnsi="Arial"/>
          <w:sz w:val="17"/>
          <w:szCs w:val="17"/>
          <w:color w:val="auto"/>
        </w:rPr>
      </w:pPr>
      <w:r>
        <w:rPr>
          <w:rFonts w:ascii="Arial" w:cs="Arial" w:eastAsia="Arial" w:hAnsi="Arial"/>
          <w:sz w:val="18"/>
          <w:szCs w:val="18"/>
          <w:color w:val="auto"/>
        </w:rPr>
        <w:t>J. Michael Cook, Director and Chairman of Comcast Corporation Audit Committee Bruce K. Dallas, Davis Polk &amp; Wardwell LLP</w:t>
      </w:r>
    </w:p>
    <w:p>
      <w:pPr>
        <w:jc w:val="both"/>
        <w:ind w:left="360" w:right="8300"/>
        <w:spacing w:after="0" w:line="290" w:lineRule="auto"/>
        <w:rPr>
          <w:rFonts w:ascii="Arial" w:cs="Arial" w:eastAsia="Arial" w:hAnsi="Arial"/>
          <w:sz w:val="17"/>
          <w:szCs w:val="17"/>
          <w:color w:val="auto"/>
        </w:rPr>
      </w:pPr>
      <w:r>
        <w:rPr>
          <w:rFonts w:ascii="Arial" w:cs="Arial" w:eastAsia="Arial" w:hAnsi="Arial"/>
          <w:sz w:val="17"/>
          <w:szCs w:val="17"/>
          <w:color w:val="auto"/>
        </w:rPr>
        <w:t>Michael Titta, Deloitte &amp; Touche LLP John Malvisi, Deloitte &amp; Touche LLP</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 w:name="page3"/>
    <w:bookmarkEnd w:id="2"/>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560"/>
        <w:spacing w:after="0"/>
        <w:rPr>
          <w:sz w:val="20"/>
          <w:szCs w:val="20"/>
          <w:color w:val="auto"/>
        </w:rPr>
      </w:pPr>
      <w:r>
        <w:rPr>
          <w:rFonts w:ascii="Arial" w:cs="Arial" w:eastAsia="Arial" w:hAnsi="Arial"/>
          <w:sz w:val="16"/>
          <w:szCs w:val="16"/>
          <w:b w:val="1"/>
          <w:bCs w:val="1"/>
          <w:u w:val="single" w:color="auto"/>
          <w:color w:val="auto"/>
        </w:rPr>
        <w:t>Appendix I</w:t>
      </w:r>
    </w:p>
    <w:p>
      <w:pPr>
        <w:spacing w:after="0" w:line="27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u w:val="single" w:color="auto"/>
          <w:color w:val="auto"/>
        </w:rPr>
        <w:t>Response to Comment No. 3, as Set Forth in Letter Dated August 2, 2012 from Comcast Corporation to Mr. Larry Spirgel, Assistant Director in the Division of Corporation Finance of the Securities and Exchange Commission Regarding the Comcast Corporation Form 10-K for the Fiscal Year Ended December 31, 2011, Filed February 23,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 of Income, page 78</w:t>
      </w:r>
    </w:p>
    <w:p>
      <w:pPr>
        <w:spacing w:after="0" w:line="252" w:lineRule="exact"/>
        <w:rPr>
          <w:sz w:val="20"/>
          <w:szCs w:val="20"/>
          <w:color w:val="auto"/>
        </w:rPr>
      </w:pPr>
    </w:p>
    <w:p>
      <w:pPr>
        <w:ind w:left="820" w:hanging="488"/>
        <w:spacing w:after="0" w:line="277"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beginning with your March 31, 2011 Form 10-Q, you changed your presentation. Please revise to comply with the reporting requirements of Rule 5-03 of Regulation S-X.</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respectfully submit that our current income statement presentation complies with the reporting requirements of Rule 5-03. As indicated in Rule 5-03 of Regulation S-X, its purpose is to specify the various line items that, </w:t>
      </w:r>
      <w:r>
        <w:rPr>
          <w:rFonts w:ascii="Arial" w:cs="Arial" w:eastAsia="Arial" w:hAnsi="Arial"/>
          <w:sz w:val="17"/>
          <w:szCs w:val="17"/>
          <w:i w:val="1"/>
          <w:iCs w:val="1"/>
          <w:color w:val="auto"/>
        </w:rPr>
        <w:t>if applicable</w:t>
      </w:r>
      <w:r>
        <w:rPr>
          <w:rFonts w:ascii="Arial" w:cs="Arial" w:eastAsia="Arial" w:hAnsi="Arial"/>
          <w:sz w:val="17"/>
          <w:szCs w:val="17"/>
          <w:color w:val="auto"/>
        </w:rPr>
        <w:t>, and except as otherwise permitted by the Commission, should appear on the face of an income statement (emphasis added). A cross reference is made in Rule 5-03 to Rule 4-01(a), which provides guidance on the form, order and terminology used in presenting financial statements. The numbered captions in Rule 5-03 include separate presentation of costs and expenses applicable to sales and revenues, and selling, general and administrative expenses (“SG&amp;A”), respectively.</w:t>
      </w:r>
    </w:p>
    <w:p>
      <w:pPr>
        <w:spacing w:after="0" w:line="2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Beginning in our March 31, 2011 Form 10-Q, we changed the presentation in our consolidated statement of income to provide the line item, “Operating costs and expenses (before depreciation and amortization),” with supplemental additional expense line items in our footnotes. Our prior presentation had included separate line items for “Operating” expense and “Selling, General and Administrative” expense. We believe that the change in the income statement presentation, combined with the supplemental footnote disclosure, provides a more meaningful presentation of our operating costs and expenses, while continuing to comply with the reporting objectives of Rule 5-03 of Regulation S-X.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disclosures relating to our operating costs and expenses in our March 31, 2011 Form 10-Q (the “Form 10-Q”):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Condensed Consolidated Statement of Income (excerpt):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jc w:val="right"/>
              <w:ind w:right="390"/>
              <w:spacing w:after="0"/>
              <w:rPr>
                <w:sz w:val="20"/>
                <w:szCs w:val="20"/>
                <w:color w:val="auto"/>
              </w:rPr>
            </w:pPr>
            <w:r>
              <w:rPr>
                <w:rFonts w:ascii="Arial" w:cs="Arial" w:eastAsia="Arial" w:hAnsi="Arial"/>
                <w:sz w:val="18"/>
                <w:szCs w:val="18"/>
                <w:color w:val="auto"/>
                <w:w w:val="98"/>
              </w:rPr>
              <w:t>Three Months Ended</w:t>
            </w: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2010</w:t>
            </w:r>
          </w:p>
        </w:tc>
      </w:tr>
      <w:tr>
        <w:trPr>
          <w:trHeight w:val="202"/>
        </w:trPr>
        <w:tc>
          <w:tcPr>
            <w:tcW w:w="20" w:type="dxa"/>
            <w:vAlign w:val="bottom"/>
          </w:tcPr>
          <w:p>
            <w:pPr>
              <w:spacing w:after="0"/>
              <w:rPr>
                <w:sz w:val="17"/>
                <w:szCs w:val="17"/>
                <w:color w:val="auto"/>
              </w:rPr>
            </w:pPr>
          </w:p>
        </w:tc>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Costs and Expenses:</w:t>
            </w:r>
          </w:p>
        </w:tc>
        <w:tc>
          <w:tcPr>
            <w:tcW w:w="3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w w:val="91"/>
              </w:rPr>
              <w:t>Operating costs and expenses (excluding depreciation and amortization)</w:t>
            </w:r>
          </w:p>
        </w:tc>
        <w:tc>
          <w:tcPr>
            <w:tcW w:w="3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5,637</w:t>
            </w:r>
          </w:p>
        </w:tc>
      </w:tr>
      <w:tr>
        <w:trPr>
          <w:trHeight w:val="216"/>
        </w:trPr>
        <w:tc>
          <w:tcPr>
            <w:tcW w:w="20" w:type="dxa"/>
            <w:vAlign w:val="bottom"/>
          </w:tcPr>
          <w:p>
            <w:pPr>
              <w:spacing w:after="0"/>
              <w:rPr>
                <w:sz w:val="18"/>
                <w:szCs w:val="18"/>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1,379</w:t>
            </w:r>
          </w:p>
        </w:tc>
      </w:tr>
      <w:tr>
        <w:trPr>
          <w:trHeight w:val="237"/>
        </w:trPr>
        <w:tc>
          <w:tcPr>
            <w:tcW w:w="20" w:type="dxa"/>
            <w:vAlign w:val="bottom"/>
          </w:tcPr>
          <w:p>
            <w:pPr>
              <w:spacing w:after="0"/>
              <w:rPr>
                <w:sz w:val="20"/>
                <w:szCs w:val="20"/>
                <w:color w:val="auto"/>
              </w:rPr>
            </w:pPr>
          </w:p>
        </w:tc>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3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9,904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7,267</w:t>
            </w:r>
          </w:p>
        </w:tc>
      </w:tr>
      <w:tr>
        <w:trPr>
          <w:trHeight w:val="85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500" w:type="dxa"/>
            <w:vAlign w:val="bottom"/>
          </w:tcPr>
          <w:p>
            <w:pPr>
              <w:jc w:val="right"/>
              <w:ind w:right="3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Securities and Exchange Commission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2"/>
              </w:rPr>
              <w:t>August 2, 2012</w:t>
            </w:r>
          </w:p>
        </w:tc>
      </w:tr>
      <w:tr>
        <w:trPr>
          <w:trHeight w:val="689"/>
        </w:trPr>
        <w:tc>
          <w:tcPr>
            <w:tcW w:w="7960" w:type="dxa"/>
            <w:vAlign w:val="bottom"/>
            <w:gridSpan w:val="3"/>
          </w:tcPr>
          <w:p>
            <w:pPr>
              <w:spacing w:after="0"/>
              <w:rPr>
                <w:sz w:val="20"/>
                <w:szCs w:val="20"/>
                <w:color w:val="auto"/>
              </w:rPr>
            </w:pPr>
            <w:r>
              <w:rPr>
                <w:rFonts w:ascii="Arial" w:cs="Arial" w:eastAsia="Arial" w:hAnsi="Arial"/>
                <w:sz w:val="18"/>
                <w:szCs w:val="18"/>
                <w:i w:val="1"/>
                <w:iCs w:val="1"/>
                <w:color w:val="auto"/>
              </w:rPr>
              <w:t>Note 14: Supplemental Financial Information (excerpt):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96"/>
        </w:trPr>
        <w:tc>
          <w:tcPr>
            <w:tcW w:w="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3900" w:type="dxa"/>
            <w:vAlign w:val="bottom"/>
          </w:tcPr>
          <w:p>
            <w:pPr>
              <w:ind w:left="480"/>
              <w:spacing w:after="0"/>
              <w:rPr>
                <w:sz w:val="20"/>
                <w:szCs w:val="20"/>
                <w:color w:val="auto"/>
              </w:rPr>
            </w:pPr>
            <w:r>
              <w:rPr>
                <w:rFonts w:ascii="Arial" w:cs="Arial" w:eastAsia="Arial" w:hAnsi="Arial"/>
                <w:sz w:val="18"/>
                <w:szCs w:val="18"/>
                <w:b w:val="1"/>
                <w:bCs w:val="1"/>
                <w:color w:val="auto"/>
              </w:rPr>
              <w:t>Operating Costs and Expenses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center"/>
              <w:ind w:right="23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0"/>
              </w:rPr>
              <w:t>March 31</w:t>
            </w:r>
          </w:p>
        </w:tc>
        <w:tc>
          <w:tcPr>
            <w:tcW w:w="840" w:type="dxa"/>
            <w:vAlign w:val="bottom"/>
            <w:tcBorders>
              <w:bottom w:val="single" w:sz="8" w:color="auto"/>
            </w:tcBorders>
          </w:tcPr>
          <w:p>
            <w:pPr>
              <w:spacing w:after="0"/>
              <w:rPr>
                <w:sz w:val="20"/>
                <w:szCs w:val="20"/>
                <w:color w:val="auto"/>
              </w:rPr>
            </w:pPr>
          </w:p>
        </w:tc>
      </w:tr>
      <w:tr>
        <w:trPr>
          <w:trHeight w:val="223"/>
        </w:trPr>
        <w:tc>
          <w:tcPr>
            <w:tcW w:w="79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94"/>
              </w:rPr>
              <w:t>2010</w:t>
            </w:r>
          </w:p>
        </w:tc>
      </w:tr>
      <w:tr>
        <w:trPr>
          <w:trHeight w:val="202"/>
        </w:trPr>
        <w:tc>
          <w:tcPr>
            <w:tcW w:w="20" w:type="dxa"/>
            <w:vAlign w:val="bottom"/>
          </w:tcPr>
          <w:p>
            <w:pPr>
              <w:spacing w:after="0"/>
              <w:rPr>
                <w:sz w:val="17"/>
                <w:szCs w:val="17"/>
                <w:color w:val="auto"/>
              </w:rPr>
            </w:pPr>
          </w:p>
        </w:tc>
        <w:tc>
          <w:tcPr>
            <w:tcW w:w="79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Programming and production</w:t>
            </w:r>
          </w:p>
        </w:tc>
        <w:tc>
          <w:tcPr>
            <w:tcW w:w="130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3,275</w:t>
            </w:r>
          </w:p>
        </w:tc>
        <w:tc>
          <w:tcPr>
            <w:tcW w:w="40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2,114</w:t>
            </w:r>
          </w:p>
        </w:tc>
      </w:tr>
      <w:tr>
        <w:trPr>
          <w:trHeight w:val="216"/>
        </w:trPr>
        <w:tc>
          <w:tcPr>
            <w:tcW w:w="7960" w:type="dxa"/>
            <w:vAlign w:val="bottom"/>
            <w:gridSpan w:val="3"/>
          </w:tcPr>
          <w:p>
            <w:pPr>
              <w:spacing w:after="0"/>
              <w:rPr>
                <w:sz w:val="20"/>
                <w:szCs w:val="20"/>
                <w:color w:val="auto"/>
              </w:rPr>
            </w:pPr>
            <w:r>
              <w:rPr>
                <w:rFonts w:ascii="Arial" w:cs="Arial" w:eastAsia="Arial" w:hAnsi="Arial"/>
                <w:sz w:val="18"/>
                <w:szCs w:val="18"/>
                <w:color w:val="auto"/>
              </w:rPr>
              <w:t>Cable Communications technical labor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16"/>
        </w:trPr>
        <w:tc>
          <w:tcPr>
            <w:tcW w:w="7960" w:type="dxa"/>
            <w:vAlign w:val="bottom"/>
            <w:gridSpan w:val="3"/>
          </w:tcPr>
          <w:p>
            <w:pPr>
              <w:spacing w:after="0"/>
              <w:rPr>
                <w:sz w:val="20"/>
                <w:szCs w:val="20"/>
                <w:color w:val="auto"/>
              </w:rPr>
            </w:pPr>
            <w:r>
              <w:rPr>
                <w:rFonts w:ascii="Arial" w:cs="Arial" w:eastAsia="Arial" w:hAnsi="Arial"/>
                <w:sz w:val="18"/>
                <w:szCs w:val="18"/>
                <w:color w:val="auto"/>
              </w:rPr>
              <w:t>Cable Communications customer service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16"/>
        </w:trPr>
        <w:tc>
          <w:tcPr>
            <w:tcW w:w="796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37"/>
        </w:trPr>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2,755</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1,963</w:t>
            </w:r>
          </w:p>
        </w:tc>
      </w:tr>
      <w:tr>
        <w:trPr>
          <w:trHeight w:val="223"/>
        </w:trPr>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8,062</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5,637</w:t>
            </w:r>
          </w:p>
        </w:tc>
      </w:tr>
    </w:tbl>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the functional breakout of the components of our operating costs and expenses in Note 14 to our condensed consolidated financial statements provides more meaningful information to users of the financial statements than our prior presentation. Because we are primarily in a service business and do not report or function similar to a manufacturing company with cost of goods sold and gross profit, we do not accumulate and/or report costs internally into separate categories of operating expenses and SG&amp;A. The categories contained in the supplemental information provided in Note 14 reflect our internal cost reporting structure, which captures expenses by functional category, such as programming, technical labor, customer service and advertising, marketing and promotion.</w:t>
      </w:r>
    </w:p>
    <w:p>
      <w:pPr>
        <w:spacing w:after="0" w:line="22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We undertook this change as a result of both the internal cost reporting structure in our Cable Communications segment and the NBCUniversal transaction. More specifically, we considered the following factors before deciding to implement this change:</w:t>
      </w:r>
    </w:p>
    <w:p>
      <w:pPr>
        <w:spacing w:after="0" w:line="197" w:lineRule="exact"/>
        <w:rPr>
          <w:sz w:val="20"/>
          <w:szCs w:val="20"/>
          <w:color w:val="auto"/>
        </w:rPr>
      </w:pPr>
    </w:p>
    <w:p>
      <w:pPr>
        <w:ind w:left="660" w:right="80" w:hanging="350"/>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revised presentation in our filings is consistent with how we view and manage our business. We also believe the presentation is consistent with how our investors and analysts view and monitor our business and that of the others in our industry. Specifically, their focus is on operating margin, without the distinction between operating expenses and SG&amp;A, which is necessary to determine a gross profit that is applicable in other industries.</w:t>
      </w:r>
    </w:p>
    <w:p>
      <w:pPr>
        <w:spacing w:after="0" w:line="173" w:lineRule="exact"/>
        <w:rPr>
          <w:rFonts w:ascii="Arial" w:cs="Arial" w:eastAsia="Arial" w:hAnsi="Arial"/>
          <w:sz w:val="16"/>
          <w:szCs w:val="16"/>
          <w:color w:val="auto"/>
        </w:rPr>
      </w:pPr>
    </w:p>
    <w:p>
      <w:pPr>
        <w:ind w:left="660" w:right="100" w:hanging="350"/>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time, we have found it increasingly difficult to distinguish operating expenses from SG&amp;A, as certain expense categories reported internally contain activities that would be considered both operating expenses and SG&amp;A. For example, our customer service employees both sell new services and resolve service issues during a given customer service call. We do not track internally how much of our customer service employees’ efforts are directed towards selling versus resolving service issues on existing services. Also, many of our information technology functions service both administrative and operating activities.</w:t>
      </w:r>
    </w:p>
    <w:p>
      <w:pPr>
        <w:spacing w:after="0" w:line="215" w:lineRule="exact"/>
        <w:rPr>
          <w:rFonts w:ascii="Arial" w:cs="Arial" w:eastAsia="Arial" w:hAnsi="Arial"/>
          <w:sz w:val="18"/>
          <w:szCs w:val="18"/>
          <w:color w:val="auto"/>
        </w:rPr>
      </w:pPr>
    </w:p>
    <w:p>
      <w:pPr>
        <w:ind w:left="660" w:right="180" w:hanging="350"/>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types of expenses are accounted for differently among our reportable segments, and we believe that classifying these expenses as operating expenses or SG&amp;A as opposed to by their functional category would create confusion for management, investors and analysts in comparing the performance of our reportable segments’ performance. For example, our NBCUniversal businesses include accounting for film and television productions, which include the capitalization of expenses. These capitalized expenses are subsequently amortized through operating</w:t>
      </w:r>
    </w:p>
    <w:p>
      <w:pPr>
        <w:spacing w:after="0" w:line="1" w:lineRule="exact"/>
        <w:rPr>
          <w:rFonts w:ascii="Arial" w:cs="Arial" w:eastAsia="Arial" w:hAnsi="Arial"/>
          <w:sz w:val="16"/>
          <w:szCs w:val="16"/>
          <w:color w:val="auto"/>
        </w:rPr>
      </w:pPr>
    </w:p>
    <w:p>
      <w:pPr>
        <w:ind w:left="660" w:right="320"/>
        <w:spacing w:after="0" w:line="255" w:lineRule="auto"/>
        <w:rPr>
          <w:rFonts w:ascii="Arial" w:cs="Arial" w:eastAsia="Arial" w:hAnsi="Arial"/>
          <w:sz w:val="16"/>
          <w:szCs w:val="16"/>
          <w:color w:val="auto"/>
        </w:rPr>
      </w:pPr>
      <w:r>
        <w:rPr>
          <w:rFonts w:ascii="Arial" w:cs="Arial" w:eastAsia="Arial" w:hAnsi="Arial"/>
          <w:sz w:val="18"/>
          <w:szCs w:val="18"/>
          <w:color w:val="auto"/>
        </w:rPr>
        <w:t>expenses. These same types of expenses may have been considered SG&amp;A in our Cable Communications business. In addition, in our Filmed Entertainment segment, advertising and marketing costs associated with a film are considered a direct cost of revenue, whereas the same types of expenses would have been considered SG&amp;A in our other reportable segments.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 w:name="page5"/>
    <w:bookmarkEnd w:id="4"/>
    <w:p>
      <w:pPr>
        <w:ind w:left="40"/>
        <w:spacing w:after="0"/>
        <w:tabs>
          <w:tab w:leader="none" w:pos="102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August 2, 2012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140" w:hanging="350"/>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separate identification and disclosure of operating expenses and SG&amp;A is subject to significant management interpretation and allocation. For example, we believe some companies interpret field or divisional overhead expense to be an operating expense while others classify it as SG&amp;A expense. Further, prior to the revision, our changing cost reporting structure had led us from time to time to reclassify for comparative purposes expenses between operating cost and SG&amp;A, albeit in immaterial amounts.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Based on the above considerations, we believe that the supplemental information included in Note 14 of our Form 10-Q (and in subsequent Form 10-Q and 10-K filings) provides more meaningful information to the user of our consolidated financial statements and a clearer representation of how we view and manage our business. Accordingly, we respectfully submit that based on our facts and circumstances, separately presenting captions for “Operating Expenses” and “Selling, General and Administrative Expenses” would not be the most meaningful presentation for our Company, and as such, no change to our income statement presentation is warranted.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30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29"/>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2019-12-11T03:24:28Z</dcterms:created>
  <dcterms:modified xsi:type="dcterms:W3CDTF">2019-12-11T03:24:28Z</dcterms:modified>
</cp:coreProperties>
</file>