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BREEN EDWARD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02/13/2014</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41"/>
        </w:trPr>
        <w:tc>
          <w:tcPr>
            <w:tcW w:w="184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2"/>
                <w:szCs w:val="12"/>
                <w:color w:val="auto"/>
              </w:rPr>
            </w:pPr>
          </w:p>
        </w:tc>
        <w:tc>
          <w:tcPr>
            <w:tcW w:w="28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63"/>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gridSpan w:val="2"/>
          </w:tcPr>
          <w:p>
            <w:pPr>
              <w:ind w:left="80"/>
              <w:spacing w:after="0"/>
              <w:rPr>
                <w:sz w:val="20"/>
                <w:szCs w:val="20"/>
                <w:color w:val="auto"/>
              </w:rPr>
            </w:pPr>
            <w:r>
              <w:rPr>
                <w:rFonts w:ascii="Arial" w:cs="Arial" w:eastAsia="Arial" w:hAnsi="Arial"/>
                <w:sz w:val="18"/>
                <w:szCs w:val="18"/>
                <w:color w:val="0000FF"/>
              </w:rPr>
              <w:t>02/18/2014</w:t>
            </w:r>
          </w:p>
        </w:tc>
        <w:tc>
          <w:tcPr>
            <w:tcW w:w="0" w:type="dxa"/>
            <w:vAlign w:val="bottom"/>
          </w:tcPr>
          <w:p>
            <w:pPr>
              <w:spacing w:after="0"/>
              <w:rPr>
                <w:sz w:val="1"/>
                <w:szCs w:val="1"/>
                <w:color w:val="auto"/>
              </w:rPr>
            </w:pPr>
          </w:p>
        </w:tc>
      </w:tr>
      <w:tr>
        <w:trPr>
          <w:trHeight w:val="131"/>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540"/>
              <w:spacing w:after="0" w:line="149" w:lineRule="exact"/>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line="149" w:lineRule="exact"/>
              <w:rPr>
                <w:sz w:val="20"/>
                <w:szCs w:val="20"/>
                <w:color w:val="auto"/>
              </w:rPr>
            </w:pPr>
            <w:r>
              <w:rPr>
                <w:rFonts w:ascii="Arial" w:cs="Arial" w:eastAsia="Arial" w:hAnsi="Arial"/>
                <w:sz w:val="14"/>
                <w:szCs w:val="14"/>
                <w:color w:val="auto"/>
              </w:rPr>
              <w:t>below)</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line="149" w:lineRule="exact"/>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bl>
    <w:p>
      <w:pPr>
        <w:ind w:left="3400"/>
        <w:spacing w:after="0"/>
        <w:rPr>
          <w:sz w:val="20"/>
          <w:szCs w:val="20"/>
          <w:color w:val="auto"/>
        </w:rPr>
      </w:pPr>
      <w:r>
        <w:rPr>
          <w:rFonts w:ascii="Arial" w:cs="Arial" w:eastAsia="Arial" w:hAnsi="Arial"/>
          <w:sz w:val="14"/>
          <w:szCs w:val="14"/>
          <w:color w:val="auto"/>
        </w:rPr>
        <w:t>Applicable Line)</w:t>
      </w:r>
    </w:p>
    <w:p>
      <w:pPr>
        <w:ind w:left="3560"/>
        <w:spacing w:after="0" w:line="211"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36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jc w:val="center"/>
              <w:ind w:right="762"/>
              <w:spacing w:after="0"/>
              <w:rPr>
                <w:sz w:val="20"/>
                <w:szCs w:val="20"/>
                <w:color w:val="auto"/>
              </w:rPr>
            </w:pPr>
            <w:r>
              <w:rPr>
                <w:rFonts w:ascii="Arial" w:cs="Arial" w:eastAsia="Arial" w:hAnsi="Arial"/>
                <w:sz w:val="18"/>
                <w:szCs w:val="18"/>
                <w:color w:val="0000FF"/>
              </w:rPr>
              <w:t>36,929</w:t>
            </w:r>
            <w:r>
              <w:rPr>
                <w:rFonts w:ascii="Arial" w:cs="Arial" w:eastAsia="Arial" w:hAnsi="Arial"/>
                <w:sz w:val="22"/>
                <w:szCs w:val="22"/>
                <w:color w:val="008000"/>
                <w:vertAlign w:val="superscript"/>
              </w:rPr>
              <w:t>(1)</w:t>
            </w:r>
          </w:p>
        </w:tc>
        <w:tc>
          <w:tcPr>
            <w:tcW w:w="7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jc w:val="center"/>
              <w:ind w:right="802"/>
              <w:spacing w:after="0"/>
              <w:rPr>
                <w:sz w:val="20"/>
                <w:szCs w:val="20"/>
                <w:color w:val="auto"/>
              </w:rPr>
            </w:pPr>
            <w:r>
              <w:rPr>
                <w:rFonts w:ascii="Arial" w:cs="Arial" w:eastAsia="Arial" w:hAnsi="Arial"/>
                <w:sz w:val="18"/>
                <w:szCs w:val="18"/>
                <w:color w:val="0000FF"/>
              </w:rPr>
              <w:t>6,453</w:t>
            </w:r>
            <w:r>
              <w:rPr>
                <w:rFonts w:ascii="Arial" w:cs="Arial" w:eastAsia="Arial" w:hAnsi="Arial"/>
                <w:sz w:val="22"/>
                <w:szCs w:val="22"/>
                <w:color w:val="008000"/>
                <w:vertAlign w:val="superscript"/>
              </w:rPr>
              <w:t>(1)</w:t>
            </w:r>
          </w:p>
        </w:tc>
        <w:tc>
          <w:tcPr>
            <w:tcW w:w="74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By GRAT</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Phantom Stock</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(2)</w:t>
            </w:r>
          </w:p>
        </w:tc>
        <w:tc>
          <w:tcPr>
            <w:tcW w:w="20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2"/>
              </w:rPr>
              <w:t>8,327</w:t>
            </w:r>
            <w:r>
              <w:rPr>
                <w:rFonts w:ascii="Arial" w:cs="Arial" w:eastAsia="Arial" w:hAnsi="Arial"/>
                <w:sz w:val="22"/>
                <w:szCs w:val="22"/>
                <w:color w:val="008000"/>
                <w:w w:val="92"/>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person's original Form 3 filed on February 18, 2014, inadvertently misstated the number of common and phantom shares held by the reporting person and omitted the shares held by the GRAT. This filing amends those errors.</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previously elected to defer receipt of shares of Class A Common Stock received as grants for director fees, resulting in accruals to an account of phantom stock. Phantom stock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Arthur R. Block,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02/24/2015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3619"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2019-12-08T00:08:06Z</dcterms:created>
  <dcterms:modified xsi:type="dcterms:W3CDTF">2019-12-08T00:08:06Z</dcterms:modified>
</cp:coreProperties>
</file>