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92,700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621,035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6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granted subject to satisfaction of a performance condition. Based on achievement of the performance condition, the restricted stock units vest in installments of 15%, 15%, 15%, 15% and 40% on the 13th-month, 2nd, 3rd, 4th, and 5th anniversaries of the date of the grant (March 15, 2019), respectively.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13589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2020-02-20T13:51:27Z</dcterms:created>
  <dcterms:modified xsi:type="dcterms:W3CDTF">2020-02-20T13:51:27Z</dcterms:modified>
</cp:coreProperties>
</file>