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As filed with the Securities and Exchange Commission on January 20, 1995</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15</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14D-1(*)</w:t>
      </w:r>
    </w:p>
    <w:p>
      <w:pPr>
        <w:spacing w:after="0" w:line="20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7" w:lineRule="exact"/>
        <w:rPr>
          <w:sz w:val="24"/>
          <w:szCs w:val="24"/>
          <w:color w:val="auto"/>
        </w:rPr>
      </w:pPr>
    </w:p>
    <w:p>
      <w:pPr>
        <w:ind w:left="740" w:right="3259" w:firstLine="316"/>
        <w:spacing w:after="0"/>
        <w:rPr>
          <w:sz w:val="20"/>
          <w:szCs w:val="20"/>
          <w:color w:val="auto"/>
        </w:rPr>
      </w:pPr>
      <w:r>
        <w:rPr>
          <w:rFonts w:ascii="Courier New" w:cs="Courier New" w:eastAsia="Courier New" w:hAnsi="Courier New"/>
          <w:sz w:val="18"/>
          <w:szCs w:val="18"/>
          <w:color w:val="auto"/>
        </w:rPr>
        <w:t>Stanley L. Wang Stephen M. Brett Comcast Corporation Tele-Communications, Inc. 1500 Market Street 5619 DTC Parkway Philadelphia, PA 19102 Englewood, CO 80111 (215) 665-1700 (303) 267-5500</w:t>
      </w:r>
    </w:p>
    <w:p>
      <w:pPr>
        <w:spacing w:after="0" w:line="19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3320" w:type="dxa"/>
            <w:vAlign w:val="bottom"/>
          </w:tcPr>
          <w:p>
            <w:pPr>
              <w:ind w:left="260"/>
              <w:spacing w:after="0"/>
              <w:rPr>
                <w:sz w:val="20"/>
                <w:szCs w:val="20"/>
                <w:color w:val="auto"/>
              </w:rPr>
            </w:pPr>
            <w:r>
              <w:rPr>
                <w:rFonts w:ascii="Courier New" w:cs="Courier New" w:eastAsia="Courier New" w:hAnsi="Courier New"/>
                <w:sz w:val="18"/>
                <w:szCs w:val="18"/>
                <w:color w:val="auto"/>
              </w:rPr>
              <w:t>Copies to:</w:t>
            </w:r>
          </w:p>
        </w:tc>
      </w:tr>
      <w:tr>
        <w:trPr>
          <w:trHeight w:val="405"/>
        </w:trPr>
        <w:tc>
          <w:tcPr>
            <w:tcW w:w="246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Dennis S. Hersch</w:t>
            </w:r>
          </w:p>
        </w:tc>
        <w:tc>
          <w:tcPr>
            <w:tcW w:w="3320" w:type="dxa"/>
            <w:vAlign w:val="bottom"/>
          </w:tcPr>
          <w:p>
            <w:pPr>
              <w:jc w:val="center"/>
              <w:ind w:left="932"/>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332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24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450 Lexington Avenue</w:t>
            </w:r>
          </w:p>
        </w:tc>
        <w:tc>
          <w:tcPr>
            <w:tcW w:w="332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24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3320" w:type="dxa"/>
            <w:vAlign w:val="bottom"/>
          </w:tcPr>
          <w:p>
            <w:pPr>
              <w:jc w:val="center"/>
              <w:ind w:left="932"/>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03"/>
        </w:trPr>
        <w:tc>
          <w:tcPr>
            <w:tcW w:w="246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(212) 450-4000</w:t>
            </w:r>
          </w:p>
        </w:tc>
        <w:tc>
          <w:tcPr>
            <w:tcW w:w="332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(212) 705-5000</w:t>
            </w:r>
          </w:p>
        </w:tc>
      </w:tr>
    </w:tbl>
    <w:p>
      <w:pPr>
        <w:spacing w:after="0" w:line="207"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16 to the Schedule 13D filed by Tele-Communications, Inc. and Amendment No. 37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0" w:lineRule="exact"/>
        <w:rPr>
          <w:sz w:val="24"/>
          <w:szCs w:val="24"/>
          <w:color w:val="auto"/>
        </w:rPr>
      </w:pPr>
    </w:p>
    <w:p>
      <w:pPr>
        <w:spacing w:after="0" w:line="211"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4"/>
          <w:szCs w:val="24"/>
          <w:color w:val="auto"/>
        </w:rPr>
      </w:pPr>
    </w:p>
    <w:p>
      <w:pPr>
        <w:ind w:right="2099" w:firstLine="1272"/>
        <w:spacing w:after="0" w:line="237" w:lineRule="auto"/>
        <w:tabs>
          <w:tab w:leader="none" w:pos="168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(f) The information set forth under "Introduction", "The Tender Offer -- 1. Terms of the Tender Offer", "-- 2. Acceptance for Payment and Payment", "-- 3. Procedure for Tendering Shares", "-- 4. Withdrawal Rights", "-- 10. Certain Conditions of the Offer" and "-- 11. Certain Legal Matters; Regulatory Approvals" in the Offer to Purchase is hereby amended and supplemented to include the following information:</w:t>
      </w:r>
    </w:p>
    <w:p>
      <w:pPr>
        <w:spacing w:after="0" w:line="210" w:lineRule="exact"/>
        <w:rPr>
          <w:sz w:val="24"/>
          <w:szCs w:val="24"/>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On January 19, 1995, Comcast and TCI issued a press release in which they announced that they have notified the FTC of their intention to consummate the Offer at any time after 5:00 p.m. on Monday, February 6, 1995, provided that conditions to closing have been satisfied. The Offer is</w:t>
      </w:r>
    </w:p>
    <w:p>
      <w:pPr>
        <w:sectPr>
          <w:pgSz w:w="11900" w:h="16854"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currently scheduled to expire at that time.</w:t>
      </w:r>
    </w:p>
    <w:p>
      <w:pPr>
        <w:spacing w:after="0" w:line="207"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The notice was given to the FTC in accordance with the parties previously announced agreement with the FTC to provide at least ten days' notice to the FTC prior to consummating the Offer. Although all applicable waiting periods under the HSR Act relating to the Transaction have expired, Comcast and TCI had agreed to provide the FTC with at least ten days' notice prior to consummating the Offer in order to allow the FTC additional time to complete its review.</w:t>
      </w:r>
    </w:p>
    <w:p>
      <w:pPr>
        <w:spacing w:after="0" w:line="211"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A copy of the press release and notice to the FTC of Comcast and TCI relating to the foregoing are attached hereto as Exhibits (a)(20) and (a)(21), respectively, and are hereby incorporated by reference, and the foregoing description is qualified in its entirety by reference to such Exhibits.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(a)(20) -- Text of Press Release issued by Comcast and TCI on January 19, 1995.</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(a)(21) -- Letter to the FTC from Comcast and TCI, dated January 19, 1995 from Comcast and TCI.</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1995</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/s/</w:t>
        <w:tab/>
        <w:t>JULIAN A. BRODSKY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Julian A. Brodsky</w:t>
      </w:r>
    </w:p>
    <w:p>
      <w:pPr>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740" w:space="0"/>
            <w:col w:w="5479"/>
          </w:cols>
          <w:pgMar w:left="240" w:top="136" w:right="1440" w:bottom="0" w:gutter="0" w:footer="0" w:header="0"/>
          <w:type w:val="continuous"/>
        </w:sect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Stephen M. Brett</w:t>
      </w:r>
    </w:p>
    <w:p>
      <w:pPr>
        <w:ind w:left="4740"/>
        <w:spacing w:after="0" w:line="238" w:lineRule="auto"/>
        <w:rPr>
          <w:sz w:val="20"/>
          <w:szCs w:val="20"/>
          <w:color w:val="auto"/>
        </w:rPr>
      </w:pPr>
      <w:r>
        <w:rPr>
          <w:rFonts w:ascii="Courier New" w:cs="Courier New" w:eastAsia="Courier New" w:hAnsi="Courier New"/>
          <w:sz w:val="18"/>
          <w:szCs w:val="18"/>
          <w:color w:val="auto"/>
        </w:rPr>
        <w:t>Title: Executive Vice</w:t>
      </w:r>
    </w:p>
    <w:p>
      <w:pPr>
        <w:ind w:left="560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440" w:space="720"/>
            <w:col w:w="2140" w:space="720"/>
            <w:col w:w="419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Text of Press Release</w:t>
      </w:r>
    </w:p>
    <w:p>
      <w:pPr>
        <w:spacing w:after="0" w:line="238" w:lineRule="auto"/>
        <w:rPr>
          <w:sz w:val="20"/>
          <w:szCs w:val="20"/>
          <w:color w:val="auto"/>
        </w:rPr>
      </w:pPr>
      <w:r>
        <w:rPr>
          <w:rFonts w:ascii="Courier New" w:cs="Courier New" w:eastAsia="Courier New" w:hAnsi="Courier New"/>
          <w:sz w:val="18"/>
          <w:szCs w:val="18"/>
          <w:color w:val="auto"/>
        </w:rPr>
        <w:t>issued by Comcast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TCI on January 13, 1995.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w:t>
      </w:r>
    </w:p>
    <w:p>
      <w:pPr>
        <w:spacing w:after="0" w:line="605" w:lineRule="exact"/>
        <w:rPr>
          <w:sz w:val="20"/>
          <w:szCs w:val="20"/>
          <w:color w:val="auto"/>
        </w:rPr>
      </w:pPr>
    </w:p>
    <w:p>
      <w:pPr>
        <w:sectPr>
          <w:pgSz w:w="11900" w:h="16838" w:orient="portrait"/>
          <w:cols w:equalWidth="0" w:num="3">
            <w:col w:w="1820" w:space="720"/>
            <w:col w:w="3380" w:space="720"/>
            <w:col w:w="3579"/>
          </w:cols>
          <w:pgMar w:left="240" w:top="136" w:right="1440" w:bottom="0" w:gutter="0" w:footer="0" w:header="0"/>
          <w:type w:val="continuous"/>
        </w:sect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to the FTC, dated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17, 1995 from</w:t>
      </w:r>
    </w:p>
    <w:p>
      <w:pPr>
        <w:spacing w:after="0" w:line="238" w:lineRule="auto"/>
        <w:rPr>
          <w:sz w:val="20"/>
          <w:szCs w:val="20"/>
          <w:color w:val="auto"/>
        </w:rPr>
      </w:pPr>
      <w:r>
        <w:rPr>
          <w:rFonts w:ascii="Courier New" w:cs="Courier New" w:eastAsia="Courier New" w:hAnsi="Courier New"/>
          <w:sz w:val="18"/>
          <w:szCs w:val="18"/>
          <w:color w:val="auto"/>
        </w:rPr>
        <w:t>Comcast and TCI.</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3">
            <w:col w:w="1820" w:space="720"/>
            <w:col w:w="3380" w:space="720"/>
            <w:col w:w="3579"/>
          </w:cols>
          <w:pgMar w:left="240" w:top="136" w:right="1440" w:bottom="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222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COMCAST AND TCI</w:t>
      </w:r>
    </w:p>
    <w:p>
      <w:pPr>
        <w:ind w:left="3060"/>
        <w:spacing w:after="0" w:line="238" w:lineRule="auto"/>
        <w:rPr>
          <w:sz w:val="20"/>
          <w:szCs w:val="20"/>
          <w:color w:val="auto"/>
        </w:rPr>
      </w:pPr>
      <w:r>
        <w:rPr>
          <w:rFonts w:ascii="Courier New" w:cs="Courier New" w:eastAsia="Courier New" w:hAnsi="Courier New"/>
          <w:sz w:val="18"/>
          <w:szCs w:val="18"/>
          <w:color w:val="auto"/>
        </w:rPr>
        <w:t>NOTIFY FTC OF INTENT</w:t>
      </w:r>
    </w:p>
    <w:p>
      <w:pPr>
        <w:ind w:left="3060"/>
        <w:spacing w:after="0"/>
        <w:rPr>
          <w:sz w:val="20"/>
          <w:szCs w:val="20"/>
          <w:color w:val="auto"/>
        </w:rPr>
      </w:pPr>
      <w:r>
        <w:rPr>
          <w:rFonts w:ascii="Courier New" w:cs="Courier New" w:eastAsia="Courier New" w:hAnsi="Courier New"/>
          <w:sz w:val="18"/>
          <w:szCs w:val="18"/>
          <w:color w:val="auto"/>
        </w:rPr>
        <w:t>TO CLOSE TENDER OFFER</w:t>
      </w:r>
    </w:p>
    <w:p>
      <w:pPr>
        <w:ind w:left="2220"/>
        <w:spacing w:after="0" w:line="237" w:lineRule="auto"/>
        <w:rPr>
          <w:sz w:val="20"/>
          <w:szCs w:val="20"/>
          <w:color w:val="auto"/>
        </w:rPr>
      </w:pPr>
      <w:r>
        <w:rPr>
          <w:rFonts w:ascii="Courier New" w:cs="Courier New" w:eastAsia="Courier New" w:hAnsi="Courier New"/>
          <w:sz w:val="18"/>
          <w:szCs w:val="18"/>
          <w:color w:val="auto"/>
        </w:rPr>
        <w:t>____________________________________</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Philadelphia, PA and Englewood, CO -- January 19, 1995: Comcast Corporation ("Comcast") and Tele-Communications, Inc. ("TCI") announced today that they have notified the Federal Trade Commission ("FTC") of their intention to consummate the tender offer for the stock of QVC, Inc. at any time after 5:00 p.m. on Monday, February 6, 1995, provided that conditions to closing have been satisfied. The tender offer is currently scheduled to expire at that time, unless the offer is further extended.</w:t>
      </w:r>
    </w:p>
    <w:p>
      <w:pPr>
        <w:spacing w:after="0" w:line="211"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notice was given to the FTC in accordance with the parties' previously announced agreement with the Commission to provide at least ten days' notice to the FTC prior to consummating the tender offer. Although applicable waiting periods under the Hart-Scott-Rodino Antitrust Improvements Act of 1976 relating to the proposed acquisition of QVC by Comcast and TCI have expired, the parties had agreed to provide the FTC with at least ten days' notice prior to closing the tender offer in order to allow the FTC additional time to complete its review.</w:t>
      </w:r>
    </w:p>
    <w:p>
      <w:pPr>
        <w:spacing w:after="0" w:line="212"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Peter Barton, President of Liberty Media Corporation, TCI's wholly owned programming subsidiary, stated that "TCI is confident that once the Federal Trade Commission understands the intensely competitive market realities that govern the operations of QVC and Home Shopping Network and the nature of the minority, non-management interest in QVC to be retained by TCI after the acquisition, it will agree that absolutely no competitive issues are raised and close its investigation."</w:t>
      </w:r>
    </w:p>
    <w:p>
      <w:pPr>
        <w:spacing w:after="0" w:line="211" w:lineRule="exact"/>
        <w:rPr>
          <w:sz w:val="20"/>
          <w:szCs w:val="20"/>
          <w:color w:val="auto"/>
        </w:rPr>
      </w:pPr>
    </w:p>
    <w:p>
      <w:pPr>
        <w:jc w:val="both"/>
        <w:ind w:right="2739" w:firstLine="632"/>
        <w:spacing w:after="0" w:line="275" w:lineRule="auto"/>
        <w:rPr>
          <w:sz w:val="20"/>
          <w:szCs w:val="20"/>
          <w:color w:val="auto"/>
        </w:rPr>
      </w:pPr>
      <w:r>
        <w:rPr>
          <w:rFonts w:ascii="Courier New" w:cs="Courier New" w:eastAsia="Courier New" w:hAnsi="Courier New"/>
          <w:sz w:val="16"/>
          <w:szCs w:val="16"/>
          <w:color w:val="auto"/>
        </w:rPr>
        <w:t>Consummation of the tender offer continues to be conditioned upon Comcast and TCI obtaining sufficient financing to satisfy the financing condition to the tender offer. Comcast and TCI are proceeding in their efforts to obtain sufficient financing to satisfy this condition.</w:t>
      </w:r>
    </w:p>
    <w:p>
      <w:pPr>
        <w:spacing w:after="0" w:line="182" w:lineRule="exact"/>
        <w:rPr>
          <w:sz w:val="20"/>
          <w:szCs w:val="20"/>
          <w:color w:val="auto"/>
        </w:rPr>
      </w:pPr>
    </w:p>
    <w:p>
      <w:pPr>
        <w:ind w:right="2099" w:firstLine="632"/>
        <w:spacing w:after="0" w:line="271" w:lineRule="auto"/>
        <w:rPr>
          <w:sz w:val="20"/>
          <w:szCs w:val="20"/>
          <w:color w:val="auto"/>
        </w:rPr>
      </w:pPr>
      <w:r>
        <w:rPr>
          <w:rFonts w:ascii="Courier New" w:cs="Courier New" w:eastAsia="Courier New" w:hAnsi="Courier New"/>
          <w:sz w:val="16"/>
          <w:szCs w:val="16"/>
          <w:color w:val="auto"/>
        </w:rPr>
        <w:t>Comcast Corporation is principally engaged in the development, management and operation of cable communications networks. Comcast's consolidated and prorated affiliated operations currently serve approximately 3.4 million cable subscribers.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188"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208"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Liberty is a wholly-owned subsidiary of Tele-Communications, Inc. TCI is the United States' largest cable television operator, serving 10.9 million customers in 48 states, Puerto Rico and the District of Columbia. The company also holds interests in several national cable programming networks.</w:t>
      </w:r>
    </w:p>
    <w:p>
      <w:pPr>
        <w:spacing w:after="0" w:line="182" w:lineRule="exact"/>
        <w:rPr>
          <w:sz w:val="20"/>
          <w:szCs w:val="20"/>
          <w:color w:val="auto"/>
        </w:rPr>
      </w:pPr>
    </w:p>
    <w:p>
      <w:pPr>
        <w:ind w:right="2519" w:firstLine="632"/>
        <w:spacing w:after="0" w:line="279" w:lineRule="auto"/>
        <w:rPr>
          <w:sz w:val="20"/>
          <w:szCs w:val="20"/>
          <w:color w:val="auto"/>
        </w:rPr>
      </w:pPr>
      <w:r>
        <w:rPr>
          <w:rFonts w:ascii="Courier New" w:cs="Courier New" w:eastAsia="Courier New" w:hAnsi="Courier New"/>
          <w:sz w:val="16"/>
          <w:szCs w:val="16"/>
          <w:color w:val="auto"/>
        </w:rPr>
        <w:t>Tele-Communications, Inc. is traded in the Nasdaq Stock Market with Class A and Class B Common Stock and Class B Preferred Stock trading separately under the symbols of TCOMA, TCOMB and TCOMP,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2520" w:val="left"/>
        </w:tabs>
        <w:rPr>
          <w:sz w:val="20"/>
          <w:szCs w:val="20"/>
          <w:color w:val="auto"/>
        </w:rPr>
      </w:pPr>
      <w:r>
        <w:rPr>
          <w:rFonts w:ascii="Courier New" w:cs="Courier New" w:eastAsia="Courier New" w:hAnsi="Courier New"/>
          <w:sz w:val="18"/>
          <w:szCs w:val="18"/>
          <w:color w:val="auto"/>
        </w:rPr>
        <w:t>William E. Dordelman</w:t>
      </w:r>
      <w:r>
        <w:rPr>
          <w:sz w:val="20"/>
          <w:szCs w:val="20"/>
          <w:color w:val="auto"/>
        </w:rPr>
        <w:tab/>
      </w:r>
      <w:r>
        <w:rPr>
          <w:rFonts w:ascii="Courier New" w:cs="Courier New" w:eastAsia="Courier New" w:hAnsi="Courier New"/>
          <w:sz w:val="16"/>
          <w:szCs w:val="16"/>
          <w:color w:val="auto"/>
        </w:rPr>
        <w:t>Kathleen B. Jacoby</w:t>
      </w:r>
    </w:p>
    <w:p>
      <w:pPr>
        <w:spacing w:after="0"/>
        <w:tabs>
          <w:tab w:leader="none" w:pos="2520" w:val="left"/>
        </w:tabs>
        <w:rPr>
          <w:sz w:val="20"/>
          <w:szCs w:val="20"/>
          <w:color w:val="auto"/>
        </w:rPr>
      </w:pPr>
      <w:r>
        <w:rPr>
          <w:rFonts w:ascii="Courier New" w:cs="Courier New" w:eastAsia="Courier New" w:hAnsi="Courier New"/>
          <w:sz w:val="18"/>
          <w:szCs w:val="18"/>
          <w:color w:val="auto"/>
        </w:rPr>
        <w:t>Assistant Treasurer</w:t>
      </w:r>
      <w:r>
        <w:rPr>
          <w:sz w:val="20"/>
          <w:szCs w:val="20"/>
          <w:color w:val="auto"/>
        </w:rPr>
        <w:tab/>
      </w:r>
      <w:r>
        <w:rPr>
          <w:rFonts w:ascii="Courier New" w:cs="Courier New" w:eastAsia="Courier New" w:hAnsi="Courier New"/>
          <w:sz w:val="16"/>
          <w:szCs w:val="16"/>
          <w:color w:val="auto"/>
        </w:rPr>
        <w:t>Director of Investor Relations</w:t>
      </w:r>
    </w:p>
    <w:p>
      <w:pPr>
        <w:spacing w:after="0"/>
        <w:tabs>
          <w:tab w:leader="none" w:pos="2520" w:val="left"/>
        </w:tabs>
        <w:rPr>
          <w:sz w:val="20"/>
          <w:szCs w:val="20"/>
          <w:color w:val="auto"/>
        </w:rPr>
      </w:pPr>
      <w:r>
        <w:rPr>
          <w:rFonts w:ascii="Courier New" w:cs="Courier New" w:eastAsia="Courier New" w:hAnsi="Courier New"/>
          <w:sz w:val="18"/>
          <w:szCs w:val="18"/>
          <w:color w:val="auto"/>
        </w:rPr>
        <w:t>(215) 981-7550</w:t>
      </w:r>
      <w:r>
        <w:rPr>
          <w:sz w:val="20"/>
          <w:szCs w:val="20"/>
          <w:color w:val="auto"/>
        </w:rPr>
        <w:tab/>
      </w:r>
      <w:r>
        <w:rPr>
          <w:rFonts w:ascii="Courier New" w:cs="Courier New" w:eastAsia="Courier New" w:hAnsi="Courier New"/>
          <w:sz w:val="16"/>
          <w:szCs w:val="16"/>
          <w:color w:val="auto"/>
        </w:rPr>
        <w:t>(215) 981-7392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Inc.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2520" w:val="left"/>
        </w:tabs>
        <w:rPr>
          <w:sz w:val="20"/>
          <w:szCs w:val="20"/>
          <w:color w:val="auto"/>
        </w:rPr>
      </w:pPr>
      <w:r>
        <w:rPr>
          <w:rFonts w:ascii="Courier New" w:cs="Courier New" w:eastAsia="Courier New" w:hAnsi="Courier New"/>
          <w:sz w:val="18"/>
          <w:szCs w:val="18"/>
          <w:color w:val="auto"/>
        </w:rPr>
        <w:t>Steve Smith</w:t>
      </w:r>
      <w:r>
        <w:rPr>
          <w:sz w:val="20"/>
          <w:szCs w:val="20"/>
          <w:color w:val="auto"/>
        </w:rPr>
        <w:tab/>
      </w:r>
      <w:r>
        <w:rPr>
          <w:rFonts w:ascii="Courier New" w:cs="Courier New" w:eastAsia="Courier New" w:hAnsi="Courier New"/>
          <w:sz w:val="16"/>
          <w:szCs w:val="16"/>
          <w:color w:val="auto"/>
        </w:rPr>
        <w:t>Vivian Carr</w:t>
      </w:r>
    </w:p>
    <w:p>
      <w:pPr>
        <w:spacing w:after="0"/>
        <w:tabs>
          <w:tab w:leader="none" w:pos="2520" w:val="left"/>
        </w:tabs>
        <w:rPr>
          <w:sz w:val="20"/>
          <w:szCs w:val="20"/>
          <w:color w:val="auto"/>
        </w:rPr>
      </w:pPr>
      <w:r>
        <w:rPr>
          <w:rFonts w:ascii="Courier New" w:cs="Courier New" w:eastAsia="Courier New" w:hAnsi="Courier New"/>
          <w:sz w:val="18"/>
          <w:szCs w:val="18"/>
          <w:color w:val="auto"/>
        </w:rPr>
        <w:t>Investor Relations</w:t>
      </w:r>
      <w:r>
        <w:rPr>
          <w:sz w:val="20"/>
          <w:szCs w:val="20"/>
          <w:color w:val="auto"/>
        </w:rPr>
        <w:tab/>
      </w:r>
      <w:r>
        <w:rPr>
          <w:rFonts w:ascii="Courier New" w:cs="Courier New" w:eastAsia="Courier New" w:hAnsi="Courier New"/>
          <w:sz w:val="16"/>
          <w:szCs w:val="16"/>
          <w:color w:val="auto"/>
        </w:rPr>
        <w:t>Liberty Media</w:t>
      </w:r>
    </w:p>
    <w:p>
      <w:pPr>
        <w:spacing w:after="0"/>
        <w:tabs>
          <w:tab w:leader="none" w:pos="2520" w:val="left"/>
        </w:tabs>
        <w:rPr>
          <w:sz w:val="20"/>
          <w:szCs w:val="20"/>
          <w:color w:val="auto"/>
        </w:rPr>
      </w:pPr>
      <w:r>
        <w:rPr>
          <w:rFonts w:ascii="Courier New" w:cs="Courier New" w:eastAsia="Courier New" w:hAnsi="Courier New"/>
          <w:sz w:val="18"/>
          <w:szCs w:val="18"/>
          <w:color w:val="auto"/>
        </w:rPr>
        <w:t>(303) 267-5048</w:t>
      </w:r>
      <w:r>
        <w:rPr>
          <w:sz w:val="20"/>
          <w:szCs w:val="20"/>
          <w:color w:val="auto"/>
        </w:rPr>
        <w:tab/>
      </w:r>
      <w:r>
        <w:rPr>
          <w:rFonts w:ascii="Courier New" w:cs="Courier New" w:eastAsia="Courier New" w:hAnsi="Courier New"/>
          <w:sz w:val="16"/>
          <w:szCs w:val="16"/>
          <w:color w:val="auto"/>
        </w:rPr>
        <w:t>(303) 721-5406</w:t>
      </w:r>
    </w:p>
    <w:p>
      <w:pPr>
        <w:sectPr>
          <w:pgSz w:w="11900" w:h="16838" w:orient="portrait"/>
          <w:cols w:equalWidth="0" w:num="1">
            <w:col w:w="10219"/>
          </w:cols>
          <w:pgMar w:left="240" w:top="541" w:right="1440" w:bottom="144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[LETTERHEAD OF JONES, DAY, REAVIS &amp; POGUE]</w:t>
      </w: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January 19, 1995</w:t>
      </w:r>
    </w:p>
    <w:p>
      <w:pPr>
        <w:spacing w:after="0" w:line="238" w:lineRule="auto"/>
        <w:rPr>
          <w:sz w:val="20"/>
          <w:szCs w:val="20"/>
          <w:color w:val="auto"/>
        </w:rPr>
      </w:pPr>
      <w:r>
        <w:rPr>
          <w:rFonts w:ascii="Courier New" w:cs="Courier New" w:eastAsia="Courier New" w:hAnsi="Courier New"/>
          <w:sz w:val="18"/>
          <w:szCs w:val="18"/>
          <w:color w:val="auto"/>
        </w:rPr>
        <w:t>VIA FACSIMILE</w:t>
      </w:r>
    </w:p>
    <w:p>
      <w:pPr>
        <w:spacing w:after="0"/>
        <w:rPr>
          <w:sz w:val="20"/>
          <w:szCs w:val="20"/>
          <w:color w:val="auto"/>
        </w:rPr>
      </w:pPr>
      <w:r>
        <w:rPr>
          <w:rFonts w:ascii="Courier New" w:cs="Courier New" w:eastAsia="Courier New" w:hAnsi="Courier New"/>
          <w:sz w:val="18"/>
          <w:szCs w:val="18"/>
          <w:color w:val="auto"/>
        </w:rPr>
        <w:t>_____________</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Ronald B. Rowe, Esq.</w:t>
      </w:r>
    </w:p>
    <w:p>
      <w:pPr>
        <w:spacing w:after="0" w:line="238" w:lineRule="auto"/>
        <w:rPr>
          <w:sz w:val="20"/>
          <w:szCs w:val="20"/>
          <w:color w:val="auto"/>
        </w:rPr>
      </w:pPr>
      <w:r>
        <w:rPr>
          <w:rFonts w:ascii="Courier New" w:cs="Courier New" w:eastAsia="Courier New" w:hAnsi="Courier New"/>
          <w:sz w:val="18"/>
          <w:szCs w:val="18"/>
          <w:color w:val="auto"/>
        </w:rPr>
        <w:t>Federal Trade Commission</w:t>
      </w:r>
    </w:p>
    <w:p>
      <w:pPr>
        <w:spacing w:after="0"/>
        <w:rPr>
          <w:sz w:val="20"/>
          <w:szCs w:val="20"/>
          <w:color w:val="auto"/>
        </w:rPr>
      </w:pPr>
      <w:r>
        <w:rPr>
          <w:rFonts w:ascii="Courier New" w:cs="Courier New" w:eastAsia="Courier New" w:hAnsi="Courier New"/>
          <w:sz w:val="18"/>
          <w:szCs w:val="18"/>
          <w:color w:val="auto"/>
        </w:rPr>
        <w:t>601 Pennsylvania Avenue, N.W.</w:t>
      </w:r>
    </w:p>
    <w:p>
      <w:pPr>
        <w:spacing w:after="0" w:line="237" w:lineRule="auto"/>
        <w:rPr>
          <w:sz w:val="20"/>
          <w:szCs w:val="20"/>
          <w:color w:val="auto"/>
        </w:rPr>
      </w:pPr>
      <w:r>
        <w:rPr>
          <w:rFonts w:ascii="Courier New" w:cs="Courier New" w:eastAsia="Courier New" w:hAnsi="Courier New"/>
          <w:sz w:val="18"/>
          <w:szCs w:val="18"/>
          <w:color w:val="auto"/>
        </w:rPr>
        <w:t>Room 2602</w:t>
      </w:r>
    </w:p>
    <w:p>
      <w:pPr>
        <w:spacing w:after="0" w:line="238" w:lineRule="auto"/>
        <w:rPr>
          <w:sz w:val="20"/>
          <w:szCs w:val="20"/>
          <w:color w:val="auto"/>
        </w:rPr>
      </w:pPr>
      <w:r>
        <w:rPr>
          <w:rFonts w:ascii="Courier New" w:cs="Courier New" w:eastAsia="Courier New" w:hAnsi="Courier New"/>
          <w:sz w:val="18"/>
          <w:szCs w:val="18"/>
          <w:color w:val="auto"/>
        </w:rPr>
        <w:t>Washington, D.C. 20580</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 TCI-QVC, File No. 94-1929</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Ron:</w:t>
      </w:r>
    </w:p>
    <w:p>
      <w:pPr>
        <w:spacing w:after="0" w:line="207" w:lineRule="exact"/>
        <w:rPr>
          <w:sz w:val="20"/>
          <w:szCs w:val="20"/>
          <w:color w:val="auto"/>
        </w:rPr>
      </w:pPr>
    </w:p>
    <w:p>
      <w:pPr>
        <w:ind w:right="2519" w:firstLine="632"/>
        <w:spacing w:after="0" w:line="279" w:lineRule="auto"/>
        <w:rPr>
          <w:sz w:val="20"/>
          <w:szCs w:val="20"/>
          <w:color w:val="auto"/>
        </w:rPr>
      </w:pPr>
      <w:r>
        <w:rPr>
          <w:rFonts w:ascii="Courier New" w:cs="Courier New" w:eastAsia="Courier New" w:hAnsi="Courier New"/>
          <w:sz w:val="16"/>
          <w:szCs w:val="16"/>
          <w:color w:val="auto"/>
        </w:rPr>
        <w:t>Pursuant to our earlier agreement, Tele-Communications, Inc. hereby provides notice of the intent of the parties to close the transaction referenced above at any time after 5:00 p.m. on Monday, February 6, 1995.</w:t>
      </w:r>
    </w:p>
    <w:p>
      <w:pPr>
        <w:spacing w:after="0" w:line="17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Joe Sims</w:t>
      </w:r>
    </w:p>
    <w:p>
      <w:pPr>
        <w:spacing w:after="0" w:line="200" w:lineRule="exact"/>
        <w:rPr>
          <w:sz w:val="20"/>
          <w:szCs w:val="20"/>
          <w:color w:val="auto"/>
        </w:rPr>
      </w:pPr>
    </w:p>
    <w:p>
      <w:pPr>
        <w:spacing w:after="0" w:line="209" w:lineRule="exact"/>
        <w:rPr>
          <w:sz w:val="20"/>
          <w:szCs w:val="20"/>
          <w:color w:val="auto"/>
        </w:rPr>
      </w:pPr>
    </w:p>
    <w:p>
      <w:pPr>
        <w:ind w:left="420" w:right="70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W. Doyle, Jr., Esq. Jill M. Frumin, Esq.</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2019-12-16T13:12:11Z</dcterms:created>
  <dcterms:modified xsi:type="dcterms:W3CDTF">2019-12-16T13:12:11Z</dcterms:modified>
</cp:coreProperties>
</file>