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620" w:hanging="903"/>
        <w:spacing w:after="0" w:line="256" w:lineRule="auto"/>
        <w:tabs>
          <w:tab w:leader="none" w:pos="16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 for the Quarterly Period Ended:</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620" w:right="960" w:hanging="862"/>
        <w:spacing w:after="0" w:line="242" w:lineRule="auto"/>
        <w:tabs>
          <w:tab w:leader="none" w:pos="16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 for the Transition Period</w:t>
      </w:r>
    </w:p>
    <w:p>
      <w:pPr>
        <w:ind w:left="1620"/>
        <w:spacing w:after="0"/>
        <w:rPr>
          <w:rFonts w:ascii="Arial" w:cs="Arial" w:eastAsia="Arial" w:hAnsi="Arial"/>
          <w:sz w:val="22"/>
          <w:szCs w:val="22"/>
          <w:color w:val="auto"/>
        </w:rPr>
      </w:pPr>
      <w:r>
        <w:rPr>
          <w:rFonts w:ascii="Arial" w:cs="Arial" w:eastAsia="Arial" w:hAnsi="Arial"/>
          <w:sz w:val="22"/>
          <w:szCs w:val="22"/>
          <w:b w:val="1"/>
          <w:bCs w:val="1"/>
          <w:color w:val="auto"/>
        </w:rPr>
        <w:t>fromto</w:t>
      </w:r>
      <w:r>
        <w:rPr>
          <w:rFonts w:ascii="Arial" w:cs="Arial" w:eastAsia="Arial" w:hAnsi="Arial"/>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1346835</wp:posOffset>
            </wp:positionH>
            <wp:positionV relativeFrom="paragraph">
              <wp:posOffset>-29210</wp:posOffset>
            </wp:positionV>
            <wp:extent cx="1006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spacing w:after="0" w:line="17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001-15471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COMCAST HOLDINGS CORPORATION</w:t>
      </w:r>
    </w:p>
    <w:p>
      <w:pPr>
        <w:spacing w:after="0" w:line="43" w:lineRule="exact"/>
        <w:rPr>
          <w:sz w:val="24"/>
          <w:szCs w:val="24"/>
          <w:color w:val="auto"/>
        </w:rPr>
      </w:pPr>
    </w:p>
    <w:tbl>
      <w:tblPr>
        <w:tblLayout w:type="fixed"/>
        <w:tblInd w:w="1740" w:type="dxa"/>
        <w:tblCellMar>
          <w:top w:w="0" w:type="dxa"/>
          <w:left w:w="0" w:type="dxa"/>
          <w:bottom w:w="0" w:type="dxa"/>
          <w:right w:w="0" w:type="dxa"/>
        </w:tblCellMar>
      </w:tblPr>
      <w:tr>
        <w:trPr>
          <w:trHeight w:val="222"/>
        </w:trPr>
        <w:tc>
          <w:tcPr>
            <w:tcW w:w="214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(Exact name of registrant as specified in its charter)</w:t>
            </w:r>
          </w:p>
        </w:tc>
      </w:tr>
      <w:tr>
        <w:trPr>
          <w:trHeight w:val="412"/>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PENNSYLVANIA</w:t>
            </w:r>
          </w:p>
        </w:tc>
        <w:tc>
          <w:tcPr>
            <w:tcW w:w="5460" w:type="dxa"/>
            <w:vAlign w:val="bottom"/>
          </w:tcPr>
          <w:p>
            <w:pPr>
              <w:jc w:val="center"/>
              <w:ind w:left="4052"/>
              <w:spacing w:after="0"/>
              <w:rPr>
                <w:sz w:val="20"/>
                <w:szCs w:val="20"/>
                <w:color w:val="auto"/>
              </w:rPr>
            </w:pPr>
            <w:r>
              <w:rPr>
                <w:rFonts w:ascii="Arial" w:cs="Arial" w:eastAsia="Arial" w:hAnsi="Arial"/>
                <w:sz w:val="18"/>
                <w:szCs w:val="18"/>
                <w:b w:val="1"/>
                <w:bCs w:val="1"/>
                <w:color w:val="auto"/>
                <w:w w:val="87"/>
              </w:rPr>
              <w:t>23-1709202</w:t>
            </w:r>
          </w:p>
        </w:tc>
      </w:tr>
      <w:tr>
        <w:trPr>
          <w:trHeight w:val="216"/>
        </w:trPr>
        <w:tc>
          <w:tcPr>
            <w:tcW w:w="2140" w:type="dxa"/>
            <w:vAlign w:val="bottom"/>
          </w:tcPr>
          <w:p>
            <w:pPr>
              <w:jc w:val="center"/>
              <w:spacing w:after="0"/>
              <w:rPr>
                <w:sz w:val="20"/>
                <w:szCs w:val="20"/>
                <w:color w:val="auto"/>
              </w:rPr>
            </w:pPr>
            <w:r>
              <w:rPr>
                <w:rFonts w:ascii="Arial" w:cs="Arial" w:eastAsia="Arial" w:hAnsi="Arial"/>
                <w:sz w:val="18"/>
                <w:szCs w:val="18"/>
                <w:color w:val="auto"/>
                <w:w w:val="90"/>
              </w:rPr>
              <w:t>(State or other jurisdiction of</w:t>
            </w:r>
          </w:p>
        </w:tc>
        <w:tc>
          <w:tcPr>
            <w:tcW w:w="5460" w:type="dxa"/>
            <w:vAlign w:val="bottom"/>
          </w:tcPr>
          <w:p>
            <w:pPr>
              <w:jc w:val="center"/>
              <w:ind w:left="4052"/>
              <w:spacing w:after="0"/>
              <w:rPr>
                <w:sz w:val="20"/>
                <w:szCs w:val="20"/>
                <w:color w:val="auto"/>
              </w:rPr>
            </w:pPr>
            <w:r>
              <w:rPr>
                <w:rFonts w:ascii="Arial" w:cs="Arial" w:eastAsia="Arial" w:hAnsi="Arial"/>
                <w:sz w:val="18"/>
                <w:szCs w:val="18"/>
                <w:color w:val="auto"/>
                <w:w w:val="90"/>
              </w:rPr>
              <w:t>(I.R.S. Employer</w:t>
            </w:r>
          </w:p>
        </w:tc>
      </w:tr>
      <w:tr>
        <w:trPr>
          <w:trHeight w:val="222"/>
        </w:trPr>
        <w:tc>
          <w:tcPr>
            <w:tcW w:w="2140" w:type="dxa"/>
            <w:vAlign w:val="bottom"/>
          </w:tcPr>
          <w:p>
            <w:pPr>
              <w:jc w:val="center"/>
              <w:spacing w:after="0"/>
              <w:rPr>
                <w:sz w:val="20"/>
                <w:szCs w:val="20"/>
                <w:color w:val="auto"/>
              </w:rPr>
            </w:pPr>
            <w:r>
              <w:rPr>
                <w:rFonts w:ascii="Arial" w:cs="Arial" w:eastAsia="Arial" w:hAnsi="Arial"/>
                <w:sz w:val="18"/>
                <w:szCs w:val="18"/>
                <w:color w:val="auto"/>
                <w:w w:val="90"/>
              </w:rPr>
              <w:t>incorporation or organization)</w:t>
            </w:r>
          </w:p>
        </w:tc>
        <w:tc>
          <w:tcPr>
            <w:tcW w:w="5460" w:type="dxa"/>
            <w:vAlign w:val="bottom"/>
          </w:tcPr>
          <w:p>
            <w:pPr>
              <w:jc w:val="center"/>
              <w:ind w:left="4052"/>
              <w:spacing w:after="0"/>
              <w:rPr>
                <w:sz w:val="20"/>
                <w:szCs w:val="20"/>
                <w:color w:val="auto"/>
              </w:rPr>
            </w:pPr>
            <w:r>
              <w:rPr>
                <w:rFonts w:ascii="Arial" w:cs="Arial" w:eastAsia="Arial" w:hAnsi="Arial"/>
                <w:sz w:val="18"/>
                <w:szCs w:val="18"/>
                <w:color w:val="auto"/>
                <w:w w:val="94"/>
              </w:rPr>
              <w:t>Identification No.)</w:t>
            </w:r>
          </w:p>
        </w:tc>
      </w:tr>
    </w:tbl>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1500 Market Street, Philadelphia, PA 19102-2148</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(Zip Code)</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60" w:firstLine="351"/>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62" w:lineRule="exact"/>
        <w:rPr>
          <w:sz w:val="24"/>
          <w:szCs w:val="24"/>
          <w:color w:val="auto"/>
        </w:rPr>
      </w:pPr>
    </w:p>
    <w:tbl>
      <w:tblPr>
        <w:tblLayout w:type="fixed"/>
        <w:tblInd w:w="360" w:type="dxa"/>
        <w:tblCellMar>
          <w:top w:w="0" w:type="dxa"/>
          <w:left w:w="0" w:type="dxa"/>
          <w:bottom w:w="0" w:type="dxa"/>
          <w:right w:w="0" w:type="dxa"/>
        </w:tblCellMar>
      </w:tblPr>
      <w:tr>
        <w:trPr>
          <w:trHeight w:val="275"/>
        </w:trPr>
        <w:tc>
          <w:tcPr>
            <w:tcW w:w="4540" w:type="dxa"/>
            <w:vAlign w:val="bottom"/>
          </w:tcPr>
          <w:p>
            <w:pPr>
              <w:spacing w:after="0"/>
              <w:rPr>
                <w:sz w:val="23"/>
                <w:szCs w:val="23"/>
                <w:color w:val="auto"/>
              </w:rPr>
            </w:pPr>
          </w:p>
        </w:tc>
        <w:tc>
          <w:tcPr>
            <w:tcW w:w="860" w:type="dxa"/>
            <w:vAlign w:val="bottom"/>
          </w:tcPr>
          <w:p>
            <w:pPr>
              <w:ind w:left="2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No o</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4540" w:type="dxa"/>
            <w:vAlign w:val="bottom"/>
          </w:tcPr>
          <w:p>
            <w:pPr>
              <w:spacing w:after="0"/>
              <w:rPr>
                <w:sz w:val="18"/>
                <w:szCs w:val="18"/>
                <w:color w:val="auto"/>
              </w:rPr>
            </w:pPr>
          </w:p>
        </w:tc>
        <w:tc>
          <w:tcPr>
            <w:tcW w:w="1640" w:type="dxa"/>
            <w:vAlign w:val="bottom"/>
            <w:tcBorders>
              <w:bottom w:val="single" w:sz="8" w:color="808080"/>
            </w:tcBorders>
            <w:gridSpan w:val="2"/>
          </w:tcPr>
          <w:p>
            <w:pPr>
              <w:spacing w:after="0"/>
              <w:rPr>
                <w:sz w:val="18"/>
                <w:szCs w:val="18"/>
                <w:color w:val="auto"/>
              </w:rPr>
            </w:pPr>
          </w:p>
        </w:tc>
        <w:tc>
          <w:tcPr>
            <w:tcW w:w="2580" w:type="dxa"/>
            <w:vAlign w:val="bottom"/>
          </w:tcPr>
          <w:p>
            <w:pPr>
              <w:spacing w:after="0"/>
              <w:rPr>
                <w:sz w:val="18"/>
                <w:szCs w:val="18"/>
                <w:color w:val="auto"/>
              </w:rPr>
            </w:pPr>
          </w:p>
        </w:tc>
        <w:tc>
          <w:tcPr>
            <w:tcW w:w="600" w:type="dxa"/>
            <w:vAlign w:val="bottom"/>
            <w:vMerge w:val="restart"/>
          </w:tcPr>
          <w:p>
            <w:pPr>
              <w:ind w:left="18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c>
          <w:tcPr>
            <w:tcW w:w="0" w:type="dxa"/>
            <w:vAlign w:val="bottom"/>
          </w:tcPr>
          <w:p>
            <w:pPr>
              <w:spacing w:after="0"/>
              <w:rPr>
                <w:sz w:val="1"/>
                <w:szCs w:val="1"/>
                <w:color w:val="auto"/>
              </w:rPr>
            </w:pPr>
          </w:p>
        </w:tc>
      </w:tr>
      <w:tr>
        <w:trPr>
          <w:trHeight w:val="447"/>
        </w:trPr>
        <w:tc>
          <w:tcPr>
            <w:tcW w:w="8760" w:type="dxa"/>
            <w:vAlign w:val="bottom"/>
            <w:gridSpan w:val="4"/>
          </w:tcPr>
          <w:p>
            <w:pPr>
              <w:spacing w:after="0"/>
              <w:rPr>
                <w:sz w:val="20"/>
                <w:szCs w:val="20"/>
                <w:color w:val="auto"/>
              </w:rPr>
            </w:pPr>
            <w:r>
              <w:rPr>
                <w:rFonts w:ascii="Arial" w:cs="Arial" w:eastAsia="Arial" w:hAnsi="Arial"/>
                <w:sz w:val="18"/>
                <w:szCs w:val="18"/>
                <w:color w:val="auto"/>
                <w:w w:val="89"/>
              </w:rPr>
              <w:t>Indicate by check mark whether the registrant is an accelerated filer (as defined in Rule 12-b2 of the Exchange Act). Yes o</w:t>
            </w: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-297815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-297815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0" w:lineRule="exact"/>
        <w:rPr>
          <w:sz w:val="24"/>
          <w:szCs w:val="24"/>
          <w:color w:val="auto"/>
        </w:rPr>
      </w:pPr>
    </w:p>
    <w:p>
      <w:pPr>
        <w:ind w:right="140" w:firstLine="341"/>
        <w:spacing w:after="0" w:line="268" w:lineRule="auto"/>
        <w:rPr>
          <w:sz w:val="20"/>
          <w:szCs w:val="20"/>
          <w:color w:val="auto"/>
        </w:rPr>
      </w:pPr>
      <w:r>
        <w:rPr>
          <w:rFonts w:ascii="Arial" w:cs="Arial" w:eastAsia="Arial" w:hAnsi="Arial"/>
          <w:sz w:val="18"/>
          <w:szCs w:val="18"/>
          <w:color w:val="auto"/>
        </w:rPr>
        <w:t>As of June 30, 2005, there were 21,591,115 shares of Class A Common Stock, 916,198,519 shares of Class A Special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right="600" w:firstLine="348"/>
        <w:spacing w:after="0" w:line="268" w:lineRule="auto"/>
        <w:rPr>
          <w:sz w:val="20"/>
          <w:szCs w:val="20"/>
          <w:color w:val="auto"/>
        </w:rPr>
      </w:pPr>
      <w:r>
        <w:rPr>
          <w:rFonts w:ascii="Arial" w:cs="Arial" w:eastAsia="Arial" w:hAnsi="Arial"/>
          <w:sz w:val="18"/>
          <w:szCs w:val="18"/>
          <w:color w:val="auto"/>
        </w:rPr>
        <w:t>The Registrant meets the conditions set forth in General Instructions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85"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140" w:type="dxa"/>
            <w:vAlign w:val="bottom"/>
          </w:tcPr>
          <w:p>
            <w:pPr>
              <w:jc w:val="right"/>
              <w:ind w:right="94"/>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105"/>
        </w:trPr>
        <w:tc>
          <w:tcPr>
            <w:tcW w:w="700" w:type="dxa"/>
            <w:vAlign w:val="bottom"/>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2260" w:type="dxa"/>
            <w:vAlign w:val="bottom"/>
            <w:gridSpan w:val="5"/>
            <w:vMerge w:val="restart"/>
          </w:tcPr>
          <w:p>
            <w:pPr>
              <w:ind w:left="60"/>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7320" w:type="dxa"/>
            <w:vAlign w:val="bottom"/>
            <w:gridSpan w:val="3"/>
            <w:vMerge w:val="restart"/>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700" w:type="dxa"/>
            <w:vAlign w:val="bottom"/>
            <w:tcBorders>
              <w:bottom w:val="single" w:sz="8" w:color="0000EE"/>
            </w:tcBorders>
            <w:vMerge w:val="continue"/>
          </w:tcPr>
          <w:p>
            <w:pPr>
              <w:spacing w:after="0"/>
              <w:rPr>
                <w:sz w:val="24"/>
                <w:szCs w:val="24"/>
                <w:color w:val="auto"/>
              </w:rPr>
            </w:pPr>
          </w:p>
        </w:tc>
        <w:tc>
          <w:tcPr>
            <w:tcW w:w="2260" w:type="dxa"/>
            <w:vAlign w:val="bottom"/>
            <w:tcBorders>
              <w:bottom w:val="single" w:sz="8" w:color="0000EE"/>
            </w:tcBorders>
            <w:gridSpan w:val="5"/>
            <w:vMerge w:val="continue"/>
          </w:tcPr>
          <w:p>
            <w:pPr>
              <w:spacing w:after="0"/>
              <w:rPr>
                <w:sz w:val="24"/>
                <w:szCs w:val="24"/>
                <w:color w:val="auto"/>
              </w:rPr>
            </w:pPr>
          </w:p>
        </w:tc>
        <w:tc>
          <w:tcPr>
            <w:tcW w:w="732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ITEM 1.</w:t>
              </w:r>
            </w:hyperlink>
          </w:p>
        </w:tc>
        <w:tc>
          <w:tcPr>
            <w:tcW w:w="8200" w:type="dxa"/>
            <w:vAlign w:val="bottom"/>
            <w:gridSpan w:val="5"/>
          </w:tcPr>
          <w:p>
            <w:pPr>
              <w:ind w:left="340"/>
              <w:spacing w:after="0" w:line="196" w:lineRule="exact"/>
              <w:rPr>
                <w:sz w:val="20"/>
                <w:szCs w:val="20"/>
                <w:color w:val="auto"/>
              </w:rPr>
            </w:pPr>
            <w:r>
              <w:rPr>
                <w:rFonts w:ascii="Arial" w:cs="Arial" w:eastAsia="Arial" w:hAnsi="Arial"/>
                <w:sz w:val="18"/>
                <w:szCs w:val="18"/>
                <w:color w:val="auto"/>
              </w:rPr>
              <w:t>Financial Statements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0" w:type="dxa"/>
            <w:vAlign w:val="bottom"/>
            <w:gridSpan w:val="5"/>
          </w:tcPr>
          <w:p>
            <w:pPr>
              <w:ind w:left="340"/>
              <w:spacing w:after="0"/>
              <w:rPr>
                <w:sz w:val="20"/>
                <w:szCs w:val="20"/>
                <w:color w:val="auto"/>
              </w:rPr>
            </w:pPr>
            <w:r>
              <w:rPr>
                <w:rFonts w:ascii="Arial" w:cs="Arial" w:eastAsia="Arial" w:hAnsi="Arial"/>
                <w:sz w:val="18"/>
                <w:szCs w:val="18"/>
                <w:color w:val="auto"/>
                <w:w w:val="99"/>
              </w:rPr>
              <w:t>Condensed Consolidated Balance Sheet as of June 30, 2005 and December 31, 2004 (Unaudited)</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0" w:type="dxa"/>
            <w:vAlign w:val="bottom"/>
            <w:gridSpan w:val="5"/>
          </w:tcPr>
          <w:p>
            <w:pPr>
              <w:ind w:left="340"/>
              <w:spacing w:after="0"/>
              <w:rPr>
                <w:sz w:val="20"/>
                <w:szCs w:val="20"/>
                <w:color w:val="auto"/>
              </w:rPr>
            </w:pPr>
            <w:r>
              <w:rPr>
                <w:rFonts w:ascii="Arial" w:cs="Arial" w:eastAsia="Arial" w:hAnsi="Arial"/>
                <w:sz w:val="18"/>
                <w:szCs w:val="18"/>
                <w:color w:val="auto"/>
                <w:w w:val="92"/>
              </w:rPr>
              <w:t>Condensed Consolidated Statement of Operations for the Three and Six Months Ended June 30, 2005 and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0" w:type="dxa"/>
            <w:vAlign w:val="bottom"/>
            <w:gridSpan w:val="5"/>
          </w:tcPr>
          <w:p>
            <w:pPr>
              <w:ind w:left="340"/>
              <w:spacing w:after="0"/>
              <w:rPr>
                <w:sz w:val="20"/>
                <w:szCs w:val="20"/>
                <w:color w:val="auto"/>
              </w:rPr>
            </w:pPr>
            <w:r>
              <w:rPr>
                <w:rFonts w:ascii="Arial" w:cs="Arial" w:eastAsia="Arial" w:hAnsi="Arial"/>
                <w:sz w:val="18"/>
                <w:szCs w:val="18"/>
                <w:color w:val="auto"/>
              </w:rPr>
              <w:t>2004 (Unaudited)</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0" w:type="dxa"/>
            <w:vAlign w:val="bottom"/>
            <w:gridSpan w:val="5"/>
          </w:tcPr>
          <w:p>
            <w:pPr>
              <w:ind w:left="340"/>
              <w:spacing w:after="0"/>
              <w:rPr>
                <w:sz w:val="20"/>
                <w:szCs w:val="20"/>
                <w:color w:val="auto"/>
              </w:rPr>
            </w:pPr>
            <w:r>
              <w:rPr>
                <w:rFonts w:ascii="Arial" w:cs="Arial" w:eastAsia="Arial" w:hAnsi="Arial"/>
                <w:sz w:val="18"/>
                <w:szCs w:val="18"/>
                <w:color w:val="auto"/>
                <w:w w:val="96"/>
              </w:rPr>
              <w:t>Condensed Consolidated Statement of Cash Flows for the Six Months Ended June 30, 2005 and 2004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0" w:type="dxa"/>
            <w:vAlign w:val="bottom"/>
            <w:gridSpan w:val="5"/>
          </w:tcPr>
          <w:p>
            <w:pPr>
              <w:ind w:left="340"/>
              <w:spacing w:after="0"/>
              <w:rPr>
                <w:sz w:val="20"/>
                <w:szCs w:val="20"/>
                <w:color w:val="auto"/>
              </w:rPr>
            </w:pPr>
            <w:r>
              <w:rPr>
                <w:rFonts w:ascii="Arial" w:cs="Arial" w:eastAsia="Arial" w:hAnsi="Arial"/>
                <w:sz w:val="18"/>
                <w:szCs w:val="18"/>
                <w:color w:val="auto"/>
              </w:rPr>
              <w:t>(Unaudited)</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0" w:type="dxa"/>
            <w:vAlign w:val="bottom"/>
            <w:gridSpan w:val="5"/>
          </w:tcPr>
          <w:p>
            <w:pPr>
              <w:ind w:left="340"/>
              <w:spacing w:after="0"/>
              <w:rPr>
                <w:sz w:val="20"/>
                <w:szCs w:val="20"/>
                <w:color w:val="auto"/>
              </w:rPr>
            </w:pPr>
            <w:r>
              <w:rPr>
                <w:rFonts w:ascii="Arial" w:cs="Arial" w:eastAsia="Arial" w:hAnsi="Arial"/>
                <w:sz w:val="18"/>
                <w:szCs w:val="18"/>
                <w:color w:val="auto"/>
              </w:rPr>
              <w:t>Notes to Condensed Consolidated Financial Statements (Unaudited)</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4"/>
        </w:trPr>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Borders>
              <w:bottom w:val="single" w:sz="8" w:color="0000EE"/>
            </w:tcBorders>
          </w:tcPr>
          <w:p>
            <w:pPr>
              <w:spacing w:after="0" w:line="184" w:lineRule="exact"/>
              <w:rPr>
                <w:rFonts w:ascii="Arial" w:cs="Arial" w:eastAsia="Arial" w:hAnsi="Arial"/>
                <w:sz w:val="18"/>
                <w:szCs w:val="18"/>
                <w:color w:val="0000EE"/>
                <w:w w:val="95"/>
              </w:rPr>
            </w:pPr>
            <w:hyperlink w:anchor="page18">
              <w:r>
                <w:rPr>
                  <w:rFonts w:ascii="Arial" w:cs="Arial" w:eastAsia="Arial" w:hAnsi="Arial"/>
                  <w:sz w:val="18"/>
                  <w:szCs w:val="18"/>
                  <w:color w:val="0000EE"/>
                  <w:w w:val="95"/>
                </w:rPr>
                <w:t>ITEM 2.</w:t>
              </w:r>
            </w:hyperlink>
          </w:p>
        </w:tc>
        <w:tc>
          <w:tcPr>
            <w:tcW w:w="8200" w:type="dxa"/>
            <w:vAlign w:val="bottom"/>
            <w:gridSpan w:val="5"/>
          </w:tcPr>
          <w:p>
            <w:pPr>
              <w:ind w:left="340"/>
              <w:spacing w:after="0" w:line="184"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tcPr>
          <w:p>
            <w:pPr>
              <w:jc w:val="right"/>
              <w:spacing w:after="0" w:line="184"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ITEM 3.</w:t>
              </w:r>
            </w:hyperlink>
          </w:p>
        </w:tc>
        <w:tc>
          <w:tcPr>
            <w:tcW w:w="8200" w:type="dxa"/>
            <w:vAlign w:val="bottom"/>
            <w:gridSpan w:val="5"/>
          </w:tcPr>
          <w:p>
            <w:pPr>
              <w:ind w:left="340"/>
              <w:spacing w:after="0" w:line="196" w:lineRule="exact"/>
              <w:rPr>
                <w:sz w:val="20"/>
                <w:szCs w:val="20"/>
                <w:color w:val="auto"/>
              </w:rPr>
            </w:pPr>
            <w:r>
              <w:rPr>
                <w:rFonts w:ascii="Arial" w:cs="Arial" w:eastAsia="Arial" w:hAnsi="Arial"/>
                <w:sz w:val="18"/>
                <w:szCs w:val="18"/>
                <w:color w:val="auto"/>
              </w:rPr>
              <w:t>Quantitative and Qualitative Disclosures about Market Risk</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ITEM 4.</w:t>
              </w:r>
            </w:hyperlink>
          </w:p>
        </w:tc>
        <w:tc>
          <w:tcPr>
            <w:tcW w:w="8200" w:type="dxa"/>
            <w:vAlign w:val="bottom"/>
            <w:gridSpan w:val="5"/>
          </w:tcPr>
          <w:p>
            <w:pPr>
              <w:ind w:left="340"/>
              <w:spacing w:after="0" w:line="196" w:lineRule="exact"/>
              <w:rPr>
                <w:sz w:val="20"/>
                <w:szCs w:val="20"/>
                <w:color w:val="auto"/>
              </w:rPr>
            </w:pPr>
            <w:r>
              <w:rPr>
                <w:rFonts w:ascii="Arial" w:cs="Arial" w:eastAsia="Arial" w:hAnsi="Arial"/>
                <w:sz w:val="18"/>
                <w:szCs w:val="18"/>
                <w:color w:val="auto"/>
              </w:rPr>
              <w:t>Controls and Procedures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PART II.</w:t>
              </w:r>
            </w:hyperlink>
          </w:p>
        </w:tc>
        <w:tc>
          <w:tcPr>
            <w:tcW w:w="9580" w:type="dxa"/>
            <w:vAlign w:val="bottom"/>
            <w:gridSpan w:val="8"/>
          </w:tcPr>
          <w:p>
            <w:pPr>
              <w:ind w:left="120"/>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4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ITEM 1.</w:t>
              </w:r>
            </w:hyperlink>
          </w:p>
        </w:tc>
        <w:tc>
          <w:tcPr>
            <w:tcW w:w="8200" w:type="dxa"/>
            <w:vAlign w:val="bottom"/>
            <w:gridSpan w:val="5"/>
          </w:tcPr>
          <w:p>
            <w:pPr>
              <w:ind w:left="340"/>
              <w:spacing w:after="0" w:line="196" w:lineRule="exact"/>
              <w:rPr>
                <w:sz w:val="20"/>
                <w:szCs w:val="20"/>
                <w:color w:val="auto"/>
              </w:rPr>
            </w:pPr>
            <w:r>
              <w:rPr>
                <w:rFonts w:ascii="Arial" w:cs="Arial" w:eastAsia="Arial" w:hAnsi="Arial"/>
                <w:sz w:val="18"/>
                <w:szCs w:val="18"/>
                <w:color w:val="auto"/>
              </w:rPr>
              <w:t>Legal Proceedings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ITEM 6.</w:t>
              </w:r>
            </w:hyperlink>
          </w:p>
        </w:tc>
        <w:tc>
          <w:tcPr>
            <w:tcW w:w="8200" w:type="dxa"/>
            <w:vAlign w:val="bottom"/>
            <w:gridSpan w:val="5"/>
          </w:tcPr>
          <w:p>
            <w:pPr>
              <w:ind w:left="340"/>
              <w:spacing w:after="0" w:line="196" w:lineRule="exact"/>
              <w:rPr>
                <w:sz w:val="20"/>
                <w:szCs w:val="20"/>
                <w:color w:val="auto"/>
              </w:rPr>
            </w:pPr>
            <w:r>
              <w:rPr>
                <w:rFonts w:ascii="Arial" w:cs="Arial" w:eastAsia="Arial" w:hAnsi="Arial"/>
                <w:sz w:val="18"/>
                <w:szCs w:val="18"/>
                <w:color w:val="auto"/>
              </w:rPr>
              <w:t>Exhibits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080" w:type="dxa"/>
            <w:vAlign w:val="bottom"/>
            <w:gridSpan w:val="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39"/>
        </w:trPr>
        <w:tc>
          <w:tcPr>
            <w:tcW w:w="700" w:type="dxa"/>
            <w:vAlign w:val="bottom"/>
            <w:tcBorders>
              <w:top w:val="single" w:sz="8" w:color="0000EE"/>
            </w:tcBorders>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3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-2226945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-2226945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-1759585</wp:posOffset>
            </wp:positionV>
            <wp:extent cx="279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-1622425</wp:posOffset>
            </wp:positionV>
            <wp:extent cx="279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-1348105</wp:posOffset>
            </wp:positionV>
            <wp:extent cx="279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-1073150</wp:posOffset>
            </wp:positionV>
            <wp:extent cx="279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Quarterly Report on Form 10-Q is for the three and six months ended June 30, 2005.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"Comcast Holdings," "we," "us" and "our" refer to Comcast Holdings Corporation and its subsidiaries, and "Comcast" refers to Comcast Corporation.</w:t>
      </w:r>
    </w:p>
    <w:p>
      <w:pPr>
        <w:spacing w:after="0" w:line="19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"plans," "anticipates," "believes," "estimates," "predicts," "potential," or "continue," or the negative of these words, and other comparable words. You should be aware that these statements are only our predictions. In evaluating these statements, you should specifically consider various factors, including the risks and uncertainties outlined below. Actual events or our actual results may differ materially from any of our forward-looking statements.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of the services offered by our cable systems face a wide range of competition that could adversely affect our future results of operations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Programming costs are increasing, which could adversely affect our future results of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costs and restrictions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Comcast's Chairman and CEO has considerable influence over our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a more detailed explanation of the factors affecting our businesses, please refer to the Risk Factors section in Item 1 of our 2004 Form 10-K.</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9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900" w:type="dxa"/>
            <w:vAlign w:val="bottom"/>
          </w:tcPr>
          <w:p>
            <w:pPr>
              <w:jc w:val="center"/>
              <w:ind w:left="1952"/>
              <w:spacing w:after="0"/>
              <w:rPr>
                <w:sz w:val="20"/>
                <w:szCs w:val="20"/>
                <w:color w:val="auto"/>
              </w:rPr>
            </w:pPr>
            <w:r>
              <w:rPr>
                <w:rFonts w:ascii="Arial" w:cs="Arial" w:eastAsia="Arial" w:hAnsi="Arial"/>
                <w:sz w:val="18"/>
                <w:szCs w:val="18"/>
                <w:b w:val="1"/>
                <w:bCs w:val="1"/>
                <w:color w:val="auto"/>
                <w:w w:val="97"/>
              </w:rPr>
              <w:t>CONDENSED CONSOLIDATED BALANCE SHEET</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900" w:type="dxa"/>
            <w:vAlign w:val="bottom"/>
          </w:tcPr>
          <w:p>
            <w:pPr>
              <w:jc w:val="center"/>
              <w:ind w:left="1952"/>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(Dollars 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4"/>
                <w:szCs w:val="14"/>
                <w:b w:val="1"/>
                <w:bCs w:val="1"/>
                <w:color w:val="auto"/>
                <w:w w:val="87"/>
              </w:rPr>
              <w:t>June 30, 2005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December 31, 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ASSETS</w:t>
            </w:r>
          </w:p>
        </w:tc>
        <w:tc>
          <w:tcPr>
            <w:tcW w:w="7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3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20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 for doubtful accounts of $69 and $65</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gridSpan w:val="2"/>
          </w:tcPr>
          <w:p>
            <w:pPr>
              <w:ind w:left="20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62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64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640" w:type="dxa"/>
            <w:vAlign w:val="bottom"/>
            <w:gridSpan w:val="3"/>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20" w:type="dxa"/>
            <w:vAlign w:val="bottom"/>
            <w:gridSpan w:val="2"/>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640" w:type="dxa"/>
            <w:vAlign w:val="bottom"/>
            <w:gridSpan w:val="3"/>
          </w:tcPr>
          <w:p>
            <w:pPr>
              <w:spacing w:after="0"/>
              <w:rPr>
                <w:sz w:val="20"/>
                <w:szCs w:val="20"/>
                <w:color w:val="auto"/>
              </w:rPr>
            </w:pPr>
            <w:r>
              <w:rPr>
                <w:rFonts w:ascii="Arial" w:cs="Arial" w:eastAsia="Arial" w:hAnsi="Arial"/>
                <w:sz w:val="18"/>
                <w:szCs w:val="18"/>
                <w:color w:val="auto"/>
              </w:rPr>
              <w:t>NOTES RECEIVABLE FROM AFFILIATES</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FROM AFFILIATES, net</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of $5,950 and $5,410</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FRANCHISE RIGHTS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OTHER INTANGIBLE ASSETS, net of accumulated amortization of $1,470 and $1,295</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42,814</w:t>
            </w:r>
          </w:p>
        </w:tc>
        <w:tc>
          <w:tcPr>
            <w:tcW w:w="320" w:type="dxa"/>
            <w:vAlign w:val="bottom"/>
            <w:gridSpan w:val="2"/>
          </w:tcPr>
          <w:p>
            <w:pPr>
              <w:jc w:val="center"/>
              <w:ind w:left="72"/>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41,942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2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9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3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2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62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NOTES PAYABLE TO AFFILIATES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200"/>
              <w:spacing w:after="0"/>
              <w:rPr>
                <w:sz w:val="20"/>
                <w:szCs w:val="20"/>
                <w:color w:val="auto"/>
              </w:rPr>
            </w:pPr>
            <w:r>
              <w:rPr>
                <w:rFonts w:ascii="Arial" w:cs="Arial" w:eastAsia="Arial" w:hAnsi="Arial"/>
                <w:sz w:val="18"/>
                <w:szCs w:val="18"/>
                <w:color w:val="auto"/>
              </w:rPr>
              <w:t>Preferred stock—authorized, 20,000,000 shares; issued, zero</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Class A common stock, $1.00 par value—authorized, 200,000,000 shares; issued, 21,591,115</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200"/>
              <w:spacing w:after="0"/>
              <w:rPr>
                <w:sz w:val="20"/>
                <w:szCs w:val="20"/>
                <w:color w:val="auto"/>
              </w:rPr>
            </w:pPr>
            <w:r>
              <w:rPr>
                <w:rFonts w:ascii="Arial" w:cs="Arial" w:eastAsia="Arial" w:hAnsi="Arial"/>
                <w:sz w:val="18"/>
                <w:szCs w:val="18"/>
                <w:color w:val="auto"/>
              </w:rPr>
              <w:t>Class A Special common stock, $1.00 par value—authorized, 2,500,000,000 shares; issued, 916,198,519</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Class B common stock, $1.00 par value—authorized, 50,000,000 shares; issued, 9,444,375</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200"/>
              <w:spacing w:after="0"/>
              <w:rPr>
                <w:sz w:val="20"/>
                <w:szCs w:val="20"/>
                <w:color w:val="auto"/>
              </w:rPr>
            </w:pPr>
            <w:r>
              <w:rPr>
                <w:rFonts w:ascii="Arial" w:cs="Arial" w:eastAsia="Arial" w:hAnsi="Arial"/>
                <w:sz w:val="18"/>
                <w:szCs w:val="18"/>
                <w:color w:val="auto"/>
              </w:rPr>
              <w:t>Additional capital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62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42,814</w:t>
            </w:r>
          </w:p>
        </w:tc>
        <w:tc>
          <w:tcPr>
            <w:tcW w:w="320" w:type="dxa"/>
            <w:vAlign w:val="bottom"/>
            <w:gridSpan w:val="2"/>
          </w:tcPr>
          <w:p>
            <w:pPr>
              <w:jc w:val="center"/>
              <w:ind w:left="72"/>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41,942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9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-6917690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-6917690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-6669405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-6669405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-6669405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-6669405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-5691505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-5691505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-5691505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-5691505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-4130675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-4130675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-4130675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-4130675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-2981325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-2981325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-2981325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-2981325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-2689860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-2689860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-2689860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-2689860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-614680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-614680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-614680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-323215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0"/>
                <w:szCs w:val="20"/>
                <w:color w:val="auto"/>
              </w:rPr>
            </w:pPr>
          </w:p>
        </w:tc>
        <w:tc>
          <w:tcPr>
            <w:tcW w:w="22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right"/>
              <w:ind w:right="43"/>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ind w:right="43"/>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313"/>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5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(excluding depreciation)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5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(309)</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 on affiliate notes,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Investment income,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 in net losses of affiliates</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18"/>
        </w:trPr>
        <w:tc>
          <w:tcPr>
            <w:tcW w:w="65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500" w:type="dxa"/>
            <w:vAlign w:val="bottom"/>
            <w:gridSpan w:val="2"/>
          </w:tcPr>
          <w:p>
            <w:pPr>
              <w:spacing w:after="0"/>
              <w:rPr>
                <w:sz w:val="20"/>
                <w:szCs w:val="20"/>
                <w:color w:val="auto"/>
              </w:rPr>
            </w:pPr>
            <w:r>
              <w:rPr>
                <w:rFonts w:ascii="Arial" w:cs="Arial" w:eastAsia="Arial" w:hAnsi="Arial"/>
                <w:sz w:val="18"/>
                <w:szCs w:val="18"/>
                <w:color w:val="auto"/>
              </w:rPr>
              <w:t>INCOME BEFORE INCOME TAXES AND MINORITY INTEREST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24"/>
                <w:szCs w:val="24"/>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24"/>
                <w:szCs w:val="24"/>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w:t>
            </w:r>
          </w:p>
        </w:tc>
        <w:tc>
          <w:tcPr>
            <w:tcW w:w="2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118"/>
        </w:trPr>
        <w:tc>
          <w:tcPr>
            <w:tcW w:w="65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500" w:type="dxa"/>
            <w:vAlign w:val="bottom"/>
            <w:gridSpan w:val="2"/>
          </w:tcPr>
          <w:p>
            <w:pPr>
              <w:spacing w:after="0"/>
              <w:rPr>
                <w:sz w:val="20"/>
                <w:szCs w:val="20"/>
                <w:color w:val="auto"/>
              </w:rPr>
            </w:pPr>
            <w:r>
              <w:rPr>
                <w:rFonts w:ascii="Arial" w:cs="Arial" w:eastAsia="Arial" w:hAnsi="Arial"/>
                <w:sz w:val="18"/>
                <w:szCs w:val="18"/>
                <w:color w:val="auto"/>
              </w:rPr>
              <w:t>INCOME BEFORE MINORITY INTEREST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20" w:type="dxa"/>
            <w:vAlign w:val="bottom"/>
            <w:shd w:val="clear" w:color="auto" w:fill="CCEEFF"/>
          </w:tcPr>
          <w:p>
            <w:pPr>
              <w:spacing w:after="0"/>
              <w:rPr>
                <w:sz w:val="24"/>
                <w:szCs w:val="24"/>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24"/>
                <w:szCs w:val="24"/>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18"/>
        </w:trPr>
        <w:tc>
          <w:tcPr>
            <w:tcW w:w="65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-4996815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-4996815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-4653915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-4653915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-4653915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-4653915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-4404995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-4404995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-4404995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-4404995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-4404995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-4404995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-4404995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-4404995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-3290570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-3290570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-3290570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-3290570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-3290570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-3290570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-3290570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-3290570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-2998470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-2998470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-2998470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-2998470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-2998470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-2998470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-2998470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-2998470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-1746885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-1746885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-1746885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-1746885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-1746885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-1746885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-1746885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-1746885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-1454785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-1454785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-1454785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-1454785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-1454785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-1454785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-1454785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-1454785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-889000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-889000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-889000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-889000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-889000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-889000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-889000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-889000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-323215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-323215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-323215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-323215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-323215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7"/>
              </w:rPr>
              <w:t>(Dollars 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85"/>
              </w:rPr>
              <w:t>June 30,</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37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536</w:t>
            </w:r>
          </w:p>
        </w:tc>
        <w:tc>
          <w:tcPr>
            <w:tcW w:w="2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Non-cash interest expense, net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interest income on affiliate notes,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Equity in net losses of affiliates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(gains) on investments and other non-cash (income) expense,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Non-cash contribution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Change in accounts receivable, net</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Change in other operating assets and liabilities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87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borrowings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Retirements and repayments of debt</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transactions with affiliates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118"/>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87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Proceeds from sales of (purchases of) short-term investments, net</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investments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Additions to intangible and other noncurrent assets</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118"/>
        </w:trPr>
        <w:tc>
          <w:tcPr>
            <w:tcW w:w="878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87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78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7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1,193</w:t>
            </w:r>
          </w:p>
        </w:tc>
        <w:tc>
          <w:tcPr>
            <w:tcW w:w="2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7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-7071995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-7071995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-6729095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-6729095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-6480175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-6480175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-6480175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-6480175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-3993515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-3993515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-3993515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-3993515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-3702050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-3702050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-3702050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-3702050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-2724150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-2724150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-2724150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-2724150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-2432685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-2432685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-2432685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-2432685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-1180465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-1180465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-1180465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-1180465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-889000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-889000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-889000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-889000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-323215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-323215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 ENDED JUNE 30, 2005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CONDENSED CONSOLIDATED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prepared these unaudited condensed consolidated financial statements based upon Securities and Exchange Commission ("SEC") rules that permit reduced disclosure for interim periods. We are an indirect, wholly-owned subsidiary of Comcast Corporation ("Comcast"). Our presentation differs from the condensed consolidated financial statements of Comcast by excluding both Comcast's corporate operations and certain cable operations, primarily those acquired from AT&amp;T in November 2002 (the "Broadband acquisition"). Subsequent to the Broadband acquisition, all of our and Comcast's cable operations are operated as a single, integrated cable business unit. Our condensed consolidated financial statements reflect the assets, liabilities, revenues and expenses directly attributable to us, as well as allocations deemed reasonable by management, to present our financial position, results of operations and cash flows on a stand-alone basis. These allocations are further described in Note 9. All significant intercompany accounts and transactions between entities consolidated in our financial statements have been eliminated.</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include all adjustments that are necessary for a fair presentation of our financial condition, results of operations, and cash flows for the interim periods shown, including normal recurring accruals and other items. The results of operations for the interim periods presented are not necessarily indicative of results for the full year.</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a more complete discussion of our accounting policies and certain other information, refer to our annual financial statements for the preceding fiscal year as filed with the SEC.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 year financial statements to conform to those classifications used in 2005.</w:t>
      </w: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RECENT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SFAS No. 123R</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December 2004, the Financial Accounting Standards Board issued Statement of Financial Accounting Standards ("SFAS") No. 123 (revised 2004), "Share-Based Payment" ("SFAS No. 123R"), which replaces SFAS No. 123, "Accounting for Stock-Based Compensation" ("SFAS No. 123") and supersedes Accounting Principles Board ("APB") Opinion No. 25, "Accounting for Stock Issued to Employees" ("APB No. 25"). SFAS No. 123R requires all share-based payments to employees, including grants of employee stock options, to be recognized in the financial statements based on their fair values, beginning with the next fiscal year that begins after June 15, 2005, with early adoption encouraged. In addition, SFAS No. 123R will cause unrecognized expense (based on the amounts in our pro forma footnote disclosure) related to options vesting after the date of initial adoption to be recognized as a charge to results of operations over the remaining vesting period. We are required to adopt SFAS No. 123R beginning January 1, 2006. Under SFAS No. 123R, we must determine the appropriate fair value model to be used for valuing share-based payments, the amortization method for compensation cost and the transition method to be used at the date of adoption. The transition alternatives include prospective and retroactive adoption methods. Under the retroactive methods, prior periods may be retroactively adjusted either as of the beginning of the year of adoption or for all</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JUNE 30,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periods presented. The prospective method requires that compensation expense be recorded for all unvested stock options and share awards at the beginning of the first quarter of adoption of SFAS No. 123R, while the retroactive methods would record compensation expense for all unvested stock options and share awards beginning with the first period retroactively adjusted. We are evaluating the requirements of SFAS No. 123R, and we expect that the adoption of SFAS No. 123R will have a material impact on our consolidated results of operations. We have not determined the date or method of adoption or the effect of adopting SFAS No. 123R.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 No. 47</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March 2005, the FASB issued FASB Interpretation ("FIN") No. 47 "Accounting for Conditional Asset Retirement Obligations—an Interpretation of FASB Statement No. 143, ("FIN No. 47"). FIN No. 47 clarifies the timing of liability recognition for legal obligations associated with the retirement of a tangible long-lived asset when the timing and/or method of settlement are conditional on a future event. FIN No. 47 is effective for us no later than December 31, 2005. We do not expect that the adoption of FIN No. 47 will have a material impact on our consolidated financial condition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SFAS No. 153</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2004, the FASB issued SFAS No. 153, "Exchanges of Nonmonetary Assets—an amendment of APB Opinion No. 29" ("SFAS No. 153"). The guidance in APB Opinion No. 29, "Accounting for Nonmonetary Transactions" ("APB Opinion No. 29"), is based on the principle that exchanges of nonmonetary assets should be measured based on the fair value of the assets exchanged. The guidance in APB Opinion No. 29, however, included certain exceptions to that principle. SFAS No. 153 amends APB Opinion No. 29 to eliminate the exception for nonmonetary exchanges of similar productive assets and replaces it with a general exception for exchanges of nonmonetary assets that do not have commercial substance. SFAS No. 153 is effective for such exchange transactions occurring in fiscal periods beginning after June 15, 2005.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SFAS No. 154</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Corrections—a replacement of APB Opinion No. 20 and FASB Statement No. 3" ("SFAS No. 154"). This Statement replaces APB Opinion No. 20, "Accounting Changes" and FASB Statement No. 3, "Reporting Accounting Changes in Interim Financial Statements," and changes the requirements for the accounting for and reporting of a change in accounting principle. SFAS No. 154 applies to all voluntary changes in an accounting principle. It also applies to changes required by an accounting pronouncement in the unusual instance that the pronouncement does not include specific transition provisions. When a pronouncement includes specific transition provisions, those provisions should be followed. SFAS No. 154 is effective for accounting changes and error corrections occurring in fiscal years beginning after December 15, 2005.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JUNE 30,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INVESTMENTS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6"/>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36"/>
              <w:spacing w:after="0"/>
              <w:rPr>
                <w:sz w:val="20"/>
                <w:szCs w:val="20"/>
                <w:color w:val="auto"/>
              </w:rPr>
            </w:pPr>
            <w:r>
              <w:rPr>
                <w:rFonts w:ascii="Arial" w:cs="Arial" w:eastAsia="Arial" w:hAnsi="Arial"/>
                <w:sz w:val="14"/>
                <w:szCs w:val="14"/>
                <w:b w:val="1"/>
                <w:bCs w:val="1"/>
                <w:color w:val="auto"/>
                <w:w w:val="85"/>
              </w:rPr>
              <w:t>June 30, 2005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6"/>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Fair value method</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80"/>
              <w:spacing w:after="0"/>
              <w:rPr>
                <w:sz w:val="20"/>
                <w:szCs w:val="20"/>
                <w:color w:val="auto"/>
              </w:rPr>
            </w:pPr>
            <w:r>
              <w:rPr>
                <w:rFonts w:ascii="Arial" w:cs="Arial" w:eastAsia="Arial" w:hAnsi="Arial"/>
                <w:sz w:val="18"/>
                <w:szCs w:val="18"/>
                <w:color w:val="auto"/>
              </w:rPr>
              <w:t>Liberty Media Corporation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Liberty Global</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80"/>
              <w:spacing w:after="0"/>
              <w:rPr>
                <w:sz w:val="20"/>
                <w:szCs w:val="20"/>
                <w:color w:val="auto"/>
              </w:rPr>
            </w:pPr>
            <w:r>
              <w:rPr>
                <w:rFonts w:ascii="Arial" w:cs="Arial" w:eastAsia="Arial" w:hAnsi="Arial"/>
                <w:sz w:val="18"/>
                <w:szCs w:val="18"/>
                <w:color w:val="auto"/>
              </w:rPr>
              <w:t>Sprint</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Equity method</w:t>
            </w:r>
          </w:p>
        </w:tc>
        <w:tc>
          <w:tcPr>
            <w:tcW w:w="2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Cost method</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investments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430"/>
        </w:trPr>
        <w:tc>
          <w:tcPr>
            <w:tcW w:w="4540" w:type="dxa"/>
            <w:vAlign w:val="bottom"/>
            <w:gridSpan w:val="2"/>
          </w:tcPr>
          <w:p>
            <w:pPr>
              <w:spacing w:after="0"/>
              <w:rPr>
                <w:sz w:val="20"/>
                <w:szCs w:val="20"/>
                <w:color w:val="auto"/>
              </w:rPr>
            </w:pPr>
            <w:r>
              <w:rPr>
                <w:rFonts w:ascii="Arial" w:cs="Arial" w:eastAsia="Arial" w:hAnsi="Arial"/>
                <w:sz w:val="18"/>
                <w:szCs w:val="18"/>
                <w:color w:val="auto"/>
              </w:rPr>
              <w:t>Less, current investments</w:t>
            </w: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Noncurrent investments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-2775585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-2775585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-2432685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-2432685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-2432685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-2432685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-1591945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-1591945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-1591945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-1591945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-889000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-889000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-889000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-889000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-323215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-323215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-323215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Method</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hold unrestricted equity investments, which we account for as available for sale or trading securities, in publicly traded companies. Our investments in Liberty Media Corporation, Liberty Global, Inc. formerly known as Liberty Media International, Inc. ("Liberty Global") and Sprint are accounted for as trading securities. The net unrealized pre-tax gains on investments accounted for as available for sale securities as of June 30, 2005, of $14 million, has been reported in our consolidated balance sheet as a component of accumulated other comprehensive income, net of related deferred income taxes of $5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cost, fair value and unrealized gains related to our available for sale securities are as follows (dollars in millions):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 2005</w:t>
            </w:r>
          </w:p>
        </w:tc>
        <w:tc>
          <w:tcPr>
            <w:tcW w:w="2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December 31, 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2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Unrealized gains</w:t>
            </w:r>
          </w:p>
        </w:tc>
        <w:tc>
          <w:tcPr>
            <w:tcW w:w="2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2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-751840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-751840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-751840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-751840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-323215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-323215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February 2005, we entered into a 10 year prepaid forward sale of approximately 2.7 million shares of Liberty Global Series A common stock for proceeds of $99 million.</w:t>
      </w:r>
    </w:p>
    <w:p>
      <w:pPr>
        <w:spacing w:after="0" w:line="18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increase in our other fair value method investments relates principally to non-cash additions during 2005 in connection with the exchange of one of our equity method investments.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QUARTER ENDED JUNE 30, 2005</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net for the interim periods includes the following (dollars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8"/>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dividend and other investment income (expense)</w:t>
            </w:r>
          </w:p>
        </w:tc>
        <w:tc>
          <w:tcPr>
            <w:tcW w:w="7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9"/>
              </w:rPr>
              <w:t>Gains (losses) on sales and exchanges of investments, net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Investment impairment losses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0"/>
              </w:rPr>
              <w:t>Unrealized gains (losses) on trading securities and hedged items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7"/>
              </w:rPr>
              <w:t>Mark to market adjustments on derivatives related to trading</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hedged items</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200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Mark to market adjustments on derivatives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Investment income, net</w:t>
            </w:r>
          </w:p>
        </w:tc>
        <w:tc>
          <w:tcPr>
            <w:tcW w:w="7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146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-1686560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-1686560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-1686560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-1686560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-1437640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-1437640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-1437640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-1437640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-1437640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-1437640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-1437640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-1437640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-323215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-323215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-323215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-323215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-323215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-323215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GOODWILL</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by business segment (see Note 8) for the period presented are as follows (dollars in millions):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Corporate and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rPr>
              <w:t>Cable</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56"/>
              <w:spacing w:after="0"/>
              <w:rPr>
                <w:sz w:val="20"/>
                <w:szCs w:val="20"/>
                <w:color w:val="auto"/>
              </w:rPr>
            </w:pPr>
            <w:r>
              <w:rPr>
                <w:rFonts w:ascii="Arial" w:cs="Arial" w:eastAsia="Arial" w:hAnsi="Arial"/>
                <w:sz w:val="14"/>
                <w:szCs w:val="14"/>
                <w:b w:val="1"/>
                <w:bCs w:val="1"/>
                <w:color w:val="auto"/>
                <w:w w:val="98"/>
              </w:rPr>
              <w:t>Content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39"/>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18"/>
        </w:trPr>
        <w:tc>
          <w:tcPr>
            <w:tcW w:w="478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80" w:type="dxa"/>
            <w:vAlign w:val="bottom"/>
            <w:gridSpan w:val="2"/>
          </w:tcPr>
          <w:p>
            <w:pPr>
              <w:spacing w:after="0"/>
              <w:rPr>
                <w:sz w:val="20"/>
                <w:szCs w:val="20"/>
                <w:color w:val="auto"/>
              </w:rPr>
            </w:pPr>
            <w:r>
              <w:rPr>
                <w:rFonts w:ascii="Arial" w:cs="Arial" w:eastAsia="Arial" w:hAnsi="Arial"/>
                <w:sz w:val="18"/>
                <w:szCs w:val="18"/>
                <w:color w:val="auto"/>
              </w:rPr>
              <w:t>Balance, June 30, 2005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4,714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5,870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-889000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-889000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-889000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-889000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-889000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-889000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-889000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-889000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-323215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-323215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-323215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-323215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-323215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-323215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Cross-Guarantee Structure</w:t>
      </w:r>
    </w:p>
    <w:p>
      <w:pPr>
        <w:spacing w:after="0" w:line="225"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Comcast and certain of its cable holding company subsidiaries, including our wholly-owned subsidiary Comcast Cable Communications, LLC ("Comcast Cable"), have unconditionally guaranteed each other's debt securities and indebtedness for borrowed money. As of June 30, 2005, $21.450 billion of Comcast's debt securities were entitled to the benefits of the cross-guarantee structure, including $6.336 billion of Comcast Cable's debt securities. Comcast Holdings Corporation is not a guarantor, and none of its debt is guaranteed. As of June 30, 2005, $906 million of debt was outstanding at Comcast Holdings Corporation.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June 30, 2005, certain of our subsidiaries had unused irrevocable standby letters of credit totaling $13 million to cover potential fundings under various agreements.</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341" w:right="4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 ENDED JUNE 30, 2005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ZONES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maturity, holders of our 2.0% Exchangeable Subordinated Debentures due 2029 (the "ZONES") are entitled to receive in cash an amount equal to the higher of the principal amount of the ZONES of $1.807 billion or the market value of Sprint common stock. Prior to maturity, each ZONES is exchangeable at the holder's option for an amount of cash equal to 95% of the market value of Sprint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separated the accounting for the ZONES into derivative and debt components. We record the change in the carrying value of the debt component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ZONES (see Note 3) and the change in the fair value of the derivative component of the ZONES as follows (dollars in millions):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ZONES</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160" w:type="dxa"/>
            <w:vAlign w:val="bottom"/>
          </w:tcPr>
          <w:p>
            <w:pPr>
              <w:spacing w:after="0"/>
              <w:rPr>
                <w:sz w:val="23"/>
                <w:szCs w:val="23"/>
                <w:color w:val="auto"/>
              </w:rPr>
            </w:pPr>
          </w:p>
        </w:tc>
        <w:tc>
          <w:tcPr>
            <w:tcW w:w="196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Debt component</w:t>
            </w:r>
          </w:p>
        </w:tc>
        <w:tc>
          <w:tcPr>
            <w:tcW w:w="540" w:type="dxa"/>
            <w:vAlign w:val="bottom"/>
          </w:tcPr>
          <w:p>
            <w:pPr>
              <w:jc w:val="right"/>
              <w:ind w:right="388"/>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540</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Derivative component</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160" w:type="dxa"/>
            <w:vAlign w:val="bottom"/>
          </w:tcPr>
          <w:p>
            <w:pPr>
              <w:ind w:left="52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708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Change in debt component to interest expense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Change in derivative component to investment income, net</w:t>
            </w:r>
          </w:p>
        </w:tc>
        <w:tc>
          <w:tcPr>
            <w:tcW w:w="5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Debt component</w:t>
            </w:r>
          </w:p>
        </w:tc>
        <w:tc>
          <w:tcPr>
            <w:tcW w:w="5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Derivative component</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160" w:type="dxa"/>
            <w:vAlign w:val="bottom"/>
          </w:tcPr>
          <w:p>
            <w:pPr>
              <w:ind w:left="52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ind w:right="388"/>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671</w:t>
            </w:r>
          </w:p>
        </w:tc>
        <w:tc>
          <w:tcPr>
            <w:tcW w:w="16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6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6477635</wp:posOffset>
            </wp:positionH>
            <wp:positionV relativeFrom="paragraph">
              <wp:posOffset>-2364105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-2364105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-2115185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-2115185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-1866900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-1866900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-1866900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-1866900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-1300480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-1300480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-1300480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-1300480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-323215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-323215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-323215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Excluding the derivative component of the ZONES whose changes in fair value are recorded to investment income, net, our effective weighted average interest rate on our total debt outstanding was 7.49% and 7.48% as of June 30, 2005, and December 31, 2004, respectively. As of June 30, 2005, and December 31, 2004, accrued interest was $113 million and $111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We use derivative financial instruments to manage our exposure to fluctuations in interest rates and securities prices. We have issued indexed debt instruments and prepaid forward sale agreements whose value, in part, is derived from the market value of certain publicly traded common stock.</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account for stock-based compensation in accordance with APB No. 25 and related interpretations, as permitted by SFAS No. 123, as amended. Compensation expense for stock options is measured as the excess, if any, of the quoted market price of Comcast's stock at the date of the grant over the amount an optionee must pay to acquire the stock. We record compensation expense for restricted stock awards based on the quoted market price of Comcast's stock at the date of the grant and the vesting period. We record compensation expense for stock appreciation rights based on the changes in quoted market prices of the underlying stock or other determinants of fair value.</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illustrates the effect on net income if we had applied the fair value recognition provisions of SFAS No. 123 to stock-based compensation. Total stock-based compensation expense was determined under the fair value-based method for all awards using the accelerated recognition method as permitted under SFAS No. 123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9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1"/>
              </w:rPr>
              <w:t>Three Months Ended June</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30,</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2005</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8"/>
              </w:rPr>
              <w:t>Add: Stock-based compensation expense included in net income, as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reported above, net of related tax effects</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Deduct: Stock-based compensation expense determined under fair</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value-based method for all awards, net of related tax effects</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18"/>
        </w:trPr>
        <w:tc>
          <w:tcPr>
            <w:tcW w:w="540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0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512</w:t>
            </w: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-1412240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-1412240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-1412240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-1412240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-1163320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-1163320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-1163320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-1163320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-1163320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-1163320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-1163320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-1163320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-323215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-323215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-323215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-323215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-323215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-323215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-323215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pro forma effect on net income for the interim periods by applying SFAS No. 123 may not be indicative of the effect on net income or loss in future years since SFAS No. 123 does not take into consideration additional awards that may be granted in future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total comprehensive income for the interim periods was as follows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6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0"/>
              </w:rPr>
              <w:t>Three Months Ended June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88"/>
              </w:rPr>
              <w:t>Six Months Ended June 30,</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4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4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332</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Unrealized gains (losses) on marketable securities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8"/>
              </w:rPr>
              <w:t>Reclassification adjustments included in net income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220" w:type="dxa"/>
            <w:vAlign w:val="bottom"/>
            <w:gridSpan w:val="2"/>
          </w:tcPr>
          <w:p>
            <w:pPr>
              <w:spacing w:after="0"/>
              <w:rPr>
                <w:sz w:val="10"/>
                <w:szCs w:val="10"/>
                <w:color w:val="auto"/>
              </w:rPr>
            </w:pPr>
          </w:p>
        </w:tc>
        <w:tc>
          <w:tcPr>
            <w:tcW w:w="9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220" w:type="dxa"/>
            <w:vAlign w:val="bottom"/>
            <w:gridSpan w:val="2"/>
          </w:tcPr>
          <w:p>
            <w:pPr>
              <w:ind w:left="1140"/>
              <w:spacing w:after="0"/>
              <w:rPr>
                <w:sz w:val="20"/>
                <w:szCs w:val="20"/>
                <w:color w:val="auto"/>
              </w:rPr>
            </w:pPr>
            <w:r>
              <w:rPr>
                <w:rFonts w:ascii="Arial" w:cs="Arial" w:eastAsia="Arial" w:hAnsi="Arial"/>
                <w:sz w:val="18"/>
                <w:szCs w:val="18"/>
                <w:color w:val="auto"/>
              </w:rPr>
              <w:t>Comprehensive income</w:t>
            </w:r>
          </w:p>
        </w:tc>
        <w:tc>
          <w:tcPr>
            <w:tcW w:w="148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329</w:t>
            </w:r>
          </w:p>
        </w:tc>
        <w:tc>
          <w:tcPr>
            <w:tcW w:w="16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426</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4060" w:type="dxa"/>
            <w:vAlign w:val="bottom"/>
          </w:tcPr>
          <w:p>
            <w:pPr>
              <w:spacing w:after="0"/>
              <w:rPr>
                <w:sz w:val="9"/>
                <w:szCs w:val="9"/>
                <w:color w:val="auto"/>
              </w:rPr>
            </w:pPr>
          </w:p>
        </w:tc>
        <w:tc>
          <w:tcPr>
            <w:tcW w:w="940" w:type="dxa"/>
            <w:vAlign w:val="bottom"/>
            <w:vMerge w:val="restart"/>
          </w:tcPr>
          <w:p>
            <w:pPr>
              <w:jc w:val="right"/>
              <w:ind w:right="277"/>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40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-1635125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-1635125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-1635125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-1635125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-1386205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-1386205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-1386205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-1386205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-1386205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-1386205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-1386205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-1386205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-820420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-820420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-820420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-820420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-820420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-820420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-820420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-820420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JUNE 30,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 Home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President and Chief Executive Officer and a director), AT&amp;T (the former controlling shareholder of At Home and also a former distributor of the At Home service) and others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Comcast,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as amended, purported to have arisen in connection with certain transactions relating to At Home stock, effected pursuant to the March 2000 agreements.</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actions in San Mateo County, California (item (i) above), have been stayed by the United States Bankruptcy Court for the Northern District of California, the court in which At Home filed for bankruptcy, as violating the automatic bankruptcy stay. The decision to stay the actions was affirmed by the District Court, and an appeal to the Court of Appeals for the Ninth Circuit is pending. In the Southern District of New York actions (item (ii) above), the court has dismissed the common law fraud claims against all defendants, leaving only the securities law claims. In a subsequent decision, the court limited the remaining claims against us and Mr. Roberts to disclosures that are alleged to have been made by At Home prior to August 28, 2000. On March 10, 2005, the court certified a class of all purchasers of publicly-traded At Home stock between March 28, 2000, and September 28, 2001. Plaintiffs have moved to amend the complaint so as to move the commencement of the class period back to November 9, 1999. We are opposing this amendment. The Delaware case (item (iii) above), was transferred to the United States District Court for the Southern District of New York. The court dismissed the Section 16(b) claims against us for failure to state a claim and the breach of fiduciary duty claim for lack of federal jurisdiction. The plaintiffs have appealed the decision dismissing the Section 16(b) claims and have indicated that they intend to recommence the breach of fiduciary duty claim. In the meantime, we have entered into an agreement with plaintiffs tolling the statute of limitations for the breach of fiduciary duty claim.</w:t>
      </w:r>
    </w:p>
    <w:p>
      <w:pPr>
        <w:spacing w:after="0" w:line="18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deny any wrongdoing in connection with the claims that have been made directly against us, our subsidiaries and Brian L. Roberts, and are defending all of these claims vigorously. The final disposition of these claims is not expected to have a material adverse effect on our consolidated financial position but could possibly be material to our consolidated results of operations of any one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 ENDED JUNE 30, 2005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period. Further, no assurance can be given that any adverse outcome would not be material to our consolidated 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Acacia.</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June 2004, Acacia Media Technologies Corporation ("Acacia") filed a lawsuit against us and others in the United States District Court for the Northern District of California. The complaint alleges infringement of certain United States patents that allegedly relate to systems and methods for transmitting and/or receiving digital audio and video content. The complaint seeks injunctive relief and damages in an unspecified amount. In the event that a Court ultimately determines that we infringe on any of the patents, we may be subject to substantial damages, which may include treble damages and/or an injunction that could require us to materially modify certain products and services that we currently offer to subscribers. We believe that the claims are without merit and intend to defend the action vigorously.</w:t>
      </w:r>
    </w:p>
    <w:p>
      <w:pPr>
        <w:spacing w:after="0" w:line="19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final disposition of this claim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FINANCIAL DATA BY BUSINESS SEGMENT</w:t>
      </w:r>
    </w:p>
    <w:p>
      <w:pPr>
        <w:spacing w:after="0" w:line="2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reportable segments consist of our Cable and Content businesses. Our content segment consists of our national networks E! Entertainment and Style Network, The Golf Channel, Outdoor Life Network, G4 and AZN Television (formerly known as International Channel). In evaluating the profitability of our segments, the components of net income (loss) below operating income (loss) before depreciation and amortization are not separately evaluated by our management (dollars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Cable(1)</w:t>
            </w:r>
          </w:p>
        </w:tc>
        <w:tc>
          <w:tcPr>
            <w:tcW w:w="180" w:type="dxa"/>
            <w:vAlign w:val="bottom"/>
          </w:tcPr>
          <w:p>
            <w:pPr>
              <w:spacing w:after="0"/>
              <w:rPr>
                <w:sz w:val="15"/>
                <w:szCs w:val="15"/>
                <w:color w:val="auto"/>
              </w:rPr>
            </w:pPr>
          </w:p>
        </w:tc>
        <w:tc>
          <w:tcPr>
            <w:tcW w:w="860" w:type="dxa"/>
            <w:vAlign w:val="bottom"/>
          </w:tcPr>
          <w:p>
            <w:pPr>
              <w:jc w:val="right"/>
              <w:ind w:right="213"/>
              <w:spacing w:after="0"/>
              <w:rPr>
                <w:sz w:val="20"/>
                <w:szCs w:val="20"/>
                <w:color w:val="auto"/>
              </w:rPr>
            </w:pPr>
            <w:r>
              <w:rPr>
                <w:rFonts w:ascii="Arial" w:cs="Arial" w:eastAsia="Arial" w:hAnsi="Arial"/>
                <w:sz w:val="14"/>
                <w:szCs w:val="14"/>
                <w:b w:val="1"/>
                <w:bCs w:val="1"/>
                <w:color w:val="auto"/>
              </w:rPr>
              <w:t>Content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Other(2)</w:t>
            </w:r>
          </w:p>
        </w:tc>
        <w:tc>
          <w:tcPr>
            <w:tcW w:w="240" w:type="dxa"/>
            <w:vAlign w:val="bottom"/>
          </w:tcPr>
          <w:p>
            <w:pPr>
              <w:spacing w:after="0"/>
              <w:rPr>
                <w:sz w:val="15"/>
                <w:szCs w:val="15"/>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Eliminations(3)</w:t>
            </w:r>
          </w:p>
        </w:tc>
        <w:tc>
          <w:tcPr>
            <w:tcW w:w="240" w:type="dxa"/>
            <w:vAlign w:val="bottom"/>
          </w:tcPr>
          <w:p>
            <w:pPr>
              <w:spacing w:after="0"/>
              <w:rPr>
                <w:sz w:val="15"/>
                <w:szCs w:val="15"/>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June 30, 2005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Revenues(4)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2,083</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before depreciation and</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amortization(5)</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June 30, 2004</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Revenues(4)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1,902</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before depreciation and</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amortization(5)</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Six Months Ended June 30, 2005</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Revenues(4)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4,066</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before depreciation and</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amortization(5)</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Six Months Ended June 30, 2004</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Revenues(4)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3,721</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before depreciation and</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amortization(5)</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June 30, 2005</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39,648</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2,530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42,814</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December 31, 2004</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38,480</w:t>
            </w:r>
          </w:p>
        </w:tc>
        <w:tc>
          <w:tcPr>
            <w:tcW w:w="2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2,533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41,942</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-5674360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-5674360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-5674360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-5674360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-5674360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-5674360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-5674360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-5674360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-5674360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-5674360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JUNE 30,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105029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540" w:right="200" w:hanging="532"/>
        <w:spacing w:after="0" w:line="26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regional sports and news networks Comcast SportsNet, Comcast SportsNet Mid-Atlantic, Comcast SportsNet Chicago, Cable Sports Southeast and CN8-The Comcast Network are included in our cable segment.</w:t>
      </w:r>
    </w:p>
    <w:p>
      <w:pPr>
        <w:spacing w:after="0" w:line="212" w:lineRule="exact"/>
        <w:rPr>
          <w:rFonts w:ascii="Arial" w:cs="Arial" w:eastAsia="Arial" w:hAnsi="Arial"/>
          <w:sz w:val="18"/>
          <w:szCs w:val="18"/>
          <w:color w:val="auto"/>
        </w:rPr>
      </w:pPr>
    </w:p>
    <w:p>
      <w:pPr>
        <w:ind w:left="540" w:right="340" w:hanging="532"/>
        <w:spacing w:after="0" w:line="26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includes Comcast-Spectacor, other businesses and activities not presented in our cable or content segments, and Comcast management fees and allocations.</w:t>
      </w:r>
    </w:p>
    <w:p>
      <w:pPr>
        <w:spacing w:after="0" w:line="199"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the Eliminations column are intersegment transactions that our segments enter into with one another. The most common types of transactions are the following:</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content segment generates affiliate revenue by selling cable network programming to our cable segment, which represents a substantial majority of the revenue elimination amount</w:t>
      </w:r>
    </w:p>
    <w:p>
      <w:pPr>
        <w:spacing w:after="0" w:line="212" w:lineRule="exact"/>
        <w:rPr>
          <w:rFonts w:ascii="Arial" w:cs="Arial" w:eastAsia="Arial" w:hAnsi="Arial"/>
          <w:sz w:val="18"/>
          <w:szCs w:val="18"/>
          <w:color w:val="auto"/>
        </w:rPr>
      </w:pPr>
    </w:p>
    <w:p>
      <w:pPr>
        <w:ind w:left="1620" w:right="420" w:hanging="532"/>
        <w:spacing w:after="0" w:line="268"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cable segment receives incentives offered by our content segment when negotiating programming contracts that are recorded as a reduction of programming costs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cable segment generates revenue by selling the use of satellite feeds to our content segment</w:t>
      </w:r>
    </w:p>
    <w:p>
      <w:pPr>
        <w:spacing w:after="0" w:line="238" w:lineRule="exact"/>
        <w:rPr>
          <w:rFonts w:ascii="Arial" w:cs="Arial" w:eastAsia="Arial" w:hAnsi="Arial"/>
          <w:sz w:val="18"/>
          <w:szCs w:val="18"/>
          <w:color w:val="auto"/>
        </w:rPr>
      </w:pPr>
    </w:p>
    <w:p>
      <w:pPr>
        <w:ind w:left="1620" w:right="260" w:hanging="532"/>
        <w:spacing w:after="0" w:line="256"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cable segment generates revenue by selling the use of its fiber-optic lines and site conditioning to business activities included in the Other caption, who pay our cable segment a lump sum and hold the property and the related depreciation expense and accumulated depreciation. Our cable segment's revenue is generated through the amortization of the deferred revenue recorded for the lump sum payment.</w:t>
      </w:r>
    </w:p>
    <w:p>
      <w:pPr>
        <w:spacing w:after="0" w:line="224"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revenue included in the Other caption is generated by selling long-distance services to our cable segment.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Non-U.S. revenues were not significant in any period. No single customer accounted for a significant amount of our revenue in any period.</w:t>
      </w:r>
    </w:p>
    <w:p>
      <w:pPr>
        <w:spacing w:after="0" w:line="261" w:lineRule="exact"/>
        <w:rPr>
          <w:rFonts w:ascii="Arial" w:cs="Arial" w:eastAsia="Arial" w:hAnsi="Arial"/>
          <w:sz w:val="16"/>
          <w:szCs w:val="16"/>
          <w:color w:val="auto"/>
        </w:rPr>
      </w:pPr>
    </w:p>
    <w:p>
      <w:pPr>
        <w:ind w:left="540" w:right="40" w:hanging="532"/>
        <w:spacing w:after="0" w:line="287"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income (loss)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jc w:val="center"/>
        <w:ind w:right="-9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JUNE 30, 2005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related party transactions for the interim periods presented are as follows (dollars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gridSpan w:val="4"/>
          </w:tcPr>
          <w:p>
            <w:pPr>
              <w:jc w:val="center"/>
              <w:ind w:left="152"/>
              <w:spacing w:after="0"/>
              <w:rPr>
                <w:sz w:val="20"/>
                <w:szCs w:val="20"/>
                <w:color w:val="auto"/>
              </w:rPr>
            </w:pPr>
            <w:r>
              <w:rPr>
                <w:rFonts w:ascii="Arial" w:cs="Arial" w:eastAsia="Arial" w:hAnsi="Arial"/>
                <w:sz w:val="14"/>
                <w:szCs w:val="14"/>
                <w:b w:val="1"/>
                <w:bCs w:val="1"/>
                <w:color w:val="auto"/>
                <w:w w:val="88"/>
              </w:rPr>
              <w:t>Three Months Ended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Content affiliation agreement revenue</w:t>
            </w:r>
          </w:p>
        </w:tc>
        <w:tc>
          <w:tcPr>
            <w:tcW w:w="18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w:t>
            </w:r>
          </w:p>
        </w:tc>
        <w:tc>
          <w:tcPr>
            <w:tcW w:w="8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Comcast management fees</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Comcast cost sharing charges:</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80"/>
              <w:spacing w:after="0"/>
              <w:rPr>
                <w:sz w:val="20"/>
                <w:szCs w:val="20"/>
                <w:color w:val="auto"/>
              </w:rPr>
            </w:pPr>
            <w:r>
              <w:rPr>
                <w:rFonts w:ascii="Arial" w:cs="Arial" w:eastAsia="Arial" w:hAnsi="Arial"/>
                <w:sz w:val="18"/>
                <w:szCs w:val="18"/>
                <w:color w:val="auto"/>
              </w:rPr>
              <w:t>Cable-related costs</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60</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costs</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Software licensing fees</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affiliate notes, net</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-1290320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-1290320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-1290320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-1290320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-1041400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-1041400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-1041400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-1041400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-1041400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-1041400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-1041400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-1041400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Our content businesses generate a portion of their revenues through the sale of subscriber services under affiliation agreements with cable subsidiaries of Comcast. These amounts are included in revenues in our consolidated statement of operations. Amounts related to similar affiliation agreements between our content businesses and our wholly-owned subsidiaries are eliminated in our consolidated financial statements.</w:t>
      </w:r>
    </w:p>
    <w:p>
      <w:pPr>
        <w:spacing w:after="0" w:line="161" w:lineRule="exact"/>
        <w:rPr>
          <w:sz w:val="20"/>
          <w:szCs w:val="20"/>
          <w:color w:val="auto"/>
        </w:rPr>
      </w:pPr>
    </w:p>
    <w:p>
      <w:pPr>
        <w:ind w:right="500"/>
        <w:spacing w:after="0" w:line="298" w:lineRule="auto"/>
        <w:rPr>
          <w:sz w:val="20"/>
          <w:szCs w:val="20"/>
          <w:color w:val="auto"/>
        </w:rPr>
      </w:pPr>
      <w:r>
        <w:rPr>
          <w:rFonts w:ascii="Arial" w:cs="Arial" w:eastAsia="Arial" w:hAnsi="Arial"/>
          <w:sz w:val="16"/>
          <w:szCs w:val="16"/>
          <w:color w:val="auto"/>
        </w:rPr>
        <w:t>Comcast has entered into management agreements with our cable subsidiaries. The management agreements generally provide that Comcast supervise the management and operations of the cable systems and arrange for and supervise certain administrative functions. As compensation for such services, the agreements provide for Comcast to charge management fees based on a percentage of gross revenues. These charges are included in selling, general and administrative expenses in our consolidated statement of operations.</w:t>
      </w:r>
    </w:p>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reimburse Comcast for certain cable-related costs under a cost sharing agreement. These charges are included in selling, general and administrative expenses in our consolidated statement of operations.</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purchase certain other services from Comcast under cost sharing arrangements on terms that reflect Comcast's actual cost. These charges are included in selling, general and administrative expenses in our consolidated statement of operations.</w:t>
      </w:r>
    </w:p>
    <w:p>
      <w:pPr>
        <w:spacing w:after="0" w:line="186"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Comcast has purchased long-term, non-exclusive patent and software licenses to use on Comcast's and our interactive program guides. Comcast charges us a licensing fee for use of this software. This charge is included in selling, general and administrative expenses in our consolidated statement of operations.</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Comcast Financial Agency Corporation ("CFAC"), an indirect wholly-owned subsidiary of ours, provides cash management services to certain cable subsidiaries of Comcast. Under this arrangement, Comcast's and these subsidiaries' cash receipts are deposited with and held by CFAC, as custodian and agent, which invests and disburses such funds at our direction. Interest income related to this cash was not significant during the 2005 or 2004 interim periods.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(Concluded)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With the exception of cash payments related to interest and state income taxes, we consider all of our transactions with Comcast or its affiliates to be financing transactions, which are presented as net transactions with affiliates in our consolidated statement of cash flows. Our significant financing transactions with Comcast and its affiliates are described below.</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of June 30, 2005, and December 31, 2004, due from affiliates, net in our consolidated balance sheet primarily consists of amounts due from Comcast and from certain cable subsidiaries of Comcast for advances we made for working capital and capital expenditures in the ordinary course of business. We act as the paying agent for all programming payments for all of Comcast's cable subsidiaries, including ours. Programming payments related to Comcast's other cable subsidiaries are recorded as due from affiliates. As a result, included in accounts payable and accrued expenses related to trade creditors as of June 30, 2005, and December 31, 2004, is approximately $656 million and $600 million, respectively, related to other Comcast subsidiaries.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June 30, 2005, and December 31, 2004, notes receivable from affiliates and notes payable to affiliates consist of notes receivable from and notes payable to Comcast and certain cable subsidiaries of Comcast. Our notes receivable and notes payable, whose interest receivable and payable are included in our consolidated balance sheet, have the following characteristics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360" w:type="dxa"/>
            <w:vAlign w:val="bottom"/>
            <w:gridSpan w:val="3"/>
          </w:tcPr>
          <w:p>
            <w:pPr>
              <w:jc w:val="right"/>
              <w:ind w:right="1222"/>
              <w:spacing w:after="0"/>
              <w:rPr>
                <w:sz w:val="20"/>
                <w:szCs w:val="20"/>
                <w:color w:val="auto"/>
              </w:rPr>
            </w:pPr>
            <w:r>
              <w:rPr>
                <w:rFonts w:ascii="Arial" w:cs="Arial" w:eastAsia="Arial" w:hAnsi="Arial"/>
                <w:sz w:val="14"/>
                <w:szCs w:val="14"/>
                <w:b w:val="1"/>
                <w:bCs w:val="1"/>
                <w:color w:val="auto"/>
              </w:rPr>
              <w:t>June 30, 2005</w:t>
            </w:r>
          </w:p>
        </w:tc>
        <w:tc>
          <w:tcPr>
            <w:tcW w:w="160" w:type="dxa"/>
            <w:vAlign w:val="bottom"/>
          </w:tcPr>
          <w:p>
            <w:pPr>
              <w:spacing w:after="0"/>
              <w:rPr>
                <w:sz w:val="15"/>
                <w:szCs w:val="15"/>
                <w:color w:val="auto"/>
              </w:rPr>
            </w:pPr>
          </w:p>
        </w:tc>
        <w:tc>
          <w:tcPr>
            <w:tcW w:w="338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December 31, 2004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4"/>
              </w:rPr>
              <w:t>Notes Receivable</w:t>
            </w:r>
          </w:p>
        </w:tc>
        <w:tc>
          <w:tcPr>
            <w:tcW w:w="18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5"/>
              </w:rPr>
              <w:t>Notes Payable</w:t>
            </w:r>
          </w:p>
        </w:tc>
        <w:tc>
          <w:tcPr>
            <w:tcW w:w="16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2"/>
              </w:rPr>
              <w:t>Notes Receivable</w:t>
            </w:r>
          </w:p>
        </w:tc>
        <w:tc>
          <w:tcPr>
            <w:tcW w:w="18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5"/>
              </w:rPr>
              <w:t>Notes Payable</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2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Principal balance</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$5,817</w:t>
            </w:r>
          </w:p>
        </w:tc>
        <w:tc>
          <w:tcPr>
            <w:tcW w:w="17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$717</w:t>
            </w:r>
          </w:p>
        </w:tc>
        <w:tc>
          <w:tcPr>
            <w:tcW w:w="1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$5,378</w:t>
            </w:r>
          </w:p>
        </w:tc>
        <w:tc>
          <w:tcPr>
            <w:tcW w:w="17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$704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w w:val="96"/>
              </w:rPr>
              <w:t>Interest receivable (payable)</w:t>
            </w:r>
          </w:p>
        </w:tc>
        <w:tc>
          <w:tcPr>
            <w:tcW w:w="1580" w:type="dxa"/>
            <w:vAlign w:val="bottom"/>
          </w:tcPr>
          <w:p>
            <w:pPr>
              <w:jc w:val="center"/>
              <w:spacing w:after="0"/>
              <w:rPr>
                <w:sz w:val="20"/>
                <w:szCs w:val="20"/>
                <w:color w:val="auto"/>
              </w:rPr>
            </w:pPr>
            <w:r>
              <w:rPr>
                <w:rFonts w:ascii="Arial" w:cs="Arial" w:eastAsia="Arial" w:hAnsi="Arial"/>
                <w:sz w:val="18"/>
                <w:szCs w:val="18"/>
                <w:color w:val="auto"/>
                <w:w w:val="84"/>
              </w:rPr>
              <w:t>$113</w:t>
            </w:r>
          </w:p>
        </w:tc>
        <w:tc>
          <w:tcPr>
            <w:tcW w:w="1780" w:type="dxa"/>
            <w:vAlign w:val="bottom"/>
            <w:gridSpan w:val="2"/>
          </w:tcPr>
          <w:p>
            <w:pPr>
              <w:jc w:val="center"/>
              <w:ind w:left="72"/>
              <w:spacing w:after="0"/>
              <w:rPr>
                <w:sz w:val="20"/>
                <w:szCs w:val="20"/>
                <w:color w:val="auto"/>
              </w:rPr>
            </w:pPr>
            <w:r>
              <w:rPr>
                <w:rFonts w:ascii="Arial" w:cs="Arial" w:eastAsia="Arial" w:hAnsi="Arial"/>
                <w:sz w:val="18"/>
                <w:szCs w:val="18"/>
                <w:color w:val="auto"/>
                <w:w w:val="90"/>
              </w:rPr>
              <w:t>$(54)</w:t>
            </w:r>
          </w:p>
        </w:tc>
        <w:tc>
          <w:tcPr>
            <w:tcW w:w="1760" w:type="dxa"/>
            <w:vAlign w:val="bottom"/>
            <w:gridSpan w:val="2"/>
          </w:tcPr>
          <w:p>
            <w:pPr>
              <w:jc w:val="center"/>
              <w:ind w:left="72"/>
              <w:spacing w:after="0"/>
              <w:rPr>
                <w:sz w:val="20"/>
                <w:szCs w:val="20"/>
                <w:color w:val="auto"/>
              </w:rPr>
            </w:pPr>
            <w:r>
              <w:rPr>
                <w:rFonts w:ascii="Arial" w:cs="Arial" w:eastAsia="Arial" w:hAnsi="Arial"/>
                <w:sz w:val="18"/>
                <w:szCs w:val="18"/>
                <w:color w:val="auto"/>
                <w:w w:val="93"/>
              </w:rPr>
              <w:t>$72</w:t>
            </w:r>
          </w:p>
        </w:tc>
        <w:tc>
          <w:tcPr>
            <w:tcW w:w="1780" w:type="dxa"/>
            <w:vAlign w:val="bottom"/>
            <w:gridSpan w:val="2"/>
          </w:tcPr>
          <w:p>
            <w:pPr>
              <w:jc w:val="center"/>
              <w:ind w:left="72"/>
              <w:spacing w:after="0"/>
              <w:rPr>
                <w:sz w:val="20"/>
                <w:szCs w:val="20"/>
                <w:color w:val="auto"/>
              </w:rPr>
            </w:pPr>
            <w:r>
              <w:rPr>
                <w:rFonts w:ascii="Arial" w:cs="Arial" w:eastAsia="Arial" w:hAnsi="Arial"/>
                <w:sz w:val="18"/>
                <w:szCs w:val="18"/>
                <w:color w:val="auto"/>
                <w:w w:val="90"/>
              </w:rPr>
              <w:t>$(31)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range</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6.75% to 7.5%</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2.78% to 7.5%</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6.25% to 7.5%</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6.25% to 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Maturity date range</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2009-2014</w:t>
            </w:r>
          </w:p>
        </w:tc>
        <w:tc>
          <w:tcPr>
            <w:tcW w:w="1780" w:type="dxa"/>
            <w:vAlign w:val="bottom"/>
            <w:gridSpan w:val="2"/>
          </w:tcPr>
          <w:p>
            <w:pPr>
              <w:jc w:val="center"/>
              <w:ind w:left="72"/>
              <w:spacing w:after="0"/>
              <w:rPr>
                <w:sz w:val="20"/>
                <w:szCs w:val="20"/>
                <w:color w:val="auto"/>
              </w:rPr>
            </w:pPr>
            <w:r>
              <w:rPr>
                <w:rFonts w:ascii="Arial" w:cs="Arial" w:eastAsia="Arial" w:hAnsi="Arial"/>
                <w:sz w:val="18"/>
                <w:szCs w:val="18"/>
                <w:color w:val="auto"/>
                <w:w w:val="90"/>
              </w:rPr>
              <w:t>2012-2015</w:t>
            </w:r>
          </w:p>
        </w:tc>
        <w:tc>
          <w:tcPr>
            <w:tcW w:w="17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2009-2014</w:t>
            </w:r>
          </w:p>
        </w:tc>
        <w:tc>
          <w:tcPr>
            <w:tcW w:w="17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2012-2014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gridSpan w:val="2"/>
          </w:tcPr>
          <w:p>
            <w:pPr>
              <w:jc w:val="right"/>
              <w:ind w:right="862"/>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-1309370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-1309370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-1309370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-1309370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-1060450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-1060450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-1060450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-1060450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-1060450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-1060450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-1060450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-1060450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this item is omitted pursuant to SEC General Instruction H to Form 10-Q, except as noted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an indirect, wholly-owned subsidiary of Comcast. We are principally involved in the management and operation of broadband communications networks (our cable segment) and in the management of programming content that is distributed over national cable television networks (our content segment). For the six months ended in 2005, we received nearly 88% of our revenue from our cable segment, primarily through monthly subscriptions to our video, high-speed Internet and phone services, as well as from advertising. Subscribers typically pay us monthly, based on rates and related charges that vary according to their chosen level of service and the type of equipment they use. Revenue from our content segment is derived from the sale of advertising time and affiliation agreements with cable and satellite television companies.</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historically met our cash needs for operations through our cash flows from operating activities. We have generally financed our acquisitions and capital expenditures through issuances of Comcast common stock, borrowings of long-term debt, sales of investments and from existing cash, cash equivalents and short-term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Developments</w:t>
      </w:r>
    </w:p>
    <w:p>
      <w:pPr>
        <w:spacing w:after="0" w:line="23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April 20, 2005, Comcast and Time Warner reached definitive agreements to acquire substantially all the assets of Adelphia Communications Corporation for a total of $12.7 billion in cash and 16% of the common stock of Time Warner's cable subsidiary, Time Warner Cable Inc. ("TWC"). Comcast also will exchange certain of its cable systems with TWC for certain TWC cable systems. In addition, TWC will redeem Comcast's 17.9% interest in TWC and Time Warner Entertainment Company, L.P. ("TWE") will redeem Comcast's 4.7% interest in TWE (together an effective 21% economic ownership of TWC). As a result of these transactions, Comcast will add approximately 1.8 million basic subscribers for a net cash investment of approximately $1.5 billion. Following these transactions, Comcast will serve a total of approximately 23.2 million basic subscribers. These transactions are subject to customary regulatory review and approvals, including Hart-Scott-Rodino, Federal Communications Commission and local franchise approvals, as well as the Adelphia bankruptcy process, which involves approvals by the bankruptcy court having jurisdiction of Adelphia's Chapter 11 case and Adelphia's creditors. Closing is expected to occur in the first or second quarter of 2006.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Consolidated revenues for the three and six month interim periods in 2005 increased $228 million and $404 million, or 10.6% and 9.5% respectively, from the same periods in 2004. Of these increases, $181 million and $345 million relate to our cable segment and $35 million and $72 million relate to our content segment which are discussed separately below. The remaining changes relate to our other business activities, primarily Comcast-Spectacor, whose revenues were negatively affected by the National Hockey League ("NHL") lockout.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 ENDED JUNE 30,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selling, general and administrative expenses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Consolidated operating, selling, general and administrative expenses for the three and six month interim periods in 2005 increased $177 million and $233 million, or 14.0% and 9.0%, respectively, from the same periods in 2004. Of these increases, $129 million and $190 million relate to our cable segment, and $15 million and $44 million relate to our content segment, which are discussed separately below. The remaining changes relate to our other business activities, primarily Comcast-Spectacor, whose operating expenses were positively affected by the NHL lockout.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Depreciation expense for the three and six month interim periods in 2005 increased $43 million and $49 million, or 14.2% and 7.7%, respectively, from the same periods in 2004. The increases are primarily attributable to our cable segment, principally due to the level of our recent capital expenditures.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Amortization expense for the three month period remained unchanged from the same period in 2004, primarily due to a non-recurring adjustment reducing our intangible amortization associated with obtaining updated valuation reports for an acquisition. The $16 million or 17.8% increase in the six month interim period in 2005 from the same 2004 period is primarily attributable to our recent acquisitions and intangible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105410</wp:posOffset>
            </wp:positionV>
            <wp:extent cx="105029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Operating income before depreciation and amortization is the primary basis we use to measure the operational strength and performance of our segments. Operating income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operating income before depreciation and amortization as the measure of our segment profit or loss, we reconcile it to operating income, the most directly comparable financial measure calculated and presented in accordance with Generally Accepted Accounting Principles ("GAAP"), in the business segment footnote to our condensed consolidated financial statements. This measure should not be considered as a substitute for operating income (loss), net income (loss), net cash provided by operating activities or other measures of performance or liquidity reported in accordance with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percentages are calculated based on actual amounts. Minor differences may exist due to rounding.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JUNE 30,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cable segment operating results (dollars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89"/>
              </w:rPr>
              <w:t>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4"/>
          </w:tcPr>
          <w:p>
            <w:pPr>
              <w:ind w:left="320"/>
              <w:spacing w:after="0"/>
              <w:rPr>
                <w:sz w:val="20"/>
                <w:szCs w:val="20"/>
                <w:color w:val="auto"/>
              </w:rPr>
            </w:pPr>
            <w:r>
              <w:rPr>
                <w:rFonts w:ascii="Arial" w:cs="Arial" w:eastAsia="Arial" w:hAnsi="Arial"/>
                <w:sz w:val="14"/>
                <w:szCs w:val="14"/>
                <w:b w:val="1"/>
                <w:bCs w:val="1"/>
                <w:color w:val="auto"/>
                <w:w w:val="84"/>
              </w:rPr>
              <w:t>Increase</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60" w:type="dxa"/>
            <w:vAlign w:val="bottom"/>
            <w:gridSpan w:val="5"/>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34"/>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Video</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6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High-speed Internet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fees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76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6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2,083</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76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60" w:type="dxa"/>
            <w:vAlign w:val="bottom"/>
            <w:gridSpan w:val="3"/>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Pr>
          <w:p>
            <w:pPr>
              <w:spacing w:after="0"/>
              <w:rPr>
                <w:sz w:val="24"/>
                <w:szCs w:val="24"/>
                <w:color w:val="auto"/>
              </w:rPr>
            </w:pP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846</w:t>
            </w:r>
          </w:p>
        </w:tc>
        <w:tc>
          <w:tcPr>
            <w:tcW w:w="6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Borders>
              <w:right w:val="single" w:sz="8" w:color="808080"/>
            </w:tcBorders>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780" w:type="dxa"/>
            <w:vAlign w:val="bottom"/>
            <w:gridSpan w:val="2"/>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8"/>
              </w:rPr>
              <w:t>Six Months Ended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4"/>
          </w:tcPr>
          <w:p>
            <w:pPr>
              <w:ind w:left="260"/>
              <w:spacing w:after="0"/>
              <w:rPr>
                <w:sz w:val="20"/>
                <w:szCs w:val="20"/>
                <w:color w:val="auto"/>
              </w:rPr>
            </w:pPr>
            <w:r>
              <w:rPr>
                <w:rFonts w:ascii="Arial" w:cs="Arial" w:eastAsia="Arial" w:hAnsi="Arial"/>
                <w:sz w:val="14"/>
                <w:szCs w:val="14"/>
                <w:b w:val="1"/>
                <w:bCs w:val="1"/>
                <w:color w:val="auto"/>
                <w:w w:val="94"/>
              </w:rPr>
              <w:t>Increase</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ind w:right="21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jc w:val="right"/>
              <w:ind w:right="13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Video</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High-speed Internet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fees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76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6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4,066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3,721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2,136</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76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60" w:type="dxa"/>
            <w:vAlign w:val="bottom"/>
            <w:gridSpan w:val="3"/>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1,740</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1,585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-4164965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-4164965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-4164965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-4164965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-3916045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-3916045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-3916045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-3916045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-3916045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-3916045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-3916045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-3916045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-3075940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-3075940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-3075940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-3075940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-3075940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-3075940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-3075940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-3075940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-2647315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-2647315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-2647315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-2647315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-2647315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-2647315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-2647315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-2647315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-1995170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-1995170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-1995170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-1995170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-1746885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-1746885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-1746885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-1746885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-1746885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-1746885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-1746885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-1746885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-906145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-906145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-906145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-906145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-906145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-906145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-906145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-906145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-477520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-477520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-477520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-477520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-477520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-477520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-477520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-477520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Video revenue consists of our basic, expanded basic, premium, pay-per-view and digital cable services, as well as equipment rentals. The increases in video revenue for the interim periods from 2004 to 2005 are primarily due to rate increases and subscriber growth in our digital video service. From June 30, 2004, to June 30, 2005, we added approximately 445,000, net, digital subscribers, or a 15.7% increase in digital subscribers. We expect continued growth in our video revenue.</w:t>
      </w:r>
    </w:p>
    <w:p>
      <w:pPr>
        <w:spacing w:after="0" w:line="19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increases in high-speed Internet revenue for the interim periods from 2004 to 2005 are primarily due to the addition of approximately 560,000, net, high-speed Internet subscribers since June 30, 2004, or a 22.6% increase in high-speed Internet subscribers. We expect continued growth in our high-speed Internet revenue.</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increases in advertising sales revenue for the interim periods from 2004 to 2005 are primarily due to the effects of growth in regional/national advertising as a result of the continuing success of our regional interconnects and a stronger local advertising market, offset, in part, by a decrease in political advertising during 2005. We expect continued growth in our advertising sales revenue.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 ENDED JUNE 30, 2005</w:t>
      </w:r>
    </w:p>
    <w:p>
      <w:pPr>
        <w:spacing w:after="0" w:line="21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Other revenue includes installation revenues, revenue from our regional sports and news networks, guide revenues, commissions from electronic retailing, revenue from commercial data services and revenue from other service offerings. The increases in other revenue for the interim periods from 2004 to 2005 are primarily due to the launch of our regional sports network in Chicago.</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increases in franchise fees collected from our cable subscribers for the interim periods from 2004 to 2005 are primarily attributable to the increases in our revenues upon which the fees apply.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Selling, General and Administrative Expenses</w:t>
      </w:r>
    </w:p>
    <w:p>
      <w:pPr>
        <w:spacing w:after="0" w:line="22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Operating, selling, general and administrative expenses increased $129 million and $190 million respectively, for the three and six months ended June 30, 2005 compared to the same periods in 2004. The increases occurred in multiple expense categories and are primarily a result of growth in our high-speed Internet, digital cable services, the launch of Comcast Digital Voice and increases in management fees and allocations.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content segment operating results (dollars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5"/>
          </w:tcPr>
          <w:p>
            <w:pPr>
              <w:jc w:val="right"/>
              <w:ind w:right="29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234</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199</w:t>
            </w:r>
          </w:p>
        </w:tc>
        <w:tc>
          <w:tcPr>
            <w:tcW w:w="8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447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137</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273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174</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-1000760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-1000760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-1000760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-1000760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-751840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-751840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-751840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-751840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-751840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-751840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-751840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-751840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-323215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-323215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-323215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-323215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-323215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-323215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-323215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content segment consists of the national networks E! Entertainment and Style Network, The Golf Channel, Outdoor Life Network, G4 and AZN Television (formerly known as International Channel).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content segment revenue increased $35 million and $72 million, or 17.7% and 19.2% respectively, for the three and six month interim periods in 2005, from the same periods in 2004. The increases reflect increases in distribution and advertising revenue for all of the networks and the effects of the acquisitions of TechTV and AZN Television in May 2004 and July 2004,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Selling, General and Administrative Expenses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Operating, selling, general and administrative expenses increased $15 million and $44 million, or 12.3% and 19.2% respectively, for the three and six month interim periods in 2005, from the same periods in 2004. Expenses increased in the 2005 interim periods as a result of higher development and marketing expenses for signature events and other original programming in all of our networks, as well as due to the effects of the acquisitions of TechTV and AZN Television in May 2004 and July 2004, respectively.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(Expense) Items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increases in interest expense for the three and six month periods from 2004 to 2005 are principally due to the effects of the increase in short term interest rates offset by the effects of our net debt repayments.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Affiliate Notes, Net</w:t>
      </w:r>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increases in interest income on affiliate notes, net for the three and six month periods from 2004 to 2005 are principally due to an increase in our notes receivable from affiliates.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net for the interim periods includes the following (dollars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8"/>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dividend and other investment income (expense)</w:t>
            </w:r>
          </w:p>
        </w:tc>
        <w:tc>
          <w:tcPr>
            <w:tcW w:w="7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9"/>
              </w:rPr>
              <w:t>Gains (losses) on sales and exchanges of investments, net</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impairment losses</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0"/>
              </w:rPr>
              <w:t>Unrealized gains (losses) on trading securities and hedged items</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Mark to market adjustments on derivatives related to trading</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hedged items</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200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Mark to market adjustments on derivatives</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Investment income, net</w:t>
            </w:r>
          </w:p>
        </w:tc>
        <w:tc>
          <w:tcPr>
            <w:tcW w:w="7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146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-1840865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-1840865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-1840865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-1840865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-1591945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-1591945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-1591945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-1591945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-1591945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-1591945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-1591945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-1591945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-477520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-477520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-477520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-477520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-477520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-477520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-477520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-477520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entered into derivative financial instruments that we account for at fair value and which economically hedge the market price fluctuations in the common stock of most (as of June 30, 2005) of our investments accounted for as trading securities and hedged securities. The differences between the unrealized gains (losses) on trading securities and hedged items and the mark-to-market adjustments on derivatives related to trading securities and hedged items, as presented in the table above, result from one or more of the following:</w:t>
      </w:r>
    </w:p>
    <w:p>
      <w:pPr>
        <w:spacing w:after="0" w:line="211"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did not maintain an economic hedge for our entire investment in the security during some portion or for all of the period.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were changes in the derivative valuation assumptions such as interest rates, volatility and dividend policy.</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magnitude of the difference between the market price of the underlying security to which the derivative relates and the strike price of the derivative.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change in the time value component of the derivative value during the period.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center"/>
        <w:ind w:right="-1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QUARTER ENDED JUNE 30, 2005</w:t>
      </w:r>
    </w:p>
    <w:p>
      <w:pPr>
        <w:spacing w:after="0" w:line="232" w:lineRule="exact"/>
        <w:rPr>
          <w:sz w:val="20"/>
          <w:szCs w:val="20"/>
          <w:color w:val="auto"/>
        </w:rPr>
      </w:pPr>
    </w:p>
    <w:p>
      <w:pPr>
        <w:ind w:left="1080" w:right="4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security to which the derivative relates changed due to a corporate reorganization of the issuing company to a security with a different volatility rate.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issuing company paid a new or an increased dividend to the shareholders of the security.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increase in other income for the six month period from 2004 to 2005 is primarily due to a $24 million gain on the exchange of one of our equity method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rate differs from the statutory rate primarily due to the effects of state income taxes and adjustments to prior year accruals.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changes in minority interest for the three and six month interim periods from 2004 to 2005 are attributable to the effects of changes in the net income or loss of our less than wholly owned consolidated subsidiaries and to the minority interests in certain subsidiaries acquired or formed during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91440</wp:posOffset>
            </wp:positionV>
            <wp:extent cx="105029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3" w:name="page24"/>
    <w:bookmarkEnd w:id="23"/>
    <w:p>
      <w:pPr>
        <w:jc w:val="center"/>
        <w:ind w:right="-2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QUARTER ENDED JUNE 30,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to the information required under this Item from what was disclosed in our 2004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Conclusion regarding disclosure controls and procedures. </w:t>
      </w:r>
      <w:r>
        <w:rPr>
          <w:rFonts w:ascii="Arial" w:cs="Arial" w:eastAsia="Arial" w:hAnsi="Arial"/>
          <w:sz w:val="18"/>
          <w:szCs w:val="18"/>
          <w:color w:val="auto"/>
        </w:rPr>
        <w:t>Our chief executive officer and co-chief financial officers, after evaluating the effectiveness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w:t>
      </w:r>
    </w:p>
    <w:p>
      <w:pPr>
        <w:spacing w:after="0" w:line="19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identified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required by paragraph (d) of Exchange Act Rules 13a-15 or 15d-15 that occurred during our last fiscal quarter that have materially affected, or are reasonably likely to materially affect, our internal control over financial reporting.</w:t>
      </w:r>
    </w:p>
    <w:p>
      <w:pPr>
        <w:spacing w:after="0" w:line="18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Refer to Note 7 to our condensed consolidated financial statements included in Item 1 of this Quarterly Report on Form 10-Q for a discussion of recent developments related to our legal proceedings.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Exhibits required to be filed by Item 601 of Regulation S-K:</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Certifications of Chief Executive Officer and Co-Chief Financial Officers pursuant to Section 302 of the Sarbanes-Oxley Act of 2002.</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Certifications of Chief Executive Officer and Co-Chief Financial Officers pursuant to Section 906 of the Sarbanes-Oxley Act of 2002.</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2005</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 unto duly authorized.</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Controller (Principal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2005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spacing w:after="0"/>
        <w:rPr>
          <w:rFonts w:ascii="Arial" w:cs="Arial" w:eastAsia="Arial" w:hAnsi="Arial"/>
          <w:sz w:val="22"/>
          <w:szCs w:val="22"/>
          <w:color w:val="0000EE"/>
        </w:rPr>
      </w:pPr>
      <w:hyperlink w:anchor="page3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239"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Holdings Corporation;</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6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1080" w:right="400" w:hanging="532"/>
        <w:spacing w:after="0" w:line="259"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238" w:lineRule="exact"/>
        <w:rPr>
          <w:rFonts w:ascii="Arial" w:cs="Arial" w:eastAsia="Arial" w:hAnsi="Arial"/>
          <w:sz w:val="18"/>
          <w:szCs w:val="18"/>
          <w:color w:val="auto"/>
        </w:rPr>
      </w:pPr>
    </w:p>
    <w:p>
      <w:pPr>
        <w:ind w:left="1080" w:right="840" w:hanging="532"/>
        <w:spacing w:after="0" w:line="370" w:lineRule="auto"/>
        <w:tabs>
          <w:tab w:leader="none" w:pos="1080" w:val="left"/>
        </w:tabs>
        <w:numPr>
          <w:ilvl w:val="1"/>
          <w:numId w:val="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right="20" w:hanging="532"/>
        <w:spacing w:after="0" w:line="259"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00" w:hanging="532"/>
        <w:spacing w:after="0" w:line="33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20" w:hanging="532"/>
        <w:spacing w:after="0" w:line="332" w:lineRule="auto"/>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300" w:hanging="532"/>
        <w:spacing w:after="0" w:line="268"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 Lawrence S. Smith, certify that:</w:t>
      </w:r>
    </w:p>
    <w:p>
      <w:pPr>
        <w:spacing w:after="0" w:line="239"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Holdings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238"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 John R. Alchin, certify that:</w:t>
      </w:r>
    </w:p>
    <w:p>
      <w:pPr>
        <w:spacing w:after="0" w:line="239"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Holdings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238"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CERTIFICATIONS</w:t>
        </w:r>
      </w:hyperlink>
    </w:p>
    <w:p>
      <w:pPr>
        <w:sectPr>
          <w:pgSz w:w="11900" w:h="16838" w:orient="portrait"/>
          <w:cols w:equalWidth="0" w:num="1">
            <w:col w:w="10219"/>
          </w:cols>
          <w:pgMar w:left="240" w:top="820" w:right="1440" w:bottom="1440" w:gutter="0" w:footer="0" w:header="0"/>
        </w:sectPr>
      </w:pPr>
    </w:p>
    <w:bookmarkStart w:id="30" w:name="page31"/>
    <w:bookmarkEnd w:id="30"/>
    <w:p>
      <w:pPr>
        <w:spacing w:after="0"/>
        <w:rPr>
          <w:rFonts w:ascii="Arial" w:cs="Arial" w:eastAsia="Arial" w:hAnsi="Arial"/>
          <w:sz w:val="22"/>
          <w:szCs w:val="22"/>
          <w:color w:val="0000EE"/>
        </w:rPr>
      </w:pPr>
      <w:hyperlink w:anchor="page3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Section 906 of the Sarbanes-Oxley Act</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11,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Holdings Corporation (the "Report") for the purpose of complying with Rule 13a-14(b) or Rule 15d-14(b) of the Securities Exchange Act of 1934 (the "Exchange Act") and Section 1350 of Chapter 63 of Title 18 of the United States Code.</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Brian L. Roberts, the Chief Executive Officer, Lawrence S. Smith, the Co-Chief Financial Officer and John R. Alchin, the Co-Chief Financial Officer of Comcast Holdings Corporation, each certifies that, to the best of his knowledge:</w:t>
      </w:r>
    </w:p>
    <w:p>
      <w:pPr>
        <w:spacing w:after="0" w:line="19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5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Holdings Corporation.</w:t>
      </w:r>
    </w:p>
    <w:p>
      <w:pPr>
        <w:spacing w:after="0" w:line="200" w:lineRule="exact"/>
        <w:rPr>
          <w:sz w:val="20"/>
          <w:szCs w:val="20"/>
          <w:color w:val="auto"/>
        </w:rPr>
      </w:pP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Co-Chief Financial Officer</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1" w:name="page32"/>
    <w:bookmarkEnd w:id="3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Certification Pursuant to Section 906 of the Sarbanes-Oxley Act</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3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2019-12-12T22:58:22Z</dcterms:created>
  <dcterms:modified xsi:type="dcterms:W3CDTF">2019-12-12T22:58:22Z</dcterms:modified>
</cp:coreProperties>
</file>