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32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-177800</wp:posOffset>
            </wp:positionV>
            <wp:extent cx="116205" cy="116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2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-547370</wp:posOffset>
            </wp:positionV>
            <wp:extent cx="116205" cy="116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612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2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41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5159375</wp:posOffset>
            </wp:positionH>
            <wp:positionV relativeFrom="paragraph">
              <wp:posOffset>-593090</wp:posOffset>
            </wp:positionV>
            <wp:extent cx="56515" cy="60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3872865</wp:posOffset>
            </wp:positionH>
            <wp:positionV relativeFrom="paragraph">
              <wp:posOffset>-593090</wp:posOffset>
            </wp:positionV>
            <wp:extent cx="56515" cy="606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-1753235</wp:posOffset>
            </wp:positionH>
            <wp:positionV relativeFrom="paragraph">
              <wp:posOffset>628015</wp:posOffset>
            </wp:positionV>
            <wp:extent cx="7000875" cy="3892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389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20"/>
            <w:col w:w="8340"/>
          </w:cols>
          <w:pgMar w:left="460" w:top="21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Cavanagh Michael J</w:t>
        </w:r>
      </w:hyperlink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CMCSA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4" w:right="780" w:hanging="4"/>
        <w:spacing w:after="0" w:line="265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ind w:left="524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President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12" w:right="359" w:bottom="1440" w:gutter="0" w:footer="0" w:header="0"/>
          <w:type w:val="continuous"/>
        </w:sectPr>
      </w:pPr>
    </w:p>
    <w:p>
      <w:pPr>
        <w:spacing w:after="0" w:line="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PHILADELPHIA PA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19103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40" w:type="dxa"/>
            <w:vAlign w:val="bottom"/>
            <w:gridSpan w:val="1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Phantom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46,232.499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46,232.499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6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01/02/2025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16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37.42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388,521.823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7007860</wp:posOffset>
            </wp:positionH>
            <wp:positionV relativeFrom="paragraph">
              <wp:posOffset>-1515745</wp:posOffset>
            </wp:positionV>
            <wp:extent cx="27940" cy="15214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" cy="1521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80" w:hanging="6"/>
        <w:spacing w:after="0" w:line="269" w:lineRule="auto"/>
        <w:tabs>
          <w:tab w:leader="none" w:pos="162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share of phantom stock represents the economic equivalent to one share of Class A common stock. Phantom shares have been deferred under our deferred compensation plans, may be transferred into alternative investments under the terms of our deferred compensation plans and settle in cash.</w:t>
      </w:r>
    </w:p>
    <w:p>
      <w:pPr>
        <w:spacing w:after="0" w:line="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6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Reflects the cash settlement of shares of phantom stock on the scheduled distribution date under, and in accordance with the terms of, our deferred compensation plans.</w:t>
      </w:r>
    </w:p>
    <w:p>
      <w:pPr>
        <w:ind w:left="6600"/>
        <w:spacing w:after="0" w:line="19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Elizabeth Wideman, Attorney-in- </w:t>
      </w:r>
      <w:r>
        <w:rPr>
          <w:rFonts w:ascii="Times New Roman" w:cs="Times New Roman" w:eastAsia="Times New Roman" w:hAnsi="Times New Roman"/>
          <w:sz w:val="31"/>
          <w:szCs w:val="31"/>
          <w:color w:val="0000FF"/>
          <w:vertAlign w:val="subscript"/>
        </w:rPr>
        <w:t>01/03/2025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4191635</wp:posOffset>
            </wp:positionH>
            <wp:positionV relativeFrom="paragraph">
              <wp:posOffset>-25400</wp:posOffset>
            </wp:positionV>
            <wp:extent cx="134747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4191635</wp:posOffset>
            </wp:positionH>
            <wp:positionV relativeFrom="paragraph">
              <wp:posOffset>-18415</wp:posOffset>
            </wp:positionV>
            <wp:extent cx="15113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-80645</wp:posOffset>
            </wp:positionV>
            <wp:extent cx="459105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00" w:hanging="6"/>
        <w:spacing w:after="0" w:line="318" w:lineRule="auto"/>
        <w:tabs>
          <w:tab w:leader="none" w:pos="169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04481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2025-01-06T15:23:30Z</dcterms:created>
  <dcterms:modified xsi:type="dcterms:W3CDTF">2025-01-06T15:23:30Z</dcterms:modified>
</cp:coreProperties>
</file>