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19"/>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FORM 8-K/A</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CURRENT REPORT</w:t>
      </w:r>
    </w:p>
    <w:p>
      <w:pPr>
        <w:spacing w:after="0" w:line="196" w:lineRule="exact"/>
        <w:rPr>
          <w:sz w:val="24"/>
          <w:szCs w:val="24"/>
          <w:color w:val="auto"/>
        </w:rPr>
      </w:pPr>
    </w:p>
    <w:p>
      <w:pPr>
        <w:ind w:left="212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SECURITIES EXCHANGE ACT OF 1934</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Date of Report (Date of earliest event reported): August 2, 2005</w:t>
      </w:r>
    </w:p>
    <w:p>
      <w:pPr>
        <w:spacing w:after="0" w:line="196"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5" w:right="1440" w:bottom="1440" w:gutter="0" w:footer="0" w:header="0"/>
        </w:sectPr>
      </w:pPr>
    </w:p>
    <w:p>
      <w:pPr>
        <w:spacing w:after="0" w:line="199" w:lineRule="exact"/>
        <w:rPr>
          <w:sz w:val="24"/>
          <w:szCs w:val="24"/>
          <w:color w:val="auto"/>
        </w:rPr>
      </w:pPr>
    </w:p>
    <w:p>
      <w:pPr>
        <w:ind w:left="1020" w:firstLine="202"/>
        <w:spacing w:after="0" w:line="257" w:lineRule="auto"/>
        <w:rPr>
          <w:sz w:val="20"/>
          <w:szCs w:val="20"/>
          <w:color w:val="auto"/>
        </w:rPr>
      </w:pPr>
      <w:r>
        <w:rPr>
          <w:rFonts w:ascii="Courier New" w:cs="Courier New" w:eastAsia="Courier New" w:hAnsi="Courier New"/>
          <w:sz w:val="16"/>
          <w:szCs w:val="16"/>
          <w:color w:val="auto"/>
        </w:rPr>
        <w:t>Pennsylvania --------------- (State or other jurisdiction of</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000-50093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1"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27-0000798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2" w:lineRule="exact"/>
        <w:rPr>
          <w:sz w:val="24"/>
          <w:szCs w:val="24"/>
          <w:color w:val="auto"/>
        </w:rPr>
      </w:pPr>
    </w:p>
    <w:p>
      <w:pPr>
        <w:sectPr>
          <w:pgSz w:w="11900" w:h="16838" w:orient="portrait"/>
          <w:cols w:equalWidth="0" w:num="3">
            <w:col w:w="2540" w:space="500"/>
            <w:col w:w="1620" w:space="500"/>
            <w:col w:w="5059"/>
          </w:cols>
          <w:pgMar w:left="240" w:top="245" w:right="1440" w:bottom="1440" w:gutter="0" w:footer="0" w:header="0"/>
          <w:type w:val="continuous"/>
        </w:sectPr>
      </w:pPr>
    </w:p>
    <w:p>
      <w:pPr>
        <w:ind w:left="10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245" w:right="1440" w:bottom="1440" w:gutter="0" w:footer="0" w:header="0"/>
          <w:type w:val="continuous"/>
        </w:sectPr>
      </w:pPr>
    </w:p>
    <w:p>
      <w:pPr>
        <w:spacing w:after="0" w:line="208" w:lineRule="exact"/>
        <w:rPr>
          <w:sz w:val="24"/>
          <w:szCs w:val="24"/>
          <w:color w:val="auto"/>
        </w:rPr>
      </w:pPr>
    </w:p>
    <w:p>
      <w:pPr>
        <w:ind w:left="1220"/>
        <w:spacing w:after="0" w:line="263" w:lineRule="auto"/>
        <w:rPr>
          <w:sz w:val="20"/>
          <w:szCs w:val="20"/>
          <w:color w:val="auto"/>
        </w:rPr>
      </w:pPr>
      <w:r>
        <w:rPr>
          <w:rFonts w:ascii="Courier New" w:cs="Courier New" w:eastAsia="Courier New" w:hAnsi="Courier New"/>
          <w:sz w:val="16"/>
          <w:szCs w:val="16"/>
          <w:color w:val="auto"/>
        </w:rPr>
        <w:t>1500 Market Street, Philadelphia, PA ---------------------------------------- (Address of principal executive offices)</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5" w:lineRule="exact"/>
        <w:rPr>
          <w:sz w:val="24"/>
          <w:szCs w:val="24"/>
          <w:color w:val="auto"/>
        </w:rPr>
      </w:pPr>
    </w:p>
    <w:p>
      <w:pPr>
        <w:sectPr>
          <w:pgSz w:w="11900" w:h="16838" w:orient="portrait"/>
          <w:cols w:equalWidth="0" w:num="2">
            <w:col w:w="5260" w:space="500"/>
            <w:col w:w="4459"/>
          </w:cols>
          <w:pgMar w:left="240" w:top="245" w:right="1440" w:bottom="1440" w:gutter="0" w:footer="0" w:header="0"/>
          <w:type w:val="continuous"/>
        </w:sectPr>
      </w:pPr>
    </w:p>
    <w:p>
      <w:pPr>
        <w:ind w:left="820"/>
        <w:spacing w:after="0"/>
        <w:rPr>
          <w:sz w:val="20"/>
          <w:szCs w:val="20"/>
          <w:color w:val="auto"/>
        </w:rPr>
      </w:pPr>
      <w:r>
        <w:rPr>
          <w:rFonts w:ascii="Courier New" w:cs="Courier New" w:eastAsia="Courier New" w:hAnsi="Courier New"/>
          <w:sz w:val="17"/>
          <w:szCs w:val="17"/>
          <w:color w:val="auto"/>
        </w:rPr>
        <w:t>Registrant's telephone number, including area code (215) 665-1700</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199" w:lineRule="exact"/>
        <w:rPr>
          <w:sz w:val="24"/>
          <w:szCs w:val="24"/>
          <w:color w:val="auto"/>
        </w:rPr>
      </w:pPr>
    </w:p>
    <w:p>
      <w:pPr>
        <w:ind w:right="2219" w:firstLine="505"/>
        <w:spacing w:after="0" w:line="258" w:lineRule="auto"/>
        <w:rPr>
          <w:sz w:val="20"/>
          <w:szCs w:val="20"/>
          <w:color w:val="auto"/>
        </w:rPr>
      </w:pPr>
      <w:r>
        <w:rPr>
          <w:rFonts w:ascii="Courier New" w:cs="Courier New" w:eastAsia="Courier New" w:hAnsi="Courier New"/>
          <w:sz w:val="16"/>
          <w:szCs w:val="16"/>
          <w:color w:val="auto"/>
        </w:rPr>
        <w:t>On August 2, 2005, Comcast Corporation ("Comcast") issued a press release reporting the results of its operations for the three and six months ended June 30, 2005. Comcast furnished the press release in a Current Report on Form 8-K filed with the Securities and Exchange Commission on August 2, 2005. In the press release under the heading "Financial Guidance 2005," Comcast disclosed in the last bullet - Consolidated capital expenditures of $3.2-$3.3 million. The capital expenditure amounts reported are in billions and therefore the disclosure should be - Consolidated capital expenditures of $3.2-$3.3 billion. The amended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Item 9.01. Exhibits</w:t>
      </w:r>
    </w:p>
    <w:p>
      <w:pPr>
        <w:spacing w:after="0" w:line="196" w:lineRule="exact"/>
        <w:rPr>
          <w:sz w:val="24"/>
          <w:szCs w:val="24"/>
          <w:color w:val="auto"/>
        </w:rPr>
      </w:pPr>
    </w:p>
    <w:p>
      <w:pPr>
        <w:spacing w:after="0"/>
        <w:tabs>
          <w:tab w:leader="none" w:pos="1600" w:val="left"/>
        </w:tabs>
        <w:rPr>
          <w:sz w:val="20"/>
          <w:szCs w:val="20"/>
          <w:color w:val="auto"/>
        </w:rPr>
      </w:pPr>
      <w:r>
        <w:rPr>
          <w:rFonts w:ascii="Courier New" w:cs="Courier New" w:eastAsia="Courier New" w:hAnsi="Courier New"/>
          <w:sz w:val="17"/>
          <w:szCs w:val="17"/>
          <w:color w:val="auto"/>
        </w:rPr>
        <w:t>Exhibit 99.1</w:t>
      </w:r>
      <w:r>
        <w:rPr>
          <w:sz w:val="20"/>
          <w:szCs w:val="20"/>
          <w:color w:val="auto"/>
        </w:rPr>
        <w:tab/>
      </w:r>
      <w:r>
        <w:rPr>
          <w:rFonts w:ascii="Courier New" w:cs="Courier New" w:eastAsia="Courier New" w:hAnsi="Courier New"/>
          <w:sz w:val="16"/>
          <w:szCs w:val="16"/>
          <w:color w:val="auto"/>
        </w:rPr>
        <w:t>Comcast Corporation press release dated August 2, 2005.</w:t>
      </w:r>
    </w:p>
    <w:p>
      <w:pPr>
        <w:sectPr>
          <w:pgSz w:w="11900" w:h="16838" w:orient="portrait"/>
          <w:cols w:equalWidth="0" w:num="1">
            <w:col w:w="10219"/>
          </w:cols>
          <w:pgMar w:left="240" w:top="245" w:right="1440" w:bottom="1440" w:gutter="0" w:footer="0" w:header="0"/>
          <w:type w:val="continuous"/>
        </w:sectPr>
      </w:pPr>
    </w:p>
    <w:bookmarkStart w:id="1" w:name="page2"/>
    <w:bookmarkEnd w:id="1"/>
    <w:p>
      <w:pPr>
        <w:jc w:val="center"/>
        <w:ind w:right="2139"/>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97"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 2005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5" w:lineRule="exact"/>
        <w:rPr>
          <w:sz w:val="20"/>
          <w:szCs w:val="20"/>
          <w:color w:val="auto"/>
        </w:rPr>
      </w:pPr>
    </w:p>
    <w:p>
      <w:pPr>
        <w:sectPr>
          <w:pgSz w:w="11900" w:h="16838" w:orient="portrait"/>
          <w:cols w:equalWidth="0" w:num="3">
            <w:col w:w="620" w:space="200"/>
            <w:col w:w="2500" w:space="720"/>
            <w:col w:w="6179"/>
          </w:cols>
          <w:pgMar w:left="240" w:top="697" w:right="1440" w:bottom="1440" w:gutter="0" w:footer="0" w:header="0"/>
          <w:type w:val="continuous"/>
        </w:sectPr>
      </w:pPr>
    </w:p>
    <w:p>
      <w:pPr>
        <w:ind w:left="4040"/>
        <w:spacing w:after="0"/>
        <w:rPr>
          <w:sz w:val="20"/>
          <w:szCs w:val="20"/>
          <w:color w:val="auto"/>
        </w:rPr>
      </w:pPr>
      <w:r>
        <w:rPr>
          <w:rFonts w:ascii="Courier New" w:cs="Courier New" w:eastAsia="Courier New" w:hAnsi="Courier New"/>
          <w:sz w:val="17"/>
          <w:szCs w:val="17"/>
          <w:color w:val="auto"/>
        </w:rPr>
        <w:t>By: /s/ Lawrence J. Salva</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Lawrence J. Salva</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Senior Vice President,</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Chief Accounting Officer</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and Controller</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(Principal Accounting Officer)</w:t>
      </w:r>
    </w:p>
    <w:p>
      <w:pPr>
        <w:sectPr>
          <w:pgSz w:w="11900" w:h="16838" w:orient="portrait"/>
          <w:cols w:equalWidth="0" w:num="1">
            <w:col w:w="10219"/>
          </w:cols>
          <w:pgMar w:left="240" w:top="697" w:right="1440" w:bottom="1440" w:gutter="0" w:footer="0" w:header="0"/>
          <w:type w:val="continuous"/>
        </w:sectPr>
      </w:pPr>
    </w:p>
    <w:bookmarkStart w:id="2" w:name="page3"/>
    <w:bookmarkEnd w:id="2"/>
    <w:p>
      <w:pPr>
        <w:jc w:val="right"/>
        <w:ind w:right="2119"/>
        <w:spacing w:after="0"/>
        <w:rPr>
          <w:sz w:val="20"/>
          <w:szCs w:val="20"/>
          <w:color w:val="auto"/>
        </w:rPr>
      </w:pPr>
      <w:r>
        <w:rPr>
          <w:rFonts w:ascii="Courier New" w:cs="Courier New" w:eastAsia="Courier New" w:hAnsi="Courier New"/>
          <w:sz w:val="17"/>
          <w:szCs w:val="17"/>
          <w:color w:val="auto"/>
        </w:rPr>
        <w:t>Exhibit 99.1</w:t>
      </w:r>
    </w:p>
    <w:p>
      <w:pPr>
        <w:spacing w:after="0" w:line="196"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COMCAST REPORTS SECOND QUARTER 2005 RESULTS</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REVENUE INCREASED 10.5% TO $5.6 BILLION</w:t>
      </w:r>
    </w:p>
    <w:p>
      <w:pPr>
        <w:spacing w:after="0" w:line="196"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OPERATING INCOME INCREASED 23.2% TO $1.0 BILLION</w:t>
      </w:r>
    </w:p>
    <w:p>
      <w:pPr>
        <w:spacing w:after="0" w:line="196"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OPERATING CASH FLOW INCREASED 13.2% TO $2.2 BILLION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20TH CONSECUTIVE QUARTER OF DOUBLE-DIGIT GROWTH</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GROWTH IN NEW SERVICES CONTINUES</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ADDED 1.1 MILLION REVENUE GENERATING UNITS</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DURING THE FIRST HALF OF 2005 INCLUDING</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507,000 DURING THE SECOND QUARTER</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PHILADELPHIA, August 2, 2005 -- Comcast Corporation (Nasdaq: CMCSA, CMCSK) today reported results for the quarter ended June 30, 2005. Comcast will discuss second quarter results on a conference call and webcast today at 8:30 AM Eastern Time. A live broadcast of the conference call will be available on the investor relations website at www.cmcsa.com and www.cmcsk.com.</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Brian L. Roberts, Chairman and CEO of Comcast Corporation said, "This is our 20th consecutive quarter reporting double-digit operating cash flow growth and, at 40.8%, cable's Operating Cash Flow margins are the highest in 2 1/2 years. We are posting solid results in the second quarter with revenue growth of 10.5% and Operating Cash Flow growth of 13.2%. Operating income increased 23.2% to $1.0 billion.</w:t>
      </w:r>
    </w:p>
    <w:p>
      <w:pPr>
        <w:spacing w:after="0" w:line="201" w:lineRule="exact"/>
        <w:rPr>
          <w:sz w:val="20"/>
          <w:szCs w:val="20"/>
          <w:color w:val="auto"/>
        </w:rPr>
      </w:pPr>
    </w:p>
    <w:p>
      <w:pPr>
        <w:ind w:right="2219" w:firstLine="404"/>
        <w:spacing w:after="0"/>
        <w:rPr>
          <w:sz w:val="20"/>
          <w:szCs w:val="20"/>
          <w:color w:val="auto"/>
        </w:rPr>
      </w:pPr>
      <w:r>
        <w:rPr>
          <w:rFonts w:ascii="Courier New" w:cs="Courier New" w:eastAsia="Courier New" w:hAnsi="Courier New"/>
          <w:sz w:val="17"/>
          <w:szCs w:val="17"/>
          <w:color w:val="auto"/>
        </w:rPr>
        <w:t>"Our consistently strong performance - double-digit revenue and cash flow growth and free cash flow growth above 20% - demonstrates the inherent strength of our business and reinforces our confidence in the future.</w:t>
      </w:r>
    </w:p>
    <w:p>
      <w:pPr>
        <w:spacing w:after="0" w:line="200" w:lineRule="exact"/>
        <w:rPr>
          <w:sz w:val="20"/>
          <w:szCs w:val="20"/>
          <w:color w:val="auto"/>
        </w:rPr>
      </w:pPr>
    </w:p>
    <w:p>
      <w:pPr>
        <w:ind w:right="2219" w:firstLine="404"/>
        <w:spacing w:after="0" w:line="259" w:lineRule="auto"/>
        <w:rPr>
          <w:sz w:val="20"/>
          <w:szCs w:val="20"/>
          <w:color w:val="auto"/>
        </w:rPr>
      </w:pPr>
      <w:r>
        <w:rPr>
          <w:rFonts w:ascii="Courier New" w:cs="Courier New" w:eastAsia="Courier New" w:hAnsi="Courier New"/>
          <w:sz w:val="16"/>
          <w:szCs w:val="16"/>
          <w:color w:val="auto"/>
        </w:rPr>
        <w:t>"We are extending our competitive advantage with industry-leading products. In video, we are continuing to expand our ON DEMAND, HDTV and DVR offerings and are beginning to rollout our enhanced basic - 100% digital service. We recently announced an important new agreement with Starz Encore that significantly enhances our ON DEMAND service, adding more than 325 top movies a month to the 3,500 program choices our customers enjoy today. In June, our customers viewed over 112 million ON DEMAND programs, a 10 million increase in 3 months, as we continue to provide an unmatched product with more choice and customer value.</w:t>
      </w:r>
    </w:p>
    <w:p>
      <w:pPr>
        <w:spacing w:after="0" w:line="185"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"We also recently announced a 50% increase in the speed of our high-speed Internet service - now 6 megabits per second - and continue to deliver a growing array of valuable enhancements and features like security and online gaming. Our strategy of product innovation and differentiation is working - we added 1.1 million revenue generating units during the first six months of this year - more than we did in the first half of last year.</w:t>
      </w:r>
    </w:p>
    <w:p>
      <w:pPr>
        <w:spacing w:after="0" w:line="201"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"We believe Comcast Digital Voice will be the next engine for growth and are ramping up the rollout of this service in markets like Philadelphia, Indianapolis, Boston, Hartford, Chicago and Portland. We are on track to extend our offering to 15 million homes in 20 markets by year end and expect to offer our fully-featured digital voice service across our 41 million homes by the end of 2006.</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119" w:firstLine="404"/>
        <w:spacing w:after="0"/>
        <w:rPr>
          <w:sz w:val="20"/>
          <w:szCs w:val="20"/>
          <w:color w:val="auto"/>
        </w:rPr>
      </w:pPr>
      <w:r>
        <w:rPr>
          <w:rFonts w:ascii="Courier New" w:cs="Courier New" w:eastAsia="Courier New" w:hAnsi="Courier New"/>
          <w:sz w:val="17"/>
          <w:szCs w:val="17"/>
          <w:color w:val="auto"/>
        </w:rPr>
        <w:t>"We are excited about the future of our business and are positioning Comcast to continue to deliver the best entertainment and communications services to our customers and to build value for our shareholders."</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Comcast Cable Results</w:t>
      </w:r>
    </w:p>
    <w:p>
      <w:pPr>
        <w:spacing w:after="0" w:line="4"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Cable results for the quarter and the six months ended June 30, 2005 are presented on a pro forma basis. Pro forma cable results adjust only for certain acquisitions and dispositions and are presented as if the acquisitions and dispositions were effective on January 1, 2004. Please refer to Table 7-A for a reconciliation of pro forma data.</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Second Quarter 2005</w:t>
      </w:r>
    </w:p>
    <w:p>
      <w:pPr>
        <w:spacing w:after="0" w:line="4" w:lineRule="exact"/>
        <w:rPr>
          <w:sz w:val="20"/>
          <w:szCs w:val="20"/>
          <w:color w:val="auto"/>
        </w:rPr>
      </w:pPr>
    </w:p>
    <w:p>
      <w:pPr>
        <w:ind w:right="2119" w:firstLine="404"/>
        <w:spacing w:after="0" w:line="261" w:lineRule="auto"/>
        <w:rPr>
          <w:sz w:val="20"/>
          <w:szCs w:val="20"/>
          <w:color w:val="auto"/>
        </w:rPr>
      </w:pPr>
      <w:r>
        <w:rPr>
          <w:rFonts w:ascii="Courier New" w:cs="Courier New" w:eastAsia="Courier New" w:hAnsi="Courier New"/>
          <w:sz w:val="16"/>
          <w:szCs w:val="16"/>
          <w:color w:val="auto"/>
        </w:rPr>
        <w:t>Comcast Cable reported revenue of $5.3 billion for the quarter ended June 30, 2005, representing a 10.1% increase from the second quarter of 2004. Comcast Cable added 507,000 revenue generating units in the second quarter of 2005, an increase of 22.1% from the 415,000 added in the same quarter last year.</w:t>
      </w:r>
    </w:p>
    <w:p>
      <w:pPr>
        <w:spacing w:after="0" w:line="184"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Video revenue increased $192 million or 5.9% to $3.4 billion in the second quarter of 2005, driven by higher monthly revenue per basic subscriber and a 13.3% increase in the number of digital customers. Comcast Cable added 284,000 new digital customers in the second quarter of 2005 and with more than 9.1 million subscribers, digital cable penetration reached 42.6% of basic subscribers. As expected, basic subscribers are essentially unchanged from a year ago at 21.4 million, and declined seasonally by 77,000 or 0.2% from the first quarter of 2005.</w:t>
      </w:r>
    </w:p>
    <w:p>
      <w:pPr>
        <w:sectPr>
          <w:pgSz w:w="11900" w:h="16838" w:orient="portrait"/>
          <w:cols w:equalWidth="0" w:num="1">
            <w:col w:w="10219"/>
          </w:cols>
          <w:pgMar w:left="240" w:top="140" w:right="1440" w:bottom="0" w:gutter="0" w:footer="0" w:header="0"/>
        </w:sectPr>
      </w:pPr>
    </w:p>
    <w:bookmarkStart w:id="3" w:name="page4"/>
    <w:bookmarkEnd w:id="3"/>
    <w:p>
      <w:pPr>
        <w:ind w:right="2119" w:firstLine="404"/>
        <w:spacing w:after="0" w:line="242" w:lineRule="auto"/>
        <w:rPr>
          <w:sz w:val="20"/>
          <w:szCs w:val="20"/>
          <w:color w:val="auto"/>
        </w:rPr>
      </w:pPr>
      <w:r>
        <w:rPr>
          <w:rFonts w:ascii="Courier New" w:cs="Courier New" w:eastAsia="Courier New" w:hAnsi="Courier New"/>
          <w:sz w:val="17"/>
          <w:szCs w:val="17"/>
          <w:color w:val="auto"/>
        </w:rPr>
        <w:t>Digital cable subscriber and video revenue growth reflects strong consumer demand for new digital features and services including Comcast ON DEMAND, high-definition television (HDTV) programming and digital video recorders (DVRs), as well as the initial rollout of an enhanced basic - 100% digital service in a number of markets. During the second quarter, pay-per-view revenues increased 24.0% - the seventh consecutive quarter of pay-per-view revenue growth, driven by more movie and event purchases through the Comcast ON DEMAND service. During the second quarter, Comcast Cable deployed nearly 300,000 advanced set-top boxes with DVR and/or HDTV programming capability, generating an incremental $5 to $10 of monthly revenue per box.</w:t>
      </w:r>
    </w:p>
    <w:p>
      <w:pPr>
        <w:spacing w:after="0" w:line="197" w:lineRule="exact"/>
        <w:rPr>
          <w:sz w:val="20"/>
          <w:szCs w:val="20"/>
          <w:color w:val="auto"/>
        </w:rPr>
      </w:pPr>
    </w:p>
    <w:p>
      <w:pPr>
        <w:ind w:right="2119" w:firstLine="404"/>
        <w:spacing w:after="0" w:line="259" w:lineRule="auto"/>
        <w:rPr>
          <w:sz w:val="20"/>
          <w:szCs w:val="20"/>
          <w:color w:val="auto"/>
        </w:rPr>
      </w:pPr>
      <w:r>
        <w:rPr>
          <w:rFonts w:ascii="Courier New" w:cs="Courier New" w:eastAsia="Courier New" w:hAnsi="Courier New"/>
          <w:sz w:val="16"/>
          <w:szCs w:val="16"/>
          <w:color w:val="auto"/>
        </w:rPr>
        <w:t>Comcast High-speed Internet service revenues increased 28.8% to $982 million in the second quarter of 2005, reflecting a 28.3% increase in subscribers and strong average revenue per subscriber. Comcast Cable ended the second quarter of 2005 with more than 7.7 million high-speed Internet subscribers, adding 297,000 subscribers during the second quarter of 2005 for a penetration rate of 18.9% of available homes. Average monthly revenue per high-speed Internet subscriber of $43.34 in the second quarter of 2005, was in line with the second quarter of 2004 and increased $0.53 from the $42.81 reported in the first quarter of 2005.</w:t>
      </w:r>
    </w:p>
    <w:p>
      <w:pPr>
        <w:sectPr>
          <w:pgSz w:w="11900" w:h="16838" w:orient="portrait"/>
          <w:cols w:equalWidth="0" w:num="1">
            <w:col w:w="10219"/>
          </w:cols>
          <w:pgMar w:left="240" w:top="336" w:right="1440" w:bottom="1440" w:gutter="0" w:footer="0" w:header="0"/>
        </w:sectPr>
      </w:pPr>
    </w:p>
    <w:bookmarkStart w:id="4" w:name="page5"/>
    <w:bookmarkEnd w:id="4"/>
    <w:p>
      <w:pPr>
        <w:ind w:right="2119" w:firstLine="404"/>
        <w:spacing w:after="0" w:line="241" w:lineRule="auto"/>
        <w:rPr>
          <w:sz w:val="20"/>
          <w:szCs w:val="20"/>
          <w:color w:val="auto"/>
        </w:rPr>
      </w:pPr>
      <w:r>
        <w:rPr>
          <w:rFonts w:ascii="Courier New" w:cs="Courier New" w:eastAsia="Courier New" w:hAnsi="Courier New"/>
          <w:sz w:val="17"/>
          <w:szCs w:val="17"/>
          <w:color w:val="auto"/>
        </w:rPr>
        <w:t>Advertising revenue for the second quarter of 2005 increased 9.9% to $362 million, reflecting growth of 6.5% in local advertising and growth of 16.7% in regional/national advertising as a result of the continuing success of our regional interconnect strategy. The growth in advertising revenue during the quarter was slightly offset by a decline in political advertising when compared to the prior year. Advertising revenue growth in the second half of 2005 will reflect a significant decline in political advertising when compared to the 2004 election year.</w:t>
      </w:r>
    </w:p>
    <w:p>
      <w:pPr>
        <w:spacing w:after="0" w:line="203" w:lineRule="exact"/>
        <w:rPr>
          <w:sz w:val="20"/>
          <w:szCs w:val="20"/>
          <w:color w:val="auto"/>
        </w:rPr>
      </w:pPr>
    </w:p>
    <w:p>
      <w:pPr>
        <w:ind w:right="2119" w:firstLine="404"/>
        <w:spacing w:after="0" w:line="259" w:lineRule="auto"/>
        <w:rPr>
          <w:sz w:val="20"/>
          <w:szCs w:val="20"/>
          <w:color w:val="auto"/>
        </w:rPr>
      </w:pPr>
      <w:r>
        <w:rPr>
          <w:rFonts w:ascii="Courier New" w:cs="Courier New" w:eastAsia="Courier New" w:hAnsi="Courier New"/>
          <w:sz w:val="16"/>
          <w:szCs w:val="16"/>
          <w:color w:val="auto"/>
        </w:rPr>
        <w:t>Comcast Cable added 15,000 Comcast Digital Voice customers (CDV - Comcast's phone service using IP technology), reflecting the rollout of CDV in new markets late in the second quarter. As expected, CDV customer additions were offset by a decline in the number of Comcast's circuit-switched telephone customers as Comcast transitions to marketing Comcast Digital Voice. Comcast Cable reported 2,000 net new phone customers in the second quarter of 2005. Cable phone revenue declined 4.0% from the second quarter of 2004 to $170 million in the second quarter of 2005, due primarily to a decline in access revenue per customer.</w:t>
      </w:r>
    </w:p>
    <w:p>
      <w:pPr>
        <w:spacing w:after="0" w:line="185"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Cable operating income before depreciation and amortization (Operating Cash Flow) grew 13.2% to $2.2 billion in the second quarter, an increase from the $1.9 billion reported for the second quarter of 2004. Second quarter 2005 Operating Cash Flow margin increased to 40.8% from 39.7% in the second quarter of 2004.</w:t>
      </w:r>
    </w:p>
    <w:p>
      <w:pPr>
        <w:spacing w:after="0" w:line="200"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Cable capital expenditures increased 4.8% to $936 million compared to the $893 million in the second quarter of the prior year. The increase in capital expenditures reflects the purchase of digital set-top boxes to meet expected demand, as well as certain capital investments, including equipment for digital simulcasting and our integrated service platform, which are expected to decline in the second half of 2005.</w:t>
      </w:r>
    </w:p>
    <w:p>
      <w:pPr>
        <w:spacing w:after="0" w:line="199"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Year-to-date June 2005</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For the six months ended June 30, 2005, Comcast Cable reported revenue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$10.4 billion, representing a 9.9% increase from the prior year. Comcast Cable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added a total of 1.1 million new revenue generating units during the first half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2005, a 7.9% increase from the first half of last year.</w:t>
      </w:r>
    </w:p>
    <w:p>
      <w:pPr>
        <w:spacing w:after="0" w:line="199"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Video revenue increased 5.8% during the period, driven by higher monthly revenue per basic subscriber and a 13.3% increase in the number of digital customers. Comcast Cable added nearly 484,000 digital cable subscribers during the first six months of 2005 to end the period with more than 9.1 million digital subscribers. Comcast Cable basic subscribers declined 106,000 during the first six months of 2005, ending the period at 21.4 million subscribers.</w:t>
      </w:r>
    </w:p>
    <w:p>
      <w:pPr>
        <w:spacing w:after="0" w:line="201"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Comcast Cable added nearly 712,000 high-speed Internet subscribers during the first half of 2005 to end the period with more than 7.7 million subscribers. Revenues for this service increased 30.6% from the prior year to $1.9 billion, reflecting strong year over year subscriber growth. Advertising revenue increased 9.8% from the same period of 2004 to $658 million, including the decline in political advertising from the 2004 election year. Cable phone revenue declined 3.5% from the same period one year ago to $343 million, primarily due to lower revenue per customer. Comcast Cable added 7,000 phone subscribers in the first six months of 2005 compared to a loss of 42,000 subscribers in the first half of 2004.</w:t>
      </w:r>
    </w:p>
    <w:p>
      <w:pPr>
        <w:sectPr>
          <w:pgSz w:w="11900" w:h="16838" w:orient="portrait"/>
          <w:cols w:equalWidth="0" w:num="1">
            <w:col w:w="10219"/>
          </w:cols>
          <w:pgMar w:left="240" w:top="699" w:right="1440" w:bottom="1440" w:gutter="0" w:footer="0" w:header="0"/>
        </w:sectPr>
      </w:pPr>
    </w:p>
    <w:bookmarkStart w:id="5" w:name="page6"/>
    <w:bookmarkEnd w:id="5"/>
    <w:p>
      <w:pPr>
        <w:ind w:right="2319" w:firstLine="404"/>
        <w:spacing w:after="0" w:line="241" w:lineRule="auto"/>
        <w:rPr>
          <w:sz w:val="20"/>
          <w:szCs w:val="20"/>
          <w:color w:val="auto"/>
        </w:rPr>
      </w:pPr>
      <w:r>
        <w:rPr>
          <w:rFonts w:ascii="Courier New" w:cs="Courier New" w:eastAsia="Courier New" w:hAnsi="Courier New"/>
          <w:sz w:val="17"/>
          <w:szCs w:val="17"/>
          <w:color w:val="auto"/>
        </w:rPr>
        <w:t>Operating Cash Flow grew 14.5% from the same period one year ago to $4.2 billion, reflecting strong revenue growth and the Company's success in controlling the growth of operating costs. Operating Cash Flow margin for the first six months of 2005 increased to 40.0% from 38.4% during the first six months of the prior year. Comcast Cable capital expenditures were $1.8 billion for the first six months of 2005 compared to $1.7 billion last year. As previously described, the level of capital expenditures is expected to decline in the second half of 2005.</w:t>
      </w:r>
    </w:p>
    <w:p>
      <w:pPr>
        <w:spacing w:after="0" w:line="201"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Content</w:t>
      </w:r>
    </w:p>
    <w:p>
      <w:pPr>
        <w:spacing w:after="0" w:line="4" w:lineRule="exact"/>
        <w:rPr>
          <w:sz w:val="20"/>
          <w:szCs w:val="20"/>
          <w:color w:val="auto"/>
        </w:rPr>
      </w:pPr>
    </w:p>
    <w:p>
      <w:pPr>
        <w:ind w:right="2119" w:firstLine="404"/>
        <w:spacing w:after="0" w:line="263" w:lineRule="auto"/>
        <w:rPr>
          <w:sz w:val="20"/>
          <w:szCs w:val="20"/>
          <w:color w:val="auto"/>
        </w:rPr>
      </w:pPr>
      <w:r>
        <w:rPr>
          <w:rFonts w:ascii="Courier New" w:cs="Courier New" w:eastAsia="Courier New" w:hAnsi="Courier New"/>
          <w:sz w:val="16"/>
          <w:szCs w:val="16"/>
          <w:color w:val="auto"/>
        </w:rPr>
        <w:t>Comcast's content segment consists of our national networks E! Entertainment Television and Style Network (E! Networks), The Golf Channel, Outdoor Life Network, G4 and AZN Television (formerly International Channel Networks).</w:t>
      </w:r>
    </w:p>
    <w:p>
      <w:pPr>
        <w:spacing w:after="0" w:line="182"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Comcast's content segment reported second quarter 2005 revenue of $234 million, a 17.7% increase from the second quarter of 2004 reflecting increases in distribution and advertising revenue for all the networks. The content segment reported Operating Cash Flow of $97 million in the second quarter of 2005, a 25.4% increase above the second quarter of 2004.</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For the six months ended June 30, 2005, Comcast's content segment reported revenue of $447 million, a 19.2% increase compared to the prior year period, and Operating Cash Flow of $174 million, an increase of 19.1% from the same time last year.</w:t>
      </w:r>
    </w:p>
    <w:p>
      <w:pPr>
        <w:spacing w:after="0" w:line="197"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Corporate and Other</w:t>
      </w:r>
    </w:p>
    <w:p>
      <w:pPr>
        <w:spacing w:after="0" w:line="4"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Corporate and Other includes Comcast-Spectacor, corporate overhead and other operations and eliminations between Comcast's businesses. In the second quarter of 2005, we reported Corporate and Other revenue of $36 million and an Operating Cash Flow loss of $63 million as compared to revenue of $28 million and an Operating Cash Flow loss of $45 million in the second quarter of 2004.</w:t>
      </w:r>
    </w:p>
    <w:p>
      <w:pPr>
        <w:spacing w:after="0" w:line="20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For the six months ended June 30, 2005, Corporate and Other revenue declined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$83 million from the $114 million reported in the same period of 2004.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Cash Flow loss for the year-to-date period ended June 30, 2005,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$105 million compared to $100 million in 2004. Results for the six month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the quarter ended June 30, 2005, were impacted by the absence of National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Hockey League games.</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Consolidated Results</w:t>
      </w:r>
    </w:p>
    <w:p>
      <w:pPr>
        <w:spacing w:after="0" w:line="4"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For the three months ended June 30, 2005, the Company reported consolidated revenues of $5.6 billion, a 10.5% increase from the $5.1 billion reported in the same period of 2004. Consolidated Operating Cash Flow increased to $2.2 billion or 13.2%, in the second quarter of 2005, from the $2.0 billion reported in the same prior year period. Operating income increased to $1.0 billion in the second quarter of 2005 compared to operating income of $852 million in the second quarter of 2004.</w:t>
      </w:r>
    </w:p>
    <w:p>
      <w:pPr>
        <w:spacing w:after="0" w:line="202"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Free Cash Flow (described further on Table 4) was $422 million in the second quarter of 2005 compared to $500 million reported in the second quarter of 2004, reflecting increases in Operating Cash Flow and capital expenditures and the timing of income tax payments in the second quarter of 2005. For the three months ended June 30, 2005, the Company reported consolidated net income of $430 million or $0.19 per share compared to consolidated net income of $262 million or $0.12 per share in the second quarter of 2004. The increase in net income is primarily due to the growth in Operating Cash Flow.</w:t>
      </w:r>
    </w:p>
    <w:p>
      <w:pPr>
        <w:sectPr>
          <w:pgSz w:w="11900" w:h="16838" w:orient="portrait"/>
          <w:cols w:equalWidth="0" w:num="1">
            <w:col w:w="10219"/>
          </w:cols>
          <w:pgMar w:left="240" w:top="699" w:right="1440" w:bottom="1440" w:gutter="0" w:footer="0" w:header="0"/>
        </w:sectPr>
      </w:pPr>
    </w:p>
    <w:bookmarkStart w:id="6" w:name="page7"/>
    <w:bookmarkEnd w:id="6"/>
    <w:p>
      <w:pPr>
        <w:ind w:right="2119" w:firstLine="404"/>
        <w:spacing w:after="0" w:line="241" w:lineRule="auto"/>
        <w:rPr>
          <w:sz w:val="20"/>
          <w:szCs w:val="20"/>
          <w:color w:val="auto"/>
        </w:rPr>
      </w:pPr>
      <w:r>
        <w:rPr>
          <w:rFonts w:ascii="Courier New" w:cs="Courier New" w:eastAsia="Courier New" w:hAnsi="Courier New"/>
          <w:sz w:val="17"/>
          <w:szCs w:val="17"/>
          <w:color w:val="auto"/>
        </w:rPr>
        <w:t>For the six months ended June 30, 2005, consolidated revenue increased 9.9% to $11.0 billion from the $10.0 billion reported in the same period of 2004. The Operating Cash Flow for the period ended June 30, 2005 was $4.2 billion, an increase of 15.0% when compared to $3.7 billion in 2004. Operating income increased to $1.9 billion in the first half of 2005 compared to operating income of $1.5 billion during the first half of 2004.</w:t>
      </w:r>
    </w:p>
    <w:p>
      <w:pPr>
        <w:spacing w:after="0" w:line="201"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Free Cash Flow was $1.1 billion during the year-to-date period, an increase of 27.5% from the $897 million reported during the same period of last year. For the six months ended June 30, 2005, the Company reported consolidated net income of $573 million or $0.26 per share compared to consolidated net income of $327 million or $0.14 per share in the six months ended June 30, 2004. The increase in year-to-date net income is due primarily to the growth in Operating Cash Flow.</w:t>
      </w:r>
    </w:p>
    <w:p>
      <w:pPr>
        <w:spacing w:after="0" w:line="20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Share Repurchase Program</w:t>
      </w:r>
    </w:p>
    <w:p>
      <w:pPr>
        <w:spacing w:after="0" w:line="4"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Comcast repurchased $334 million, or 10.5 million shares, of its common stock under its stock repurchase program during the second quarter of 2005. During 2005, the Company repurchased $637 million of its Class A Special Common Stock, or 19.9 million shares. Remaining availability under the Company's stock repurchase program is $2 billion. Since the inception of the repurchase program in December 2003, Comcast has repurchased $2.0 billion or 67.7 million shares of its common stock.</w:t>
      </w:r>
    </w:p>
    <w:p>
      <w:pPr>
        <w:spacing w:after="0" w:line="20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Financial Guidance 2005</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Comcast reaffirms the following previously issued guidance for 2005:</w:t>
      </w:r>
    </w:p>
    <w:p>
      <w:pPr>
        <w:spacing w:after="0" w:line="196" w:lineRule="exact"/>
        <w:rPr>
          <w:sz w:val="20"/>
          <w:szCs w:val="20"/>
          <w:color w:val="auto"/>
        </w:rPr>
      </w:pPr>
    </w:p>
    <w:p>
      <w:pPr>
        <w:ind w:left="1120" w:hanging="307"/>
        <w:spacing w:after="0"/>
        <w:tabs>
          <w:tab w:leader="none" w:pos="11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revenue growth of approximately 10%.</w:t>
      </w:r>
    </w:p>
    <w:p>
      <w:pPr>
        <w:spacing w:after="0" w:line="196" w:lineRule="exact"/>
        <w:rPr>
          <w:rFonts w:ascii="Courier New" w:cs="Courier New" w:eastAsia="Courier New" w:hAnsi="Courier New"/>
          <w:sz w:val="17"/>
          <w:szCs w:val="17"/>
          <w:color w:val="auto"/>
        </w:rPr>
      </w:pPr>
    </w:p>
    <w:p>
      <w:pPr>
        <w:ind w:left="1120" w:hanging="307"/>
        <w:spacing w:after="0"/>
        <w:tabs>
          <w:tab w:leader="none" w:pos="11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Revenue Generating Unit growth of at least 2.5 million units.</w:t>
      </w:r>
    </w:p>
    <w:p>
      <w:pPr>
        <w:spacing w:after="0" w:line="196" w:lineRule="exact"/>
        <w:rPr>
          <w:rFonts w:ascii="Courier New" w:cs="Courier New" w:eastAsia="Courier New" w:hAnsi="Courier New"/>
          <w:sz w:val="17"/>
          <w:szCs w:val="17"/>
          <w:color w:val="auto"/>
        </w:rPr>
      </w:pPr>
    </w:p>
    <w:p>
      <w:pPr>
        <w:ind w:left="1120" w:hanging="307"/>
        <w:spacing w:after="0"/>
        <w:tabs>
          <w:tab w:leader="none" w:pos="11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Operating Cash Flow growth of 14% to 15%.*</w:t>
      </w:r>
    </w:p>
    <w:p>
      <w:pPr>
        <w:spacing w:after="0" w:line="196" w:lineRule="exact"/>
        <w:rPr>
          <w:rFonts w:ascii="Courier New" w:cs="Courier New" w:eastAsia="Courier New" w:hAnsi="Courier New"/>
          <w:sz w:val="17"/>
          <w:szCs w:val="17"/>
          <w:color w:val="auto"/>
        </w:rPr>
      </w:pPr>
    </w:p>
    <w:p>
      <w:pPr>
        <w:ind w:left="1120" w:hanging="307"/>
        <w:spacing w:after="0"/>
        <w:tabs>
          <w:tab w:leader="none" w:pos="11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Free Cash Flow growth of 35% to 45%.*</w:t>
      </w:r>
    </w:p>
    <w:p>
      <w:pPr>
        <w:spacing w:after="0" w:line="196" w:lineRule="exact"/>
        <w:rPr>
          <w:rFonts w:ascii="Courier New" w:cs="Courier New" w:eastAsia="Courier New" w:hAnsi="Courier New"/>
          <w:sz w:val="17"/>
          <w:szCs w:val="17"/>
          <w:color w:val="auto"/>
        </w:rPr>
      </w:pPr>
    </w:p>
    <w:p>
      <w:pPr>
        <w:ind w:left="1120" w:hanging="307"/>
        <w:spacing w:after="0"/>
        <w:tabs>
          <w:tab w:leader="none" w:pos="11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capital expenditures of $3.2-$3.3 billion.</w:t>
      </w:r>
    </w:p>
    <w:p>
      <w:pPr>
        <w:spacing w:after="0" w:line="199" w:lineRule="exact"/>
        <w:rPr>
          <w:sz w:val="20"/>
          <w:szCs w:val="20"/>
          <w:color w:val="auto"/>
        </w:rPr>
      </w:pPr>
    </w:p>
    <w:p>
      <w:pPr>
        <w:ind w:right="3439" w:firstLine="404"/>
        <w:spacing w:after="0" w:line="239" w:lineRule="auto"/>
        <w:rPr>
          <w:sz w:val="20"/>
          <w:szCs w:val="20"/>
          <w:color w:val="auto"/>
        </w:rPr>
      </w:pPr>
      <w:r>
        <w:rPr>
          <w:rFonts w:ascii="Courier New" w:cs="Courier New" w:eastAsia="Courier New" w:hAnsi="Courier New"/>
          <w:sz w:val="17"/>
          <w:szCs w:val="17"/>
          <w:color w:val="auto"/>
        </w:rPr>
        <w:t>*Does not include any impact from the adoption of SFAS No. 123R (Accounting for stock-based compensation).</w:t>
      </w:r>
    </w:p>
    <w:p>
      <w:pPr>
        <w:spacing w:after="0" w:line="200"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ectPr>
          <w:pgSz w:w="11900" w:h="16838" w:orient="portrait"/>
          <w:cols w:equalWidth="0" w:num="1">
            <w:col w:w="10219"/>
          </w:cols>
          <w:pgMar w:left="240" w:top="699" w:right="1440" w:bottom="1440" w:gutter="0" w:footer="0" w:header="0"/>
        </w:sectPr>
      </w:pPr>
    </w:p>
    <w:bookmarkStart w:id="7" w:name="page8"/>
    <w:bookmarkEnd w:id="7"/>
    <w:p>
      <w:pPr>
        <w:ind w:right="2119" w:firstLine="404"/>
        <w:spacing w:after="0" w:line="260" w:lineRule="auto"/>
        <w:rPr>
          <w:sz w:val="20"/>
          <w:szCs w:val="20"/>
          <w:color w:val="auto"/>
        </w:rPr>
      </w:pPr>
      <w:r>
        <w:rPr>
          <w:rFonts w:ascii="Courier New" w:cs="Courier New" w:eastAsia="Courier New" w:hAnsi="Courier New"/>
          <w:sz w:val="16"/>
          <w:szCs w:val="16"/>
          <w:color w:val="auto"/>
        </w:rPr>
        <w:t>In this discussion we sometimes refer to financial measures that are not presented according to generally accepted accounting principles (GAAP). Certain of these measures are considered "non-GAAP financial measures" under the Securities and Exchange Commission (SEC) regulations; those rules require the supplemental explanation and reconciliation provided in table 7 of this release.</w:t>
      </w:r>
    </w:p>
    <w:p>
      <w:pPr>
        <w:spacing w:after="0" w:line="185"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Comcast Corporation will host a conference call with the financial community today August 2, 2005 at 8:30 a.m. Eastern Time (ET). The conference call will be broadcast live on the Company's Investor Relations website at www.cmcsa.com or www.cmcsk.com. A recording of the call will be available on the Investor Relations website starting at 12:30 p.m. ET on August 2, 2005.</w:t>
      </w:r>
    </w:p>
    <w:p>
      <w:pPr>
        <w:spacing w:after="0" w:line="200"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Those parties interested in participating via telephone should dial (847) 413-2408. A telephone replay will begin immediately following the call until Wednesday, August 3, 2005 at midnight ET. To access the rebroadcast, please dial (630) 652-3000 and enter passcode number 12020969#.</w:t>
      </w:r>
    </w:p>
    <w:p>
      <w:pPr>
        <w:spacing w:after="0" w:line="199" w:lineRule="exact"/>
        <w:rPr>
          <w:sz w:val="20"/>
          <w:szCs w:val="20"/>
          <w:color w:val="auto"/>
        </w:rPr>
      </w:pPr>
    </w:p>
    <w:p>
      <w:pPr>
        <w:ind w:right="2639" w:firstLine="505"/>
        <w:spacing w:after="0" w:line="239" w:lineRule="auto"/>
        <w:rPr>
          <w:sz w:val="20"/>
          <w:szCs w:val="20"/>
          <w:color w:val="auto"/>
        </w:rPr>
      </w:pPr>
      <w:r>
        <w:rPr>
          <w:rFonts w:ascii="Courier New" w:cs="Courier New" w:eastAsia="Courier New" w:hAnsi="Courier New"/>
          <w:sz w:val="17"/>
          <w:szCs w:val="17"/>
          <w:color w:val="auto"/>
        </w:rPr>
        <w:t>To automatically receive Comcast financial news by email, please visit www.cmcsa.com or www.cmcsk.com and subscribe to e-mail Alerts.</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About Comcast:</w:t>
      </w:r>
    </w:p>
    <w:p>
      <w:pPr>
        <w:spacing w:after="0" w:line="4"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Comcast Corporation (Nasdaq: CMCSA, CMCSK) (www.comcast.com) is the nation's leading provider of cable, entertainment and communications products and services. With 21.4 million cable customers, 7.7 million high-speed Internet customers, and 1.2 million voice customers, Comcast is principally involved in the development, management and operation of broadband cable networks and in the delivery of programming content.</w:t>
      </w:r>
    </w:p>
    <w:p>
      <w:pPr>
        <w:spacing w:after="0" w:line="201"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The Company's content networks and investments include E! Entertainment Television, Style Network, The Golf Channel, Outdoor Life Network, G4, AZN Television, PBS KIDS Sprout, TV One and four regional Comcast SportsNets. The Company also has a majority ownership in Comcast-Spectacor, whose major holdings include the Philadelphia Flyers NHL hockey team, the Philadelphia 76ers NBA basketball team and two large multipurpose arenas in Philadelphia. Comcast Class A common stock and Class A Special common stock trade on The NASDAQ Stock Market under the symbols CMCSA and CMCSK, respectively.</w:t>
      </w:r>
    </w:p>
    <w:p>
      <w:pPr>
        <w:sectPr>
          <w:pgSz w:w="11900" w:h="16838" w:orient="portrait"/>
          <w:cols w:equalWidth="0" w:num="1">
            <w:col w:w="10219"/>
          </w:cols>
          <w:pgMar w:left="240" w:top="699" w:right="1440" w:bottom="1440" w:gutter="0" w:footer="0" w:header="0"/>
        </w:sectPr>
      </w:pPr>
    </w:p>
    <w:bookmarkStart w:id="8" w:name="page9"/>
    <w:bookmarkEnd w:id="8"/>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Table 1</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Condensed Consolidated Statement of Operations (Unaudited)</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(amounts in millions,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3"/>
          </w:tcPr>
          <w:p>
            <w:pPr>
              <w:jc w:val="right"/>
              <w:ind w:right="276"/>
              <w:spacing w:after="0"/>
              <w:rPr>
                <w:sz w:val="20"/>
                <w:szCs w:val="20"/>
                <w:color w:val="auto"/>
              </w:rPr>
            </w:pPr>
            <w:r>
              <w:rPr>
                <w:rFonts w:ascii="Courier New" w:cs="Courier New" w:eastAsia="Courier New" w:hAnsi="Courier New"/>
                <w:sz w:val="17"/>
                <w:szCs w:val="17"/>
                <w:color w:val="auto"/>
                <w:w w:val="98"/>
              </w:rPr>
              <w:t>Three Months Ended</w:t>
            </w:r>
          </w:p>
        </w:tc>
        <w:tc>
          <w:tcPr>
            <w:tcW w:w="300" w:type="dxa"/>
            <w:vAlign w:val="bottom"/>
          </w:tcPr>
          <w:p>
            <w:pPr>
              <w:spacing w:after="0"/>
              <w:rPr>
                <w:sz w:val="16"/>
                <w:szCs w:val="16"/>
                <w:color w:val="auto"/>
              </w:rPr>
            </w:pPr>
          </w:p>
        </w:tc>
        <w:tc>
          <w:tcPr>
            <w:tcW w:w="198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720" w:type="dxa"/>
            <w:vAlign w:val="bottom"/>
          </w:tcPr>
          <w:p>
            <w:pPr>
              <w:spacing w:after="0"/>
              <w:rPr>
                <w:sz w:val="16"/>
                <w:szCs w:val="16"/>
                <w:color w:val="auto"/>
              </w:rPr>
            </w:pPr>
          </w:p>
        </w:tc>
      </w:tr>
      <w:tr>
        <w:trPr>
          <w:trHeight w:val="194"/>
        </w:trPr>
        <w:tc>
          <w:tcPr>
            <w:tcW w:w="3600" w:type="dxa"/>
            <w:vAlign w:val="bottom"/>
          </w:tcPr>
          <w:p>
            <w:pPr>
              <w:spacing w:after="0"/>
              <w:rPr>
                <w:sz w:val="16"/>
                <w:szCs w:val="16"/>
                <w:color w:val="auto"/>
              </w:rPr>
            </w:pPr>
          </w:p>
        </w:tc>
        <w:tc>
          <w:tcPr>
            <w:tcW w:w="2420" w:type="dxa"/>
            <w:vAlign w:val="bottom"/>
            <w:gridSpan w:val="4"/>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28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2005</w:t>
            </w:r>
          </w:p>
        </w:tc>
        <w:tc>
          <w:tcPr>
            <w:tcW w:w="360" w:type="dxa"/>
            <w:vAlign w:val="bottom"/>
          </w:tcPr>
          <w:p>
            <w:pPr>
              <w:spacing w:after="0"/>
              <w:rPr>
                <w:sz w:val="16"/>
                <w:szCs w:val="16"/>
                <w:color w:val="auto"/>
              </w:rPr>
            </w:pPr>
          </w:p>
        </w:tc>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2004</w:t>
            </w:r>
          </w:p>
        </w:tc>
        <w:tc>
          <w:tcPr>
            <w:tcW w:w="30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2005</w:t>
            </w:r>
          </w:p>
        </w:tc>
        <w:tc>
          <w:tcPr>
            <w:tcW w:w="340" w:type="dxa"/>
            <w:vAlign w:val="bottom"/>
          </w:tcPr>
          <w:p>
            <w:pPr>
              <w:spacing w:after="0"/>
              <w:rPr>
                <w:sz w:val="16"/>
                <w:szCs w:val="16"/>
                <w:color w:val="auto"/>
              </w:rPr>
            </w:pPr>
          </w:p>
        </w:tc>
        <w:tc>
          <w:tcPr>
            <w:tcW w:w="7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2004</w:t>
            </w:r>
          </w:p>
        </w:tc>
      </w:tr>
      <w:tr>
        <w:trPr>
          <w:trHeight w:val="194"/>
        </w:trPr>
        <w:tc>
          <w:tcPr>
            <w:tcW w:w="3600" w:type="dxa"/>
            <w:vAlign w:val="bottom"/>
          </w:tcPr>
          <w:p>
            <w:pPr>
              <w:spacing w:after="0"/>
              <w:rPr>
                <w:sz w:val="16"/>
                <w:szCs w:val="16"/>
                <w:color w:val="auto"/>
              </w:rPr>
            </w:pP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5,598</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5,066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10,961</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9,974</w:t>
            </w:r>
          </w:p>
        </w:tc>
      </w:tr>
      <w:tr>
        <w:trPr>
          <w:trHeight w:val="389"/>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Operating expenses</w:t>
            </w:r>
          </w:p>
        </w:tc>
        <w:tc>
          <w:tcPr>
            <w:tcW w:w="240" w:type="dxa"/>
            <w:vAlign w:val="bottom"/>
          </w:tcPr>
          <w:p>
            <w:pPr>
              <w:spacing w:after="0"/>
              <w:rPr>
                <w:sz w:val="24"/>
                <w:szCs w:val="24"/>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1,944</w:t>
            </w:r>
          </w:p>
        </w:tc>
        <w:tc>
          <w:tcPr>
            <w:tcW w:w="360" w:type="dxa"/>
            <w:vAlign w:val="bottom"/>
          </w:tcPr>
          <w:p>
            <w:pPr>
              <w:spacing w:after="0"/>
              <w:rPr>
                <w:sz w:val="24"/>
                <w:szCs w:val="24"/>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1,794</w:t>
            </w:r>
          </w:p>
        </w:tc>
        <w:tc>
          <w:tcPr>
            <w:tcW w:w="300" w:type="dxa"/>
            <w:vAlign w:val="bottom"/>
          </w:tcPr>
          <w:p>
            <w:pPr>
              <w:spacing w:after="0"/>
              <w:rPr>
                <w:sz w:val="24"/>
                <w:szCs w:val="24"/>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3,901</w:t>
            </w:r>
          </w:p>
        </w:tc>
        <w:tc>
          <w:tcPr>
            <w:tcW w:w="34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3,663</w:t>
            </w: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Selling, general and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3600" w:type="dxa"/>
            <w:vAlign w:val="bottom"/>
          </w:tcPr>
          <w:p>
            <w:pPr>
              <w:ind w:left="620"/>
              <w:spacing w:after="0"/>
              <w:rPr>
                <w:sz w:val="20"/>
                <w:szCs w:val="20"/>
                <w:color w:val="auto"/>
              </w:rPr>
            </w:pPr>
            <w:r>
              <w:rPr>
                <w:rFonts w:ascii="Courier New" w:cs="Courier New" w:eastAsia="Courier New" w:hAnsi="Courier New"/>
                <w:sz w:val="17"/>
                <w:szCs w:val="17"/>
                <w:color w:val="auto"/>
              </w:rPr>
              <w:t>administrative expenses</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1,445</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1,320</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2,821</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2,626</w:t>
            </w:r>
          </w:p>
        </w:tc>
      </w:tr>
      <w:tr>
        <w:trPr>
          <w:trHeight w:val="19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3,389</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3,114</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6,722</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6,289</w:t>
            </w:r>
          </w:p>
        </w:tc>
      </w:tr>
      <w:tr>
        <w:trPr>
          <w:trHeight w:val="194"/>
        </w:trPr>
        <w:tc>
          <w:tcPr>
            <w:tcW w:w="360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2,209</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1,952</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4,239</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3,685</w:t>
            </w:r>
          </w:p>
        </w:tc>
      </w:tr>
      <w:tr>
        <w:trPr>
          <w:trHeight w:val="389"/>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Depreciation expense</w:t>
            </w:r>
          </w:p>
        </w:tc>
        <w:tc>
          <w:tcPr>
            <w:tcW w:w="240" w:type="dxa"/>
            <w:vAlign w:val="bottom"/>
          </w:tcPr>
          <w:p>
            <w:pPr>
              <w:spacing w:after="0"/>
              <w:rPr>
                <w:sz w:val="24"/>
                <w:szCs w:val="24"/>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891</w:t>
            </w:r>
          </w:p>
        </w:tc>
        <w:tc>
          <w:tcPr>
            <w:tcW w:w="360" w:type="dxa"/>
            <w:vAlign w:val="bottom"/>
          </w:tcPr>
          <w:p>
            <w:pPr>
              <w:spacing w:after="0"/>
              <w:rPr>
                <w:sz w:val="24"/>
                <w:szCs w:val="24"/>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813</w:t>
            </w:r>
          </w:p>
        </w:tc>
        <w:tc>
          <w:tcPr>
            <w:tcW w:w="300" w:type="dxa"/>
            <w:vAlign w:val="bottom"/>
          </w:tcPr>
          <w:p>
            <w:pPr>
              <w:spacing w:after="0"/>
              <w:rPr>
                <w:sz w:val="24"/>
                <w:szCs w:val="24"/>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1,765</w:t>
            </w:r>
          </w:p>
        </w:tc>
        <w:tc>
          <w:tcPr>
            <w:tcW w:w="34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1,611</w:t>
            </w: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Amortization expense</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270</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287</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560</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563</w:t>
            </w:r>
          </w:p>
        </w:tc>
      </w:tr>
      <w:tr>
        <w:trPr>
          <w:trHeight w:val="19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1,161</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1,100</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2,325</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2,174</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40" w:type="dxa"/>
            <w:vAlign w:val="bottom"/>
          </w:tcPr>
          <w:p>
            <w:pPr>
              <w:spacing w:after="0"/>
              <w:rPr>
                <w:sz w:val="24"/>
                <w:szCs w:val="24"/>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1,048</w:t>
            </w:r>
          </w:p>
        </w:tc>
        <w:tc>
          <w:tcPr>
            <w:tcW w:w="360" w:type="dxa"/>
            <w:vAlign w:val="bottom"/>
          </w:tcPr>
          <w:p>
            <w:pPr>
              <w:spacing w:after="0"/>
              <w:rPr>
                <w:sz w:val="24"/>
                <w:szCs w:val="24"/>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852</w:t>
            </w:r>
          </w:p>
        </w:tc>
        <w:tc>
          <w:tcPr>
            <w:tcW w:w="300" w:type="dxa"/>
            <w:vAlign w:val="bottom"/>
          </w:tcPr>
          <w:p>
            <w:pPr>
              <w:spacing w:after="0"/>
              <w:rPr>
                <w:sz w:val="24"/>
                <w:szCs w:val="24"/>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1,914</w:t>
            </w:r>
          </w:p>
        </w:tc>
        <w:tc>
          <w:tcPr>
            <w:tcW w:w="34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1,511</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Interest expense</w:t>
            </w:r>
          </w:p>
        </w:tc>
        <w:tc>
          <w:tcPr>
            <w:tcW w:w="24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(467)</w:t>
            </w:r>
          </w:p>
        </w:tc>
        <w:tc>
          <w:tcPr>
            <w:tcW w:w="3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(484)</w:t>
            </w: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(911)</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(984)</w:t>
            </w: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Investment income, net</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176</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151</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140</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142</w:t>
            </w: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Equity in net losses of</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3600" w:type="dxa"/>
            <w:vAlign w:val="bottom"/>
          </w:tcPr>
          <w:p>
            <w:pPr>
              <w:ind w:left="620"/>
              <w:spacing w:after="0"/>
              <w:rPr>
                <w:sz w:val="20"/>
                <w:szCs w:val="20"/>
                <w:color w:val="auto"/>
              </w:rPr>
            </w:pPr>
            <w:r>
              <w:rPr>
                <w:rFonts w:ascii="Courier New" w:cs="Courier New" w:eastAsia="Courier New" w:hAnsi="Courier New"/>
                <w:sz w:val="17"/>
                <w:szCs w:val="17"/>
                <w:color w:val="auto"/>
              </w:rPr>
              <w:t>affiliates</w:t>
            </w:r>
          </w:p>
        </w:tc>
        <w:tc>
          <w:tcPr>
            <w:tcW w:w="24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w:t>
            </w:r>
          </w:p>
        </w:tc>
        <w:tc>
          <w:tcPr>
            <w:tcW w:w="3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w:t>
            </w: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4"/>
        </w:trPr>
        <w:tc>
          <w:tcPr>
            <w:tcW w:w="3600" w:type="dxa"/>
            <w:vAlign w:val="bottom"/>
          </w:tcPr>
          <w:p>
            <w:pPr>
              <w:ind w:left="500"/>
              <w:spacing w:after="0"/>
              <w:rPr>
                <w:sz w:val="20"/>
                <w:szCs w:val="20"/>
                <w:color w:val="auto"/>
              </w:rPr>
            </w:pPr>
            <w:r>
              <w:rPr>
                <w:rFonts w:ascii="Courier New" w:cs="Courier New" w:eastAsia="Courier New" w:hAnsi="Courier New"/>
                <w:sz w:val="17"/>
                <w:szCs w:val="17"/>
                <w:color w:val="auto"/>
              </w:rPr>
              <w:t>Other income (expense)</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w:t>
            </w: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(78)</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w:t>
            </w:r>
          </w:p>
        </w:tc>
      </w:tr>
      <w:tr>
        <w:trPr>
          <w:trHeight w:val="194"/>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(277)</w:t>
            </w:r>
          </w:p>
        </w:tc>
        <w:tc>
          <w:tcPr>
            <w:tcW w:w="3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(341)</w:t>
            </w: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(853)</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(860)</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00" w:type="dxa"/>
            <w:vAlign w:val="bottom"/>
          </w:tcPr>
          <w:p>
            <w:pPr>
              <w:ind w:left="100"/>
              <w:spacing w:after="0"/>
              <w:rPr>
                <w:sz w:val="20"/>
                <w:szCs w:val="20"/>
                <w:color w:val="auto"/>
              </w:rPr>
            </w:pPr>
            <w:r>
              <w:rPr>
                <w:rFonts w:ascii="Courier New" w:cs="Courier New" w:eastAsia="Courier New" w:hAnsi="Courier New"/>
                <w:sz w:val="17"/>
                <w:szCs w:val="17"/>
                <w:color w:val="auto"/>
              </w:rPr>
              <w:t>and Minority Interest</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771</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511</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1,061</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651</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Income tax expense</w:t>
            </w:r>
          </w:p>
        </w:tc>
        <w:tc>
          <w:tcPr>
            <w:tcW w:w="240" w:type="dxa"/>
            <w:vAlign w:val="bottom"/>
          </w:tcPr>
          <w:p>
            <w:pPr>
              <w:spacing w:after="0"/>
              <w:rPr>
                <w:sz w:val="24"/>
                <w:szCs w:val="24"/>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(331)</w:t>
            </w:r>
          </w:p>
        </w:tc>
        <w:tc>
          <w:tcPr>
            <w:tcW w:w="36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(234)</w:t>
            </w:r>
          </w:p>
        </w:tc>
        <w:tc>
          <w:tcPr>
            <w:tcW w:w="300" w:type="dxa"/>
            <w:vAlign w:val="bottom"/>
          </w:tcPr>
          <w:p>
            <w:pPr>
              <w:spacing w:after="0"/>
              <w:rPr>
                <w:sz w:val="24"/>
                <w:szCs w:val="24"/>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(471)</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(310)</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Income Before Minority Interest</w:t>
            </w:r>
          </w:p>
        </w:tc>
        <w:tc>
          <w:tcPr>
            <w:tcW w:w="240" w:type="dxa"/>
            <w:vAlign w:val="bottom"/>
          </w:tcPr>
          <w:p>
            <w:pPr>
              <w:spacing w:after="0"/>
              <w:rPr>
                <w:sz w:val="24"/>
                <w:szCs w:val="24"/>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440</w:t>
            </w:r>
          </w:p>
        </w:tc>
        <w:tc>
          <w:tcPr>
            <w:tcW w:w="360" w:type="dxa"/>
            <w:vAlign w:val="bottom"/>
          </w:tcPr>
          <w:p>
            <w:pPr>
              <w:spacing w:after="0"/>
              <w:rPr>
                <w:sz w:val="24"/>
                <w:szCs w:val="24"/>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277</w:t>
            </w:r>
          </w:p>
        </w:tc>
        <w:tc>
          <w:tcPr>
            <w:tcW w:w="300" w:type="dxa"/>
            <w:vAlign w:val="bottom"/>
          </w:tcPr>
          <w:p>
            <w:pPr>
              <w:spacing w:after="0"/>
              <w:rPr>
                <w:sz w:val="24"/>
                <w:szCs w:val="24"/>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590</w:t>
            </w:r>
          </w:p>
        </w:tc>
        <w:tc>
          <w:tcPr>
            <w:tcW w:w="34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341</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Minority interest</w:t>
            </w:r>
          </w:p>
        </w:tc>
        <w:tc>
          <w:tcPr>
            <w:tcW w:w="240" w:type="dxa"/>
            <w:vAlign w:val="bottom"/>
          </w:tcPr>
          <w:p>
            <w:pPr>
              <w:spacing w:after="0"/>
              <w:rPr>
                <w:sz w:val="24"/>
                <w:szCs w:val="24"/>
                <w:color w:val="auto"/>
              </w:rPr>
            </w:pPr>
          </w:p>
        </w:tc>
        <w:tc>
          <w:tcPr>
            <w:tcW w:w="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w:t>
            </w:r>
          </w:p>
        </w:tc>
        <w:tc>
          <w:tcPr>
            <w:tcW w:w="36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w:t>
            </w:r>
          </w:p>
        </w:tc>
        <w:tc>
          <w:tcPr>
            <w:tcW w:w="300" w:type="dxa"/>
            <w:vAlign w:val="bottom"/>
          </w:tcPr>
          <w:p>
            <w:pPr>
              <w:spacing w:after="0"/>
              <w:rPr>
                <w:sz w:val="24"/>
                <w:szCs w:val="24"/>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430</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573</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327</w:t>
            </w:r>
          </w:p>
        </w:tc>
      </w:tr>
      <w:tr>
        <w:trPr>
          <w:trHeight w:val="389"/>
        </w:trPr>
        <w:tc>
          <w:tcPr>
            <w:tcW w:w="3600" w:type="dxa"/>
            <w:vAlign w:val="bottom"/>
          </w:tcPr>
          <w:p>
            <w:pPr>
              <w:ind w:left="300"/>
              <w:spacing w:after="0"/>
              <w:rPr>
                <w:sz w:val="20"/>
                <w:szCs w:val="20"/>
                <w:color w:val="auto"/>
              </w:rPr>
            </w:pPr>
            <w:r>
              <w:rPr>
                <w:rFonts w:ascii="Courier New" w:cs="Courier New" w:eastAsia="Courier New" w:hAnsi="Courier New"/>
                <w:sz w:val="17"/>
                <w:szCs w:val="17"/>
                <w:color w:val="auto"/>
              </w:rPr>
              <w:t>Net Income per common share</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0.19</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0.12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0.26</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0.14</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Basic weighted average number of</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00" w:type="dxa"/>
            <w:vAlign w:val="bottom"/>
          </w:tcPr>
          <w:p>
            <w:pPr>
              <w:ind w:left="100"/>
              <w:spacing w:after="0"/>
              <w:rPr>
                <w:sz w:val="20"/>
                <w:szCs w:val="20"/>
                <w:color w:val="auto"/>
              </w:rPr>
            </w:pPr>
            <w:r>
              <w:rPr>
                <w:rFonts w:ascii="Courier New" w:cs="Courier New" w:eastAsia="Courier New" w:hAnsi="Courier New"/>
                <w:sz w:val="17"/>
                <w:szCs w:val="17"/>
                <w:color w:val="auto"/>
              </w:rPr>
              <w:t>common shares</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2,207</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2,257</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2,211</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2,257</w:t>
            </w:r>
          </w:p>
        </w:tc>
      </w:tr>
      <w:tr>
        <w:trPr>
          <w:trHeight w:val="389"/>
        </w:trPr>
        <w:tc>
          <w:tcPr>
            <w:tcW w:w="360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00" w:type="dxa"/>
            <w:vAlign w:val="bottom"/>
          </w:tcPr>
          <w:p>
            <w:pPr>
              <w:ind w:left="100"/>
              <w:spacing w:after="0"/>
              <w:rPr>
                <w:sz w:val="20"/>
                <w:szCs w:val="20"/>
                <w:color w:val="auto"/>
              </w:rPr>
            </w:pPr>
            <w:r>
              <w:rPr>
                <w:rFonts w:ascii="Courier New" w:cs="Courier New" w:eastAsia="Courier New" w:hAnsi="Courier New"/>
                <w:sz w:val="17"/>
                <w:szCs w:val="17"/>
                <w:color w:val="auto"/>
              </w:rPr>
              <w:t>common shares</w:t>
            </w:r>
          </w:p>
        </w:tc>
        <w:tc>
          <w:tcPr>
            <w:tcW w:w="24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2,221</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2,267</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2,224</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2,268</w:t>
            </w:r>
          </w:p>
        </w:tc>
      </w:tr>
    </w:tbl>
    <w:p>
      <w:pPr>
        <w:sectPr>
          <w:pgSz w:w="11900" w:h="16838" w:orient="portrait"/>
          <w:cols w:equalWidth="0" w:num="1">
            <w:col w:w="10219"/>
          </w:cols>
          <w:pgMar w:left="240" w:top="697"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gridSpan w:val="3"/>
          </w:tcPr>
          <w:p>
            <w:pPr>
              <w:jc w:val="center"/>
              <w:ind w:left="2696"/>
              <w:spacing w:after="0"/>
              <w:rPr>
                <w:sz w:val="20"/>
                <w:szCs w:val="20"/>
                <w:color w:val="auto"/>
              </w:rPr>
            </w:pPr>
            <w:r>
              <w:rPr>
                <w:rFonts w:ascii="Courier New" w:cs="Courier New" w:eastAsia="Courier New" w:hAnsi="Courier New"/>
                <w:sz w:val="17"/>
                <w:szCs w:val="17"/>
                <w:color w:val="auto"/>
                <w:w w:val="99"/>
              </w:rPr>
              <w:t>COMCAST CORPORATION</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spacing w:after="0"/>
              <w:rPr>
                <w:sz w:val="16"/>
                <w:szCs w:val="16"/>
                <w:color w:val="auto"/>
              </w:rPr>
            </w:pPr>
          </w:p>
        </w:tc>
        <w:tc>
          <w:tcPr>
            <w:tcW w:w="1680" w:type="dxa"/>
            <w:vAlign w:val="bottom"/>
            <w:gridSpan w:val="2"/>
          </w:tcPr>
          <w:p>
            <w:pPr>
              <w:jc w:val="center"/>
              <w:ind w:right="876"/>
              <w:spacing w:after="0"/>
              <w:rPr>
                <w:sz w:val="20"/>
                <w:szCs w:val="20"/>
                <w:color w:val="auto"/>
              </w:rPr>
            </w:pPr>
            <w:r>
              <w:rPr>
                <w:rFonts w:ascii="Courier New" w:cs="Courier New" w:eastAsia="Courier New" w:hAnsi="Courier New"/>
                <w:sz w:val="17"/>
                <w:szCs w:val="17"/>
                <w:color w:val="auto"/>
              </w:rPr>
              <w:t>TABLE 2</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6780" w:type="dxa"/>
            <w:vAlign w:val="bottom"/>
            <w:gridSpan w:val="5"/>
          </w:tcPr>
          <w:p>
            <w:pPr>
              <w:ind w:left="1620"/>
              <w:spacing w:after="0"/>
              <w:rPr>
                <w:sz w:val="20"/>
                <w:szCs w:val="20"/>
                <w:color w:val="auto"/>
              </w:rPr>
            </w:pPr>
            <w:r>
              <w:rPr>
                <w:rFonts w:ascii="Courier New" w:cs="Courier New" w:eastAsia="Courier New" w:hAnsi="Courier New"/>
                <w:sz w:val="17"/>
                <w:szCs w:val="17"/>
                <w:color w:val="auto"/>
              </w:rPr>
              <w:t>Condensed Consolidated Balance Sheet (Unaudited)</w:t>
            </w:r>
          </w:p>
        </w:tc>
      </w:tr>
      <w:tr>
        <w:trPr>
          <w:trHeight w:val="194"/>
        </w:trPr>
        <w:tc>
          <w:tcPr>
            <w:tcW w:w="5420" w:type="dxa"/>
            <w:vAlign w:val="bottom"/>
            <w:gridSpan w:val="3"/>
          </w:tcPr>
          <w:p>
            <w:pPr>
              <w:jc w:val="center"/>
              <w:ind w:left="2696"/>
              <w:spacing w:after="0"/>
              <w:rPr>
                <w:sz w:val="20"/>
                <w:szCs w:val="20"/>
                <w:color w:val="auto"/>
              </w:rPr>
            </w:pPr>
            <w:r>
              <w:rPr>
                <w:rFonts w:ascii="Courier New" w:cs="Courier New" w:eastAsia="Courier New" w:hAnsi="Courier New"/>
                <w:sz w:val="17"/>
                <w:szCs w:val="17"/>
                <w:color w:val="auto"/>
                <w:w w:val="98"/>
              </w:rPr>
              <w:t>(dollars in millions)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June 30,</w:t>
            </w:r>
          </w:p>
        </w:tc>
        <w:tc>
          <w:tcPr>
            <w:tcW w:w="13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December 31,</w:t>
            </w:r>
          </w:p>
        </w:tc>
      </w:tr>
      <w:tr>
        <w:trPr>
          <w:trHeight w:val="194"/>
        </w:trPr>
        <w:tc>
          <w:tcPr>
            <w:tcW w:w="3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2005</w:t>
            </w:r>
          </w:p>
        </w:tc>
        <w:tc>
          <w:tcPr>
            <w:tcW w:w="40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2004</w:t>
            </w:r>
          </w:p>
        </w:tc>
      </w:tr>
      <w:tr>
        <w:trPr>
          <w:trHeight w:val="194"/>
        </w:trPr>
        <w:tc>
          <w:tcPr>
            <w:tcW w:w="3740" w:type="dxa"/>
            <w:vAlign w:val="bottom"/>
          </w:tcPr>
          <w:p>
            <w:pPr>
              <w:spacing w:after="0"/>
              <w:rPr>
                <w:sz w:val="16"/>
                <w:szCs w:val="16"/>
                <w:color w:val="auto"/>
              </w:rPr>
            </w:pPr>
          </w:p>
        </w:tc>
        <w:tc>
          <w:tcPr>
            <w:tcW w:w="168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CURRENT ASSETS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Cash and cash equivalents</w:t>
            </w:r>
          </w:p>
        </w:tc>
        <w:tc>
          <w:tcPr>
            <w:tcW w:w="4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1,335</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452</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Investments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848</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1,555</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Accounts receivable, net</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1,031</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959</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Other current assets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570</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569</w:t>
            </w:r>
          </w:p>
        </w:tc>
      </w:tr>
      <w:tr>
        <w:trPr>
          <w:trHeight w:val="194"/>
        </w:trPr>
        <w:tc>
          <w:tcPr>
            <w:tcW w:w="3740" w:type="dxa"/>
            <w:vAlign w:val="bottom"/>
          </w:tcPr>
          <w:p>
            <w:pPr>
              <w:ind w:left="1220"/>
              <w:spacing w:after="0"/>
              <w:rPr>
                <w:sz w:val="20"/>
                <w:szCs w:val="20"/>
                <w:color w:val="auto"/>
              </w:rPr>
            </w:pPr>
            <w:r>
              <w:rPr>
                <w:rFonts w:ascii="Courier New" w:cs="Courier New" w:eastAsia="Courier New" w:hAnsi="Courier New"/>
                <w:sz w:val="17"/>
                <w:szCs w:val="17"/>
                <w:color w:val="auto"/>
              </w:rPr>
              <w:t>Total current assets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3,784</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3,535</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INVESTMENTS</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13,208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12,812</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PROPERTY AND EQUIPMENT, NET</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18,797</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18,711</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FRANCHISE RIGHTS</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51,075</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51,071</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GOODWILL</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14,118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14,020</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OTHER INTANGIBLE ASSETS, net</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3,658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3,851</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OTHER NONCURRENT ASSETS, net</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707</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694</w:t>
            </w:r>
          </w:p>
        </w:tc>
      </w:tr>
      <w:tr>
        <w:trPr>
          <w:trHeight w:val="194"/>
        </w:trPr>
        <w:tc>
          <w:tcPr>
            <w:tcW w:w="3740" w:type="dxa"/>
            <w:vAlign w:val="bottom"/>
          </w:tcPr>
          <w:p>
            <w:pPr>
              <w:spacing w:after="0"/>
              <w:rPr>
                <w:sz w:val="16"/>
                <w:szCs w:val="16"/>
                <w:color w:val="auto"/>
              </w:rPr>
            </w:pPr>
          </w:p>
        </w:tc>
        <w:tc>
          <w:tcPr>
            <w:tcW w:w="4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105,347</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104,694</w:t>
            </w:r>
          </w:p>
        </w:tc>
      </w:t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CURRENT LIABILITIES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Accounts payable and accrued</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920"/>
              <w:spacing w:after="0"/>
              <w:rPr>
                <w:sz w:val="20"/>
                <w:szCs w:val="20"/>
                <w:color w:val="auto"/>
              </w:rPr>
            </w:pPr>
            <w:r>
              <w:rPr>
                <w:rFonts w:ascii="Courier New" w:cs="Courier New" w:eastAsia="Courier New" w:hAnsi="Courier New"/>
                <w:sz w:val="17"/>
                <w:szCs w:val="17"/>
                <w:color w:val="auto"/>
              </w:rPr>
              <w:t>expenses related to trade</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920"/>
              <w:spacing w:after="0"/>
              <w:rPr>
                <w:sz w:val="20"/>
                <w:szCs w:val="20"/>
                <w:color w:val="auto"/>
              </w:rPr>
            </w:pPr>
            <w:r>
              <w:rPr>
                <w:rFonts w:ascii="Courier New" w:cs="Courier New" w:eastAsia="Courier New" w:hAnsi="Courier New"/>
                <w:sz w:val="17"/>
                <w:szCs w:val="17"/>
                <w:color w:val="auto"/>
              </w:rPr>
              <w:t>creditors</w:t>
            </w:r>
          </w:p>
        </w:tc>
        <w:tc>
          <w:tcPr>
            <w:tcW w:w="4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2,042</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2,041</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Accrued expenses and other</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920"/>
              <w:spacing w:after="0"/>
              <w:rPr>
                <w:sz w:val="20"/>
                <w:szCs w:val="20"/>
                <w:color w:val="auto"/>
              </w:rPr>
            </w:pPr>
            <w:r>
              <w:rPr>
                <w:rFonts w:ascii="Courier New" w:cs="Courier New" w:eastAsia="Courier New" w:hAnsi="Courier New"/>
                <w:sz w:val="17"/>
                <w:szCs w:val="17"/>
                <w:color w:val="auto"/>
              </w:rPr>
              <w:t>current liabilities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2,663</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2,735</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110</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360</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Current portion of long-term</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920"/>
              <w:spacing w:after="0"/>
              <w:rPr>
                <w:sz w:val="20"/>
                <w:szCs w:val="20"/>
                <w:color w:val="auto"/>
              </w:rPr>
            </w:pPr>
            <w:r>
              <w:rPr>
                <w:rFonts w:ascii="Courier New" w:cs="Courier New" w:eastAsia="Courier New" w:hAnsi="Courier New"/>
                <w:sz w:val="17"/>
                <w:szCs w:val="17"/>
                <w:color w:val="auto"/>
              </w:rPr>
              <w:t>debt</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3,367</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1,854</w:t>
            </w:r>
          </w:p>
        </w:tc>
      </w:tr>
      <w:tr>
        <w:trPr>
          <w:trHeight w:val="194"/>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Current portion of</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920"/>
              <w:spacing w:after="0"/>
              <w:rPr>
                <w:sz w:val="20"/>
                <w:szCs w:val="20"/>
                <w:color w:val="auto"/>
              </w:rPr>
            </w:pPr>
            <w:r>
              <w:rPr>
                <w:rFonts w:ascii="Courier New" w:cs="Courier New" w:eastAsia="Courier New" w:hAnsi="Courier New"/>
                <w:sz w:val="17"/>
                <w:szCs w:val="17"/>
                <w:color w:val="auto"/>
              </w:rPr>
              <w:t>exchangeable debt</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1,017</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1,645</w:t>
            </w:r>
          </w:p>
        </w:tc>
      </w:tr>
      <w:tr>
        <w:trPr>
          <w:trHeight w:val="194"/>
        </w:trPr>
        <w:tc>
          <w:tcPr>
            <w:tcW w:w="3740" w:type="dxa"/>
            <w:vAlign w:val="bottom"/>
          </w:tcPr>
          <w:p>
            <w:pPr>
              <w:ind w:left="1220"/>
              <w:spacing w:after="0"/>
              <w:rPr>
                <w:sz w:val="20"/>
                <w:szCs w:val="20"/>
                <w:color w:val="auto"/>
              </w:rPr>
            </w:pPr>
            <w:r>
              <w:rPr>
                <w:rFonts w:ascii="Courier New" w:cs="Courier New" w:eastAsia="Courier New" w:hAnsi="Courier New"/>
                <w:sz w:val="17"/>
                <w:szCs w:val="17"/>
                <w:color w:val="auto"/>
                <w:w w:val="98"/>
              </w:rPr>
              <w:t>Total current liabilities</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9,199</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8,635</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LONG-TERM DEBT, less current</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740" w:type="dxa"/>
            <w:vAlign w:val="bottom"/>
          </w:tcPr>
          <w:p>
            <w:pPr>
              <w:ind w:left="300"/>
              <w:spacing w:after="0"/>
              <w:rPr>
                <w:sz w:val="20"/>
                <w:szCs w:val="20"/>
                <w:color w:val="auto"/>
              </w:rPr>
            </w:pPr>
            <w:r>
              <w:rPr>
                <w:rFonts w:ascii="Courier New" w:cs="Courier New" w:eastAsia="Courier New" w:hAnsi="Courier New"/>
                <w:sz w:val="17"/>
                <w:szCs w:val="17"/>
                <w:color w:val="auto"/>
              </w:rPr>
              <w:t>portion</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19,697</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20,039</w:t>
            </w:r>
          </w:p>
        </w:tc>
      </w:tr>
      <w:tr>
        <w:trPr>
          <w:trHeight w:val="194"/>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LONG-TERM EXCHANGEABLE DEBT, less</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740" w:type="dxa"/>
            <w:vAlign w:val="bottom"/>
          </w:tcPr>
          <w:p>
            <w:pPr>
              <w:ind w:left="300"/>
              <w:spacing w:after="0"/>
              <w:rPr>
                <w:sz w:val="20"/>
                <w:szCs w:val="20"/>
                <w:color w:val="auto"/>
              </w:rPr>
            </w:pPr>
            <w:r>
              <w:rPr>
                <w:rFonts w:ascii="Courier New" w:cs="Courier New" w:eastAsia="Courier New" w:hAnsi="Courier New"/>
                <w:sz w:val="17"/>
                <w:szCs w:val="17"/>
                <w:color w:val="auto"/>
              </w:rPr>
              <w:t>current portion</w:t>
            </w:r>
          </w:p>
        </w:tc>
        <w:tc>
          <w:tcPr>
            <w:tcW w:w="46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49</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54</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26,995</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26,815</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OTHER NONCURRENT LIABILITIES</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7,310</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7,261</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MINORITY INTEREST</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679</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468</w:t>
            </w:r>
          </w:p>
        </w:tc>
      </w:tr>
      <w:tr>
        <w:trPr>
          <w:trHeight w:val="389"/>
        </w:trPr>
        <w:tc>
          <w:tcPr>
            <w:tcW w:w="3740" w:type="dxa"/>
            <w:vAlign w:val="bottom"/>
          </w:tcPr>
          <w:p>
            <w:pPr>
              <w:ind w:left="200"/>
              <w:spacing w:after="0"/>
              <w:rPr>
                <w:sz w:val="20"/>
                <w:szCs w:val="20"/>
                <w:color w:val="auto"/>
              </w:rPr>
            </w:pPr>
            <w:r>
              <w:rPr>
                <w:rFonts w:ascii="Courier New" w:cs="Courier New" w:eastAsia="Courier New" w:hAnsi="Courier New"/>
                <w:sz w:val="17"/>
                <w:szCs w:val="17"/>
                <w:color w:val="auto"/>
              </w:rPr>
              <w:t>STOCKHOLDERS' EQUITY</w:t>
            </w:r>
          </w:p>
        </w:tc>
        <w:tc>
          <w:tcPr>
            <w:tcW w:w="460" w:type="dxa"/>
            <w:vAlign w:val="bottom"/>
          </w:tcPr>
          <w:p>
            <w:pPr>
              <w:spacing w:after="0"/>
              <w:rPr>
                <w:sz w:val="24"/>
                <w:szCs w:val="24"/>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41,418</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41,422</w:t>
            </w:r>
          </w:p>
        </w:tc>
      </w:tr>
      <w:tr>
        <w:trPr>
          <w:trHeight w:val="194"/>
        </w:trPr>
        <w:tc>
          <w:tcPr>
            <w:tcW w:w="3740" w:type="dxa"/>
            <w:vAlign w:val="bottom"/>
          </w:tcPr>
          <w:p>
            <w:pPr>
              <w:spacing w:after="0"/>
              <w:rPr>
                <w:sz w:val="16"/>
                <w:szCs w:val="16"/>
                <w:color w:val="auto"/>
              </w:rPr>
            </w:pPr>
          </w:p>
        </w:tc>
        <w:tc>
          <w:tcPr>
            <w:tcW w:w="4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105,347</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104,694</w:t>
            </w:r>
          </w:p>
        </w:tc>
      </w:tr>
    </w:tbl>
    <w:p>
      <w:pPr>
        <w:sectPr>
          <w:pgSz w:w="11900" w:h="16838" w:orient="portrait"/>
          <w:cols w:equalWidth="0" w:num="1">
            <w:col w:w="10219"/>
          </w:cols>
          <w:pgMar w:left="240" w:top="697" w:right="1440" w:bottom="1440" w:gutter="0" w:footer="0" w:header="0"/>
        </w:sectPr>
      </w:pPr>
    </w:p>
    <w:bookmarkStart w:id="10" w:name="page11"/>
    <w:bookmarkEnd w:id="10"/>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TABLE 3</w:t>
      </w:r>
    </w:p>
    <w:p>
      <w:pPr>
        <w:spacing w:after="0" w:line="4"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6"/>
          <w:szCs w:val="16"/>
          <w:color w:val="auto"/>
        </w:rPr>
        <w:t>Condensed Consolidated Statement of Cash Flows (Unaudited)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gridSpan w:val="3"/>
          </w:tcPr>
          <w:p>
            <w:pPr>
              <w:jc w:val="center"/>
              <w:ind w:left="2656"/>
              <w:spacing w:after="0"/>
              <w:rPr>
                <w:sz w:val="20"/>
                <w:szCs w:val="20"/>
                <w:color w:val="auto"/>
              </w:rPr>
            </w:pPr>
            <w:r>
              <w:rPr>
                <w:rFonts w:ascii="Courier New" w:cs="Courier New" w:eastAsia="Courier New" w:hAnsi="Courier New"/>
                <w:sz w:val="17"/>
                <w:szCs w:val="17"/>
                <w:color w:val="auto"/>
                <w:w w:val="98"/>
              </w:rPr>
              <w:t>(dollars in millions)</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9"/>
        </w:trPr>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8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3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960" w:type="dxa"/>
            <w:vAlign w:val="bottom"/>
          </w:tcPr>
          <w:p>
            <w:pPr>
              <w:spacing w:after="0"/>
              <w:rPr>
                <w:sz w:val="16"/>
                <w:szCs w:val="16"/>
                <w:color w:val="auto"/>
              </w:rPr>
            </w:pPr>
          </w:p>
        </w:tc>
      </w:tr>
      <w:tr>
        <w:trPr>
          <w:trHeight w:val="194"/>
        </w:trPr>
        <w:tc>
          <w:tcPr>
            <w:tcW w:w="3900" w:type="dxa"/>
            <w:vAlign w:val="bottom"/>
          </w:tcPr>
          <w:p>
            <w:pPr>
              <w:spacing w:after="0"/>
              <w:rPr>
                <w:sz w:val="16"/>
                <w:szCs w:val="16"/>
                <w:color w:val="auto"/>
              </w:rPr>
            </w:pPr>
          </w:p>
        </w:tc>
        <w:tc>
          <w:tcPr>
            <w:tcW w:w="298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2005</w:t>
            </w:r>
          </w:p>
        </w:tc>
        <w:tc>
          <w:tcPr>
            <w:tcW w:w="460" w:type="dxa"/>
            <w:vAlign w:val="bottom"/>
          </w:tcPr>
          <w:p>
            <w:pPr>
              <w:spacing w:after="0"/>
              <w:rPr>
                <w:sz w:val="16"/>
                <w:szCs w:val="16"/>
                <w:color w:val="auto"/>
              </w:rPr>
            </w:pP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2004</w:t>
            </w:r>
          </w:p>
        </w:tc>
      </w:tr>
      <w:tr>
        <w:trPr>
          <w:trHeight w:val="194"/>
        </w:trPr>
        <w:tc>
          <w:tcPr>
            <w:tcW w:w="390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500"/>
              <w:spacing w:after="0"/>
              <w:rPr>
                <w:sz w:val="20"/>
                <w:szCs w:val="20"/>
                <w:color w:val="auto"/>
              </w:rPr>
            </w:pPr>
            <w:r>
              <w:rPr>
                <w:rFonts w:ascii="Courier New" w:cs="Courier New" w:eastAsia="Courier New" w:hAnsi="Courier New"/>
                <w:sz w:val="17"/>
                <w:szCs w:val="17"/>
                <w:color w:val="auto"/>
              </w:rPr>
              <w:t>Net cash provided by operating</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620"/>
              <w:spacing w:after="0"/>
              <w:rPr>
                <w:sz w:val="20"/>
                <w:szCs w:val="20"/>
                <w:color w:val="auto"/>
              </w:rPr>
            </w:pPr>
            <w:r>
              <w:rPr>
                <w:rFonts w:ascii="Courier New" w:cs="Courier New" w:eastAsia="Courier New" w:hAnsi="Courier New"/>
                <w:sz w:val="17"/>
                <w:szCs w:val="17"/>
                <w:color w:val="auto"/>
              </w:rPr>
              <w:t>activities</w:t>
            </w:r>
          </w:p>
        </w:tc>
        <w:tc>
          <w:tcPr>
            <w:tcW w:w="4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2,517</w:t>
            </w:r>
          </w:p>
        </w:tc>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2,633</w:t>
            </w: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Proceeds from borrowings</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1,495</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1,058</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Retirements and repayments of debt</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(279)</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(1,617)</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Repurchases of common stock and</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stock options</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(660)</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(511)</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Issuances of common stock</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Other, net</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w:t>
            </w:r>
          </w:p>
        </w:tc>
      </w:tr>
      <w:tr>
        <w:trPr>
          <w:trHeight w:val="389"/>
        </w:trPr>
        <w:tc>
          <w:tcPr>
            <w:tcW w:w="3900" w:type="dxa"/>
            <w:vAlign w:val="bottom"/>
          </w:tcPr>
          <w:p>
            <w:pPr>
              <w:ind w:left="500"/>
              <w:spacing w:after="0"/>
              <w:rPr>
                <w:sz w:val="20"/>
                <w:szCs w:val="20"/>
                <w:color w:val="auto"/>
              </w:rPr>
            </w:pPr>
            <w:r>
              <w:rPr>
                <w:rFonts w:ascii="Courier New" w:cs="Courier New" w:eastAsia="Courier New" w:hAnsi="Courier New"/>
                <w:sz w:val="17"/>
                <w:szCs w:val="17"/>
                <w:color w:val="auto"/>
              </w:rPr>
              <w:t>Net cash provided by (used in)</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620"/>
              <w:spacing w:after="0"/>
              <w:rPr>
                <w:sz w:val="20"/>
                <w:szCs w:val="20"/>
                <w:color w:val="auto"/>
              </w:rPr>
            </w:pPr>
            <w:r>
              <w:rPr>
                <w:rFonts w:ascii="Courier New" w:cs="Courier New" w:eastAsia="Courier New" w:hAnsi="Courier New"/>
                <w:sz w:val="17"/>
                <w:szCs w:val="17"/>
                <w:color w:val="auto"/>
              </w:rPr>
              <w:t>financing activities</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698</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(1,024)</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Capital expenditures</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(1,842)</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(1,732)</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Proceeds from sales and</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restructuring of investments</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317</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Purchases of investments</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(305)</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(106)</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Acquisitions, net of cash acquired</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(336)</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Additions to intangible and other</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noncurrent assets</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(305)</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(453)</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Purchases of short-term</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investments, net</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Proceeds from settlement of contract</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of acquired company</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w:t>
            </w:r>
          </w:p>
        </w:tc>
      </w:tr>
      <w:tr>
        <w:trPr>
          <w:trHeight w:val="389"/>
        </w:trPr>
        <w:tc>
          <w:tcPr>
            <w:tcW w:w="3900" w:type="dxa"/>
            <w:vAlign w:val="bottom"/>
          </w:tcPr>
          <w:p>
            <w:pPr>
              <w:ind w:left="500"/>
              <w:spacing w:after="0"/>
              <w:rPr>
                <w:sz w:val="20"/>
                <w:szCs w:val="20"/>
                <w:color w:val="auto"/>
              </w:rPr>
            </w:pPr>
            <w:r>
              <w:rPr>
                <w:rFonts w:ascii="Courier New" w:cs="Courier New" w:eastAsia="Courier New" w:hAnsi="Courier New"/>
                <w:sz w:val="17"/>
                <w:szCs w:val="17"/>
                <w:color w:val="auto"/>
              </w:rPr>
              <w:t>Net cash used in investing</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620"/>
              <w:spacing w:after="0"/>
              <w:rPr>
                <w:sz w:val="20"/>
                <w:szCs w:val="20"/>
                <w:color w:val="auto"/>
              </w:rPr>
            </w:pPr>
            <w:r>
              <w:rPr>
                <w:rFonts w:ascii="Courier New" w:cs="Courier New" w:eastAsia="Courier New" w:hAnsi="Courier New"/>
                <w:sz w:val="17"/>
                <w:szCs w:val="17"/>
                <w:color w:val="auto"/>
              </w:rPr>
              <w:t>activities</w:t>
            </w:r>
          </w:p>
        </w:tc>
        <w:tc>
          <w:tcPr>
            <w:tcW w:w="4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(2,332)</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(2,565)</w:t>
            </w:r>
          </w:p>
        </w:tc>
      </w:tr>
      <w:tr>
        <w:trPr>
          <w:trHeight w:val="389"/>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INCREASE (DECREASE) IN CASH AND</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200"/>
              <w:spacing w:after="0"/>
              <w:rPr>
                <w:sz w:val="20"/>
                <w:szCs w:val="20"/>
                <w:color w:val="auto"/>
              </w:rPr>
            </w:pPr>
            <w:r>
              <w:rPr>
                <w:rFonts w:ascii="Courier New" w:cs="Courier New" w:eastAsia="Courier New" w:hAnsi="Courier New"/>
                <w:sz w:val="17"/>
                <w:szCs w:val="17"/>
                <w:color w:val="auto"/>
              </w:rPr>
              <w:t>CASH EQUIVALENTS</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883</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(956)</w:t>
            </w: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of period</w:t>
            </w:r>
          </w:p>
        </w:tc>
        <w:tc>
          <w:tcPr>
            <w:tcW w:w="40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452</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1,550</w:t>
            </w: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CASH AND CASH EQUIVALENTS, end of</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period</w:t>
            </w:r>
          </w:p>
        </w:tc>
        <w:tc>
          <w:tcPr>
            <w:tcW w:w="4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1,335</w:t>
            </w:r>
          </w:p>
        </w:tc>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594</w:t>
            </w:r>
          </w:p>
        </w:tc>
      </w:tr>
    </w:tbl>
    <w:p>
      <w:pPr>
        <w:sectPr>
          <w:pgSz w:w="11900" w:h="16838" w:orient="portrait"/>
          <w:cols w:equalWidth="0" w:num="1">
            <w:col w:w="10219"/>
          </w:cols>
          <w:pgMar w:left="240" w:top="697" w:right="1440" w:bottom="1440" w:gutter="0" w:footer="0" w:header="0"/>
        </w:sectPr>
      </w:pPr>
    </w:p>
    <w:bookmarkStart w:id="11" w:name="page12"/>
    <w:bookmarkEnd w:id="11"/>
    <w:p>
      <w:pPr>
        <w:jc w:val="center"/>
        <w:ind w:right="2019"/>
        <w:spacing w:after="0"/>
        <w:rPr>
          <w:sz w:val="20"/>
          <w:szCs w:val="20"/>
          <w:color w:val="auto"/>
        </w:rPr>
      </w:pPr>
      <w:r>
        <w:rPr>
          <w:rFonts w:ascii="Courier New" w:cs="Courier New" w:eastAsia="Courier New" w:hAnsi="Courier New"/>
          <w:sz w:val="17"/>
          <w:szCs w:val="17"/>
          <w:color w:val="auto"/>
        </w:rPr>
        <w:t>TABLE 4</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Calculation of Free Cash Flow (Unaudited) (1)</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8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960" w:type="dxa"/>
            <w:vAlign w:val="bottom"/>
          </w:tcPr>
          <w:p>
            <w:pPr>
              <w:spacing w:after="0"/>
              <w:rPr>
                <w:sz w:val="16"/>
                <w:szCs w:val="16"/>
                <w:color w:val="auto"/>
              </w:rPr>
            </w:pPr>
          </w:p>
        </w:tc>
      </w:tr>
      <w:tr>
        <w:trPr>
          <w:trHeight w:val="194"/>
        </w:trPr>
        <w:tc>
          <w:tcPr>
            <w:tcW w:w="3840" w:type="dxa"/>
            <w:vAlign w:val="bottom"/>
          </w:tcPr>
          <w:p>
            <w:pPr>
              <w:spacing w:after="0"/>
              <w:rPr>
                <w:sz w:val="16"/>
                <w:szCs w:val="16"/>
                <w:color w:val="auto"/>
              </w:rPr>
            </w:pPr>
          </w:p>
        </w:tc>
        <w:tc>
          <w:tcPr>
            <w:tcW w:w="304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2005</w:t>
            </w:r>
          </w:p>
        </w:tc>
        <w:tc>
          <w:tcPr>
            <w:tcW w:w="460" w:type="dxa"/>
            <w:vAlign w:val="bottom"/>
          </w:tcPr>
          <w:p>
            <w:pPr>
              <w:spacing w:after="0"/>
              <w:rPr>
                <w:sz w:val="16"/>
                <w:szCs w:val="16"/>
                <w:color w:val="auto"/>
              </w:rPr>
            </w:pP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2004</w:t>
            </w:r>
          </w:p>
        </w:tc>
      </w:tr>
      <w:tr>
        <w:trPr>
          <w:trHeight w:val="194"/>
        </w:trPr>
        <w:tc>
          <w:tcPr>
            <w:tcW w:w="3840" w:type="dxa"/>
            <w:vAlign w:val="bottom"/>
          </w:tcPr>
          <w:p>
            <w:pPr>
              <w:spacing w:after="0"/>
              <w:rPr>
                <w:sz w:val="16"/>
                <w:szCs w:val="16"/>
                <w:color w:val="auto"/>
              </w:rPr>
            </w:pPr>
          </w:p>
        </w:tc>
        <w:tc>
          <w:tcPr>
            <w:tcW w:w="1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4,239</w:t>
            </w:r>
          </w:p>
        </w:tc>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3,685</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Interest, Net (2)</w:t>
            </w:r>
          </w:p>
        </w:tc>
        <w:tc>
          <w:tcPr>
            <w:tcW w:w="4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(826)</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(906)</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Cash Paid for Income Taxes</w:t>
            </w:r>
          </w:p>
        </w:tc>
        <w:tc>
          <w:tcPr>
            <w:tcW w:w="4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(427)</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4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(1,842)</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(1,732)</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FREE CASH FLOW</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1,144</w:t>
            </w:r>
          </w:p>
        </w:tc>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897</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Changes in Working Capital and Other</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Items (3)</w:t>
            </w:r>
          </w:p>
        </w:tc>
        <w:tc>
          <w:tcPr>
            <w:tcW w:w="4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(469)</w:t>
            </w:r>
          </w:p>
        </w:tc>
        <w:tc>
          <w:tcPr>
            <w:tcW w:w="46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r>
      <w:tr>
        <w:trPr>
          <w:trHeight w:val="389"/>
        </w:trPr>
        <w:tc>
          <w:tcPr>
            <w:tcW w:w="3840" w:type="dxa"/>
            <w:vAlign w:val="bottom"/>
          </w:tcPr>
          <w:p>
            <w:pPr>
              <w:spacing w:after="0"/>
              <w:rPr>
                <w:sz w:val="20"/>
                <w:szCs w:val="20"/>
                <w:color w:val="auto"/>
              </w:rPr>
            </w:pPr>
            <w:r>
              <w:rPr>
                <w:rFonts w:ascii="Courier New" w:cs="Courier New" w:eastAsia="Courier New" w:hAnsi="Courier New"/>
                <w:sz w:val="17"/>
                <w:szCs w:val="17"/>
                <w:color w:val="auto"/>
              </w:rPr>
              <w:t>Net Cash Provided by (Used in)</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Operating Activities Less Capital</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Expenditures</w:t>
            </w:r>
          </w:p>
        </w:tc>
        <w:tc>
          <w:tcPr>
            <w:tcW w:w="4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675</w:t>
            </w:r>
          </w:p>
        </w:tc>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901</w:t>
            </w:r>
          </w:p>
        </w:tc>
      </w:tr>
    </w:tbl>
    <w:p>
      <w:pPr>
        <w:spacing w:after="0" w:line="199" w:lineRule="exact"/>
        <w:rPr>
          <w:sz w:val="20"/>
          <w:szCs w:val="20"/>
          <w:color w:val="auto"/>
        </w:rPr>
      </w:pPr>
    </w:p>
    <w:p>
      <w:pPr>
        <w:ind w:left="500" w:right="2119" w:hanging="496"/>
        <w:spacing w:after="0" w:line="258" w:lineRule="auto"/>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 Cash Flow is defined as Operating Cash Flow less net interest, cash paid for taxes, and capital expenditures. It is unaffected by fluctuations in working capital levels from period to period and cash payments associated with intangible and other noncurrent assets. Cash payments for intangible and other noncurrent assets include long-term technology license agreements including computer software, long term rights to service multi-dwelling properties and programming content for our cable networks. In 2005, cash payments for intangibles and other noncurrent assets of $305 million included licenses and software intangibles of approximately $105 million, multiple dwelling unit contracts of approximately $67 million and acquisitions of additional ownership interests in certain of our majority owned subsidiaries. In 2004, cash payments for intangible assets of $453 million included a long-term strategic license agreement with Gemstar of approximately $250 million, other licenses and software intangibles of $104 million and multiple dwelling unit contracts of $69 million. In 2005, cash payments for acquisitions and investments totaling $439 million included MGM Inc., Liberate Technologies, and MetaTV. In 2004, cash payments for acquisitions primarily related to the acquisition of TechTV.</w:t>
      </w:r>
    </w:p>
    <w:p>
      <w:pPr>
        <w:spacing w:after="0" w:line="382" w:lineRule="exact"/>
        <w:rPr>
          <w:rFonts w:ascii="Courier New" w:cs="Courier New" w:eastAsia="Courier New" w:hAnsi="Courier New"/>
          <w:sz w:val="16"/>
          <w:szCs w:val="16"/>
          <w:color w:val="auto"/>
        </w:rPr>
      </w:pPr>
    </w:p>
    <w:p>
      <w:pPr>
        <w:ind w:left="500" w:right="2639" w:hanging="496"/>
        <w:spacing w:after="0" w:line="239" w:lineRule="auto"/>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interest expense net of interest income and excludes non-cash interest and subsidiary preferred dividends.</w:t>
      </w:r>
    </w:p>
    <w:p>
      <w:pPr>
        <w:spacing w:after="0" w:line="199" w:lineRule="exact"/>
        <w:rPr>
          <w:rFonts w:ascii="Courier New" w:cs="Courier New" w:eastAsia="Courier New" w:hAnsi="Courier New"/>
          <w:sz w:val="17"/>
          <w:szCs w:val="17"/>
          <w:color w:val="auto"/>
        </w:rPr>
      </w:pPr>
    </w:p>
    <w:p>
      <w:pPr>
        <w:ind w:left="500" w:right="2319" w:hanging="496"/>
        <w:spacing w:after="0" w:line="259" w:lineRule="auto"/>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 Cash Flow excludes amounts necessary to reconcile Free Cash Flow to "Net Cash Provided by Operating Activities Less Capital Expenditures." In 2005, this amount includes $383 million in cash payments for liabilities incurred as part of the acquisition of AT&amp;T Broadband, including $220 million in payments representing our share of the settlement payments related to certain AT&amp;T litigation. In 2004, this amount includes income tax refunds of $536 million offset by $199 million in cash payments for liabilities recorded as part of the acquisition of AT&amp;T Broadband.</w:t>
      </w:r>
    </w:p>
    <w:p>
      <w:pPr>
        <w:sectPr>
          <w:pgSz w:w="11900" w:h="16838" w:orient="portrait"/>
          <w:cols w:equalWidth="0" w:num="1">
            <w:col w:w="10219"/>
          </w:cols>
          <w:pgMar w:left="240" w:top="697" w:right="1440" w:bottom="1440" w:gutter="0" w:footer="0" w:header="0"/>
        </w:sectPr>
      </w:pPr>
    </w:p>
    <w:bookmarkStart w:id="12" w:name="page13"/>
    <w:bookmarkEnd w:id="12"/>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TABLE 5</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Pro Forma Financial Data by Business Segment (Unaudited) (1)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(dollars in millions)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78"/>
        </w:trPr>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Corporate</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and</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Content</w:t>
            </w:r>
          </w:p>
        </w:tc>
        <w:tc>
          <w:tcPr>
            <w:tcW w:w="260" w:type="dxa"/>
            <w:vAlign w:val="bottom"/>
          </w:tcPr>
          <w:p>
            <w:pPr>
              <w:spacing w:after="0"/>
              <w:rPr>
                <w:sz w:val="16"/>
                <w:szCs w:val="16"/>
                <w:color w:val="auto"/>
              </w:rPr>
            </w:pPr>
          </w:p>
        </w:tc>
        <w:tc>
          <w:tcPr>
            <w:tcW w:w="11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Other</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7"/>
              </w:rPr>
              <w:t>Cable (2)</w:t>
            </w:r>
          </w:p>
        </w:tc>
        <w:tc>
          <w:tcPr>
            <w:tcW w:w="32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(3)</w:t>
            </w:r>
          </w:p>
        </w:tc>
        <w:tc>
          <w:tcPr>
            <w:tcW w:w="260" w:type="dxa"/>
            <w:vAlign w:val="bottom"/>
          </w:tcPr>
          <w:p>
            <w:pPr>
              <w:spacing w:after="0"/>
              <w:rPr>
                <w:sz w:val="16"/>
                <w:szCs w:val="16"/>
                <w:color w:val="auto"/>
              </w:rPr>
            </w:pPr>
          </w:p>
        </w:tc>
        <w:tc>
          <w:tcPr>
            <w:tcW w:w="11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(4)</w:t>
            </w:r>
          </w:p>
        </w:tc>
        <w:tc>
          <w:tcPr>
            <w:tcW w:w="3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w:t>
            </w:r>
          </w:p>
        </w:tc>
      </w:tr>
      <w:tr>
        <w:trPr>
          <w:trHeight w:val="194"/>
        </w:trPr>
        <w:tc>
          <w:tcPr>
            <w:tcW w:w="3440" w:type="dxa"/>
            <w:vAlign w:val="bottom"/>
          </w:tcPr>
          <w:p>
            <w:pPr>
              <w:spacing w:after="0"/>
              <w:rPr>
                <w:sz w:val="16"/>
                <w:szCs w:val="16"/>
                <w:color w:val="auto"/>
              </w:rPr>
            </w:pPr>
          </w:p>
        </w:tc>
        <w:tc>
          <w:tcPr>
            <w:tcW w:w="146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Three Months Ended June 30, 2005</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5,328</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234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36</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5,598</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2,175</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(63)</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2,209</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1,054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(74)</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1,048</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 Margin</w:t>
            </w:r>
          </w:p>
        </w:tc>
        <w:tc>
          <w:tcPr>
            <w:tcW w:w="30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40.8%</w:t>
            </w:r>
          </w:p>
        </w:tc>
        <w:tc>
          <w:tcPr>
            <w:tcW w:w="3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41.2%</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NM</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39.4%</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Capital Expenditures (5)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936</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950</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Three Months Ended June 30, 2004</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4,840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28</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5,067</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1,920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1,952</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877</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(63)</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852</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 Margin</w:t>
            </w:r>
          </w:p>
        </w:tc>
        <w:tc>
          <w:tcPr>
            <w:tcW w:w="30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39.7%</w:t>
            </w:r>
          </w:p>
        </w:tc>
        <w:tc>
          <w:tcPr>
            <w:tcW w:w="3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38.7%</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NM</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38.5%</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Capital Expenditures (5)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893</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904</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Six Months Ended June 30, 2005</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10,431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447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83</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10,961</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4,170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4,239</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1,945</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(131)</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1,914</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 Margin</w:t>
            </w:r>
          </w:p>
        </w:tc>
        <w:tc>
          <w:tcPr>
            <w:tcW w:w="30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40.0%</w:t>
            </w:r>
          </w:p>
        </w:tc>
        <w:tc>
          <w:tcPr>
            <w:tcW w:w="3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38.8%</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NM</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38.7%</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Capital Expenditures (5)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1,819</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1,842</w:t>
            </w:r>
          </w:p>
        </w:tc>
      </w:tr>
      <w:tr>
        <w:trPr>
          <w:trHeight w:val="389"/>
        </w:trPr>
        <w:tc>
          <w:tcPr>
            <w:tcW w:w="3440" w:type="dxa"/>
            <w:vAlign w:val="bottom"/>
          </w:tcPr>
          <w:p>
            <w:pPr>
              <w:spacing w:after="0"/>
              <w:rPr>
                <w:sz w:val="20"/>
                <w:szCs w:val="20"/>
                <w:color w:val="auto"/>
              </w:rPr>
            </w:pPr>
            <w:r>
              <w:rPr>
                <w:rFonts w:ascii="Courier New" w:cs="Courier New" w:eastAsia="Courier New" w:hAnsi="Courier New"/>
                <w:sz w:val="17"/>
                <w:szCs w:val="17"/>
                <w:color w:val="auto"/>
              </w:rPr>
              <w:t>Six Months Ended June 30, 2004</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9,490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375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114</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9,979</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3,641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3,687</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1,581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(140)</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1,513</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Cash Flow Margin</w:t>
            </w:r>
          </w:p>
        </w:tc>
        <w:tc>
          <w:tcPr>
            <w:tcW w:w="30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38.4%</w:t>
            </w:r>
          </w:p>
        </w:tc>
        <w:tc>
          <w:tcPr>
            <w:tcW w:w="3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38.8%</w:t>
            </w:r>
          </w:p>
        </w:tc>
        <w:tc>
          <w:tcPr>
            <w:tcW w:w="26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NM</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37.0%</w:t>
            </w:r>
          </w:p>
        </w:tc>
      </w:tr>
      <w:tr>
        <w:trPr>
          <w:trHeight w:val="194"/>
        </w:trPr>
        <w:tc>
          <w:tcPr>
            <w:tcW w:w="3440" w:type="dxa"/>
            <w:vAlign w:val="bottom"/>
          </w:tcPr>
          <w:p>
            <w:pPr>
              <w:spacing w:after="0"/>
              <w:rPr>
                <w:sz w:val="20"/>
                <w:szCs w:val="20"/>
                <w:color w:val="auto"/>
              </w:rPr>
            </w:pPr>
            <w:r>
              <w:rPr>
                <w:rFonts w:ascii="Courier New" w:cs="Courier New" w:eastAsia="Courier New" w:hAnsi="Courier New"/>
                <w:sz w:val="17"/>
                <w:szCs w:val="17"/>
                <w:color w:val="auto"/>
              </w:rPr>
              <w:t>Capital Expenditures (5)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1,707</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1,732</w:t>
            </w:r>
          </w:p>
        </w:tc>
      </w:tr>
    </w:tbl>
    <w:p>
      <w:pPr>
        <w:spacing w:after="0" w:line="393" w:lineRule="exact"/>
        <w:rPr>
          <w:sz w:val="20"/>
          <w:szCs w:val="20"/>
          <w:color w:val="auto"/>
        </w:rPr>
      </w:pPr>
    </w:p>
    <w:p>
      <w:pPr>
        <w:ind w:left="500" w:right="2219" w:hanging="496"/>
        <w:spacing w:after="0" w:line="257" w:lineRule="auto"/>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Non-GAAP and Other Financial Measures in Table 7. Historical financial data by business segment, as required under generally accepted accounting principles, is available in the Company's quarterly report on Form 10-Q.</w:t>
      </w:r>
    </w:p>
    <w:p>
      <w:pPr>
        <w:spacing w:after="0" w:line="1" w:lineRule="exact"/>
        <w:rPr>
          <w:rFonts w:ascii="Courier New" w:cs="Courier New" w:eastAsia="Courier New" w:hAnsi="Courier New"/>
          <w:sz w:val="16"/>
          <w:szCs w:val="16"/>
          <w:color w:val="auto"/>
        </w:rPr>
      </w:pPr>
    </w:p>
    <w:p>
      <w:pPr>
        <w:ind w:left="500" w:right="231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All percentages are calculated based on actual amounts. Minor differences may exist due to rounding.</w:t>
      </w:r>
    </w:p>
    <w:p>
      <w:pPr>
        <w:spacing w:after="0" w:line="199" w:lineRule="exact"/>
        <w:rPr>
          <w:rFonts w:ascii="Courier New" w:cs="Courier New" w:eastAsia="Courier New" w:hAnsi="Courier New"/>
          <w:sz w:val="16"/>
          <w:szCs w:val="16"/>
          <w:color w:val="auto"/>
        </w:rPr>
      </w:pPr>
    </w:p>
    <w:p>
      <w:pPr>
        <w:ind w:left="500" w:right="3139" w:hanging="496"/>
        <w:spacing w:after="0" w:line="239"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data includes the results of the 30,000 cable subscribers acquired from US Coastal Cable in April 2004.</w:t>
      </w:r>
    </w:p>
    <w:p>
      <w:pPr>
        <w:spacing w:after="0" w:line="199" w:lineRule="exact"/>
        <w:rPr>
          <w:rFonts w:ascii="Courier New" w:cs="Courier New" w:eastAsia="Courier New" w:hAnsi="Courier New"/>
          <w:sz w:val="17"/>
          <w:szCs w:val="17"/>
          <w:color w:val="auto"/>
        </w:rPr>
      </w:pPr>
    </w:p>
    <w:p>
      <w:pPr>
        <w:ind w:left="500" w:right="2119" w:hanging="496"/>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Content includes our national networks E! Entertainment Television and Style Network (E! Networks), The Golf Channel, Outdoor Life Network, G4 and AZN Television.</w:t>
      </w:r>
    </w:p>
    <w:p>
      <w:pPr>
        <w:spacing w:after="0" w:line="200" w:lineRule="exact"/>
        <w:rPr>
          <w:rFonts w:ascii="Courier New" w:cs="Courier New" w:eastAsia="Courier New" w:hAnsi="Courier New"/>
          <w:sz w:val="17"/>
          <w:szCs w:val="17"/>
          <w:color w:val="auto"/>
        </w:rPr>
      </w:pPr>
    </w:p>
    <w:p>
      <w:pPr>
        <w:ind w:left="500" w:right="2439" w:hanging="496"/>
        <w:spacing w:after="0" w:line="241"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and Other includes Comcast-Spectacor, Corporate activities and all other businesses not presented in the Cable or Content segments and elimination entries. Beginning in the third quarter of 2004, Comcast-Spectacor includes the operating results of its investment in a sports-event related business.</w:t>
      </w:r>
    </w:p>
    <w:p>
      <w:pPr>
        <w:spacing w:after="0" w:line="199" w:lineRule="exact"/>
        <w:rPr>
          <w:rFonts w:ascii="Courier New" w:cs="Courier New" w:eastAsia="Courier New" w:hAnsi="Courier New"/>
          <w:sz w:val="17"/>
          <w:szCs w:val="17"/>
          <w:color w:val="auto"/>
        </w:rPr>
      </w:pPr>
    </w:p>
    <w:p>
      <w:pPr>
        <w:ind w:left="500" w:right="2539" w:hanging="496"/>
        <w:spacing w:after="0" w:line="239"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Cable segment's capital expenditures are comprised of the following categories:</w:t>
      </w:r>
    </w:p>
    <w:p>
      <w:pPr>
        <w:sectPr>
          <w:pgSz w:w="11900" w:h="16838" w:orient="portrait"/>
          <w:cols w:equalWidth="0" w:num="1">
            <w:col w:w="10219"/>
          </w:cols>
          <w:pgMar w:left="240" w:top="697"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YTD</w:t>
            </w:r>
          </w:p>
        </w:tc>
        <w:tc>
          <w:tcPr>
            <w:tcW w:w="360" w:type="dxa"/>
            <w:vAlign w:val="bottom"/>
          </w:tcPr>
          <w:p>
            <w:pPr>
              <w:spacing w:after="0"/>
              <w:rPr>
                <w:sz w:val="16"/>
                <w:szCs w:val="16"/>
                <w:color w:val="auto"/>
              </w:rPr>
            </w:pP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YTD</w:t>
            </w:r>
          </w:p>
        </w:tc>
      </w:tr>
      <w:tr>
        <w:trPr>
          <w:trHeight w:val="194"/>
        </w:trPr>
        <w:tc>
          <w:tcPr>
            <w:tcW w:w="3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2Q05</w:t>
            </w:r>
          </w:p>
        </w:tc>
        <w:tc>
          <w:tcPr>
            <w:tcW w:w="34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2Q04</w:t>
            </w:r>
          </w:p>
        </w:tc>
        <w:tc>
          <w:tcPr>
            <w:tcW w:w="36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2Q05</w:t>
            </w:r>
          </w:p>
        </w:tc>
        <w:tc>
          <w:tcPr>
            <w:tcW w:w="360" w:type="dxa"/>
            <w:vAlign w:val="bottom"/>
          </w:tcPr>
          <w:p>
            <w:pPr>
              <w:spacing w:after="0"/>
              <w:rPr>
                <w:sz w:val="16"/>
                <w:szCs w:val="16"/>
                <w:color w:val="auto"/>
              </w:rPr>
            </w:pP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2Q04</w:t>
            </w:r>
          </w:p>
        </w:tc>
      </w:tr>
      <w:tr>
        <w:trPr>
          <w:trHeight w:val="194"/>
        </w:trPr>
        <w:tc>
          <w:tcPr>
            <w:tcW w:w="3240" w:type="dxa"/>
            <w:vAlign w:val="bottom"/>
          </w:tcPr>
          <w:p>
            <w:pPr>
              <w:spacing w:after="0"/>
              <w:rPr>
                <w:sz w:val="16"/>
                <w:szCs w:val="16"/>
                <w:color w:val="auto"/>
              </w:rPr>
            </w:pPr>
          </w:p>
        </w:tc>
        <w:tc>
          <w:tcPr>
            <w:tcW w:w="15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240" w:type="dxa"/>
            <w:vAlign w:val="bottom"/>
          </w:tcPr>
          <w:p>
            <w:pPr>
              <w:spacing w:after="0"/>
              <w:rPr>
                <w:sz w:val="20"/>
                <w:szCs w:val="20"/>
                <w:color w:val="auto"/>
              </w:rPr>
            </w:pPr>
            <w:r>
              <w:rPr>
                <w:rFonts w:ascii="Courier New" w:cs="Courier New" w:eastAsia="Courier New" w:hAnsi="Courier New"/>
                <w:sz w:val="17"/>
                <w:szCs w:val="17"/>
                <w:color w:val="auto"/>
              </w:rPr>
              <w:t>New Service Offerings</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4"/>
        </w:trPr>
        <w:tc>
          <w:tcPr>
            <w:tcW w:w="390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Customer Premise Equipment (CPE) $</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469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932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630</w:t>
            </w:r>
          </w:p>
        </w:tc>
      </w:tr>
      <w:tr>
        <w:trPr>
          <w:trHeight w:val="194"/>
        </w:trPr>
        <w:tc>
          <w:tcPr>
            <w:tcW w:w="3240" w:type="dxa"/>
            <w:vAlign w:val="bottom"/>
          </w:tcPr>
          <w:p>
            <w:pPr>
              <w:ind w:left="400"/>
              <w:spacing w:after="0"/>
              <w:rPr>
                <w:sz w:val="20"/>
                <w:szCs w:val="20"/>
                <w:color w:val="auto"/>
              </w:rPr>
            </w:pPr>
            <w:r>
              <w:rPr>
                <w:rFonts w:ascii="Courier New" w:cs="Courier New" w:eastAsia="Courier New" w:hAnsi="Courier New"/>
                <w:sz w:val="17"/>
                <w:szCs w:val="17"/>
                <w:color w:val="auto"/>
              </w:rPr>
              <w:t>Scalable Infrastructure</w:t>
            </w:r>
          </w:p>
        </w:tc>
        <w:tc>
          <w:tcPr>
            <w:tcW w:w="6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227</w:t>
            </w:r>
          </w:p>
        </w:tc>
        <w:tc>
          <w:tcPr>
            <w:tcW w:w="3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110</w:t>
            </w:r>
          </w:p>
        </w:tc>
        <w:tc>
          <w:tcPr>
            <w:tcW w:w="3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436</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231</w:t>
            </w:r>
          </w:p>
        </w:tc>
      </w:tr>
      <w:tr>
        <w:trPr>
          <w:trHeight w:val="194"/>
        </w:trPr>
        <w:tc>
          <w:tcPr>
            <w:tcW w:w="3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696</w:t>
            </w:r>
          </w:p>
        </w:tc>
        <w:tc>
          <w:tcPr>
            <w:tcW w:w="3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448</w:t>
            </w:r>
          </w:p>
        </w:tc>
        <w:tc>
          <w:tcPr>
            <w:tcW w:w="3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1,368</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861</w:t>
            </w:r>
          </w:p>
        </w:tc>
      </w:tr>
      <w:tr>
        <w:trPr>
          <w:trHeight w:val="1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Recurring Capital Projects</w:t>
            </w: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4"/>
        </w:trPr>
        <w:tc>
          <w:tcPr>
            <w:tcW w:w="3240" w:type="dxa"/>
            <w:vAlign w:val="bottom"/>
          </w:tcPr>
          <w:p>
            <w:pPr>
              <w:ind w:left="400"/>
              <w:spacing w:after="0"/>
              <w:rPr>
                <w:sz w:val="20"/>
                <w:szCs w:val="20"/>
                <w:color w:val="auto"/>
              </w:rPr>
            </w:pPr>
            <w:r>
              <w:rPr>
                <w:rFonts w:ascii="Courier New" w:cs="Courier New" w:eastAsia="Courier New" w:hAnsi="Courier New"/>
                <w:sz w:val="17"/>
                <w:szCs w:val="17"/>
                <w:color w:val="auto"/>
              </w:rPr>
              <w:t>Line Extensions</w:t>
            </w:r>
          </w:p>
        </w:tc>
        <w:tc>
          <w:tcPr>
            <w:tcW w:w="6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81</w:t>
            </w:r>
          </w:p>
        </w:tc>
        <w:tc>
          <w:tcPr>
            <w:tcW w:w="3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81</w:t>
            </w:r>
          </w:p>
        </w:tc>
        <w:tc>
          <w:tcPr>
            <w:tcW w:w="3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145</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141</w:t>
            </w:r>
          </w:p>
        </w:tc>
      </w:tr>
      <w:tr>
        <w:trPr>
          <w:trHeight w:val="194"/>
        </w:trPr>
        <w:tc>
          <w:tcPr>
            <w:tcW w:w="3240" w:type="dxa"/>
            <w:vAlign w:val="bottom"/>
          </w:tcPr>
          <w:p>
            <w:pPr>
              <w:ind w:left="400"/>
              <w:spacing w:after="0"/>
              <w:rPr>
                <w:sz w:val="20"/>
                <w:szCs w:val="20"/>
                <w:color w:val="auto"/>
              </w:rPr>
            </w:pPr>
            <w:r>
              <w:rPr>
                <w:rFonts w:ascii="Courier New" w:cs="Courier New" w:eastAsia="Courier New" w:hAnsi="Courier New"/>
                <w:sz w:val="17"/>
                <w:szCs w:val="17"/>
                <w:color w:val="auto"/>
              </w:rPr>
              <w:t>Support Capital</w:t>
            </w:r>
          </w:p>
        </w:tc>
        <w:tc>
          <w:tcPr>
            <w:tcW w:w="6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92</w:t>
            </w:r>
          </w:p>
        </w:tc>
        <w:tc>
          <w:tcPr>
            <w:tcW w:w="3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76</w:t>
            </w:r>
          </w:p>
        </w:tc>
        <w:tc>
          <w:tcPr>
            <w:tcW w:w="3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139</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165</w:t>
            </w:r>
          </w:p>
        </w:tc>
      </w:tr>
      <w:tr>
        <w:trPr>
          <w:trHeight w:val="194"/>
        </w:trPr>
        <w:tc>
          <w:tcPr>
            <w:tcW w:w="3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173</w:t>
            </w:r>
          </w:p>
        </w:tc>
        <w:tc>
          <w:tcPr>
            <w:tcW w:w="3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157</w:t>
            </w:r>
          </w:p>
        </w:tc>
        <w:tc>
          <w:tcPr>
            <w:tcW w:w="3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284</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306</w:t>
            </w:r>
          </w:p>
        </w:tc>
      </w:tr>
      <w:tr>
        <w:trPr>
          <w:trHeight w:val="5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Upgrades</w:t>
            </w:r>
          </w:p>
        </w:tc>
        <w:tc>
          <w:tcPr>
            <w:tcW w:w="660" w:type="dxa"/>
            <w:vAlign w:val="bottom"/>
          </w:tcPr>
          <w:p>
            <w:pPr>
              <w:spacing w:after="0"/>
              <w:rPr>
                <w:sz w:val="24"/>
                <w:szCs w:val="24"/>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w:t>
            </w:r>
          </w:p>
        </w:tc>
        <w:tc>
          <w:tcPr>
            <w:tcW w:w="340" w:type="dxa"/>
            <w:vAlign w:val="bottom"/>
          </w:tcPr>
          <w:p>
            <w:pPr>
              <w:spacing w:after="0"/>
              <w:rPr>
                <w:sz w:val="24"/>
                <w:szCs w:val="24"/>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288</w:t>
            </w:r>
          </w:p>
        </w:tc>
        <w:tc>
          <w:tcPr>
            <w:tcW w:w="360" w:type="dxa"/>
            <w:vAlign w:val="bottom"/>
          </w:tcPr>
          <w:p>
            <w:pPr>
              <w:spacing w:after="0"/>
              <w:rPr>
                <w:sz w:val="24"/>
                <w:szCs w:val="24"/>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167</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540</w:t>
            </w:r>
          </w:p>
        </w:tc>
      </w:tr>
      <w:tr>
        <w:trPr>
          <w:trHeight w:val="1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936</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1,819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1,707</w:t>
            </w:r>
          </w:p>
        </w:tc>
      </w:tr>
    </w:tbl>
    <w:p>
      <w:pPr>
        <w:spacing w:after="0" w:line="393"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195"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TABLE 6</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Pro Forma Data - Cable Segment Components (Unaudited) (1) (2)</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(dollars in millions, except average monthly revenue per subscriber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23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Three Months Ended</w:t>
            </w:r>
          </w:p>
        </w:tc>
        <w:tc>
          <w:tcPr>
            <w:tcW w:w="300" w:type="dxa"/>
            <w:vAlign w:val="bottom"/>
          </w:tcPr>
          <w:p>
            <w:pPr>
              <w:spacing w:after="0"/>
              <w:rPr>
                <w:sz w:val="16"/>
                <w:szCs w:val="16"/>
                <w:color w:val="auto"/>
              </w:rPr>
            </w:pPr>
          </w:p>
        </w:tc>
        <w:tc>
          <w:tcPr>
            <w:tcW w:w="198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720" w:type="dxa"/>
            <w:vAlign w:val="bottom"/>
          </w:tcPr>
          <w:p>
            <w:pPr>
              <w:spacing w:after="0"/>
              <w:rPr>
                <w:sz w:val="16"/>
                <w:szCs w:val="16"/>
                <w:color w:val="auto"/>
              </w:rPr>
            </w:pPr>
          </w:p>
        </w:tc>
      </w:tr>
      <w:tr>
        <w:trPr>
          <w:trHeight w:val="194"/>
        </w:trPr>
        <w:tc>
          <w:tcPr>
            <w:tcW w:w="3640" w:type="dxa"/>
            <w:vAlign w:val="bottom"/>
          </w:tcPr>
          <w:p>
            <w:pPr>
              <w:spacing w:after="0"/>
              <w:rPr>
                <w:sz w:val="16"/>
                <w:szCs w:val="16"/>
                <w:color w:val="auto"/>
              </w:rPr>
            </w:pPr>
          </w:p>
        </w:tc>
        <w:tc>
          <w:tcPr>
            <w:tcW w:w="2380" w:type="dxa"/>
            <w:vAlign w:val="bottom"/>
            <w:gridSpan w:val="4"/>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28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2005</w:t>
            </w:r>
          </w:p>
        </w:tc>
        <w:tc>
          <w:tcPr>
            <w:tcW w:w="360" w:type="dxa"/>
            <w:vAlign w:val="bottom"/>
          </w:tcPr>
          <w:p>
            <w:pPr>
              <w:spacing w:after="0"/>
              <w:rPr>
                <w:sz w:val="16"/>
                <w:szCs w:val="16"/>
                <w:color w:val="auto"/>
              </w:rPr>
            </w:pPr>
          </w:p>
        </w:tc>
        <w:tc>
          <w:tcPr>
            <w:tcW w:w="86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3"/>
              </w:rPr>
              <w:t>2004</w:t>
            </w:r>
          </w:p>
        </w:tc>
        <w:tc>
          <w:tcPr>
            <w:tcW w:w="30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2005</w:t>
            </w:r>
          </w:p>
        </w:tc>
        <w:tc>
          <w:tcPr>
            <w:tcW w:w="340" w:type="dxa"/>
            <w:vAlign w:val="bottom"/>
          </w:tcPr>
          <w:p>
            <w:pPr>
              <w:spacing w:after="0"/>
              <w:rPr>
                <w:sz w:val="16"/>
                <w:szCs w:val="16"/>
                <w:color w:val="auto"/>
              </w:rPr>
            </w:pPr>
          </w:p>
        </w:tc>
        <w:tc>
          <w:tcPr>
            <w:tcW w:w="7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2004</w:t>
            </w:r>
          </w:p>
        </w:tc>
      </w:tr>
      <w:tr>
        <w:trPr>
          <w:trHeight w:val="194"/>
        </w:trPr>
        <w:tc>
          <w:tcPr>
            <w:tcW w:w="3640" w:type="dxa"/>
            <w:vAlign w:val="bottom"/>
          </w:tcPr>
          <w:p>
            <w:pPr>
              <w:spacing w:after="0"/>
              <w:rPr>
                <w:sz w:val="16"/>
                <w:szCs w:val="16"/>
                <w:color w:val="auto"/>
              </w:rPr>
            </w:pPr>
          </w:p>
        </w:tc>
        <w:tc>
          <w:tcPr>
            <w:tcW w:w="116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Video (3)</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3,441</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3,249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6,803</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6,433</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High-Speed Internet</w:t>
            </w:r>
          </w:p>
        </w:tc>
        <w:tc>
          <w:tcPr>
            <w:tcW w:w="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982</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763</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1,907</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1,461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Phone</w:t>
            </w:r>
          </w:p>
        </w:tc>
        <w:tc>
          <w:tcPr>
            <w:tcW w:w="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170</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176</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343</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355</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Advertising</w:t>
            </w:r>
          </w:p>
        </w:tc>
        <w:tc>
          <w:tcPr>
            <w:tcW w:w="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362</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330</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658</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599</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Other (4)</w:t>
            </w:r>
          </w:p>
        </w:tc>
        <w:tc>
          <w:tcPr>
            <w:tcW w:w="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203</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159</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383</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320</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Franchise Fees</w:t>
            </w:r>
          </w:p>
        </w:tc>
        <w:tc>
          <w:tcPr>
            <w:tcW w:w="26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170</w:t>
            </w:r>
          </w:p>
        </w:tc>
        <w:tc>
          <w:tcPr>
            <w:tcW w:w="360" w:type="dxa"/>
            <w:vAlign w:val="bottom"/>
          </w:tcPr>
          <w:p>
            <w:pPr>
              <w:spacing w:after="0"/>
              <w:rPr>
                <w:sz w:val="16"/>
                <w:szCs w:val="16"/>
                <w:color w:val="auto"/>
              </w:rPr>
            </w:pP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163</w:t>
            </w:r>
          </w:p>
        </w:tc>
        <w:tc>
          <w:tcPr>
            <w:tcW w:w="300" w:type="dxa"/>
            <w:vAlign w:val="bottom"/>
          </w:tcPr>
          <w:p>
            <w:pPr>
              <w:spacing w:after="0"/>
              <w:rPr>
                <w:sz w:val="16"/>
                <w:szCs w:val="16"/>
                <w:color w:val="auto"/>
              </w:rPr>
            </w:pP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337</w:t>
            </w:r>
          </w:p>
        </w:tc>
        <w:tc>
          <w:tcPr>
            <w:tcW w:w="340" w:type="dxa"/>
            <w:vAlign w:val="bottom"/>
          </w:tcPr>
          <w:p>
            <w:pPr>
              <w:spacing w:after="0"/>
              <w:rPr>
                <w:sz w:val="16"/>
                <w:szCs w:val="16"/>
                <w:color w:val="auto"/>
              </w:rPr>
            </w:pP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322</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Total Revenues</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5,328</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4,840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10,431</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9,490</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2,175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1,920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4,170</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3,641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1,054</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877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1,945</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1,581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Operating Cash Flow Margin</w:t>
            </w:r>
          </w:p>
        </w:tc>
        <w:tc>
          <w:tcPr>
            <w:tcW w:w="26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40.8%</w:t>
            </w:r>
          </w:p>
        </w:tc>
        <w:tc>
          <w:tcPr>
            <w:tcW w:w="3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39.7%</w:t>
            </w: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40.0%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38.4%</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936</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893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1,819</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1,707</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Operating Cash Flow, Net of Capital</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3640" w:type="dxa"/>
            <w:vAlign w:val="bottom"/>
          </w:tcPr>
          <w:p>
            <w:pPr>
              <w:ind w:left="100"/>
              <w:spacing w:after="0"/>
              <w:rPr>
                <w:sz w:val="20"/>
                <w:szCs w:val="20"/>
                <w:color w:val="auto"/>
              </w:rPr>
            </w:pPr>
            <w:r>
              <w:rPr>
                <w:rFonts w:ascii="Courier New" w:cs="Courier New" w:eastAsia="Courier New" w:hAnsi="Courier New"/>
                <w:sz w:val="17"/>
                <w:szCs w:val="17"/>
                <w:color w:val="auto"/>
              </w:rPr>
              <w:t>Expenditures</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1,239</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1,027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2,351</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1,934</w:t>
            </w:r>
          </w:p>
        </w:tc>
      </w:tr>
    </w:tbl>
    <w:p>
      <w:pPr>
        <w:sectPr>
          <w:pgSz w:w="11900" w:h="16838" w:orient="portrait"/>
          <w:cols w:equalWidth="0" w:num="1">
            <w:col w:w="10219"/>
          </w:cols>
          <w:pgMar w:left="240" w:top="1086"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2Q05</w:t>
            </w:r>
          </w:p>
        </w:tc>
        <w:tc>
          <w:tcPr>
            <w:tcW w:w="360" w:type="dxa"/>
            <w:vAlign w:val="bottom"/>
          </w:tcPr>
          <w:p>
            <w:pPr>
              <w:spacing w:after="0"/>
              <w:rPr>
                <w:sz w:val="16"/>
                <w:szCs w:val="16"/>
                <w:color w:val="auto"/>
              </w:rPr>
            </w:pPr>
          </w:p>
        </w:tc>
        <w:tc>
          <w:tcPr>
            <w:tcW w:w="96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2Q04</w:t>
            </w:r>
          </w:p>
        </w:tc>
        <w:tc>
          <w:tcPr>
            <w:tcW w:w="340" w:type="dxa"/>
            <w:vAlign w:val="bottom"/>
          </w:tcPr>
          <w:p>
            <w:pPr>
              <w:spacing w:after="0"/>
              <w:rPr>
                <w:sz w:val="16"/>
                <w:szCs w:val="16"/>
                <w:color w:val="auto"/>
              </w:rPr>
            </w:pPr>
          </w:p>
        </w:tc>
        <w:tc>
          <w:tcPr>
            <w:tcW w:w="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1Q05</w:t>
            </w:r>
          </w:p>
        </w:tc>
      </w:tr>
      <w:tr>
        <w:trPr>
          <w:trHeight w:val="194"/>
        </w:trPr>
        <w:tc>
          <w:tcPr>
            <w:tcW w:w="8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3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Video</w:t>
            </w: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Homes Passed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41,200</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40,300</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41,000</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Basic Subscribers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21,448</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21,485</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21,525</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Basic Penetration</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52.1%</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53.3%</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52.6%</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Quarterly Net Basic Subscriber</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Additions (000's)</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(96)</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389"/>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Digital Subscribers (000's)</w:t>
            </w:r>
          </w:p>
        </w:tc>
        <w:tc>
          <w:tcPr>
            <w:tcW w:w="360" w:type="dxa"/>
            <w:vAlign w:val="bottom"/>
          </w:tcPr>
          <w:p>
            <w:pPr>
              <w:spacing w:after="0"/>
              <w:rPr>
                <w:sz w:val="24"/>
                <w:szCs w:val="24"/>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9,140</w:t>
            </w:r>
          </w:p>
        </w:tc>
        <w:tc>
          <w:tcPr>
            <w:tcW w:w="360" w:type="dxa"/>
            <w:vAlign w:val="bottom"/>
          </w:tcPr>
          <w:p>
            <w:pPr>
              <w:spacing w:after="0"/>
              <w:rPr>
                <w:sz w:val="24"/>
                <w:szCs w:val="24"/>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8,065</w:t>
            </w:r>
          </w:p>
        </w:tc>
        <w:tc>
          <w:tcPr>
            <w:tcW w:w="3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8,856</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Digital Penetration</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42.6%</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37.5%</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41.1%</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Quarterly Net Digital Subscriber</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Additions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284</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206</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Digital Set-Top Boxes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13,859</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11,926</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13,365</w:t>
            </w:r>
          </w:p>
        </w:tc>
      </w:tr>
      <w:tr>
        <w:trPr>
          <w:trHeight w:val="389"/>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Monthly Average Video Revenue per</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Basic Subscriber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53.38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50.29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52.04</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Monthly Average Total Revenue per</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Basic Subscriber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82.67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74.91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78.99</w:t>
            </w:r>
          </w:p>
        </w:tc>
      </w:tr>
      <w:tr>
        <w:trPr>
          <w:trHeight w:val="389"/>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High-Speed Internet</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"Available" Homes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40,758</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37,323</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40,483</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Subscribers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7,705</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6,007</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7,408</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Penetration</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18.9%</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16.1%</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18.3%</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Quarterly Net Subscriber Additions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(000's)</w:t>
            </w: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297</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327</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414</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Monthly Average Revenue per</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Subscriber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43.34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43.50</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42.81</w:t>
            </w:r>
          </w:p>
        </w:tc>
      </w:tr>
      <w:tr>
        <w:trPr>
          <w:trHeight w:val="389"/>
        </w:trPr>
        <w:tc>
          <w:tcPr>
            <w:tcW w:w="860" w:type="dxa"/>
            <w:vAlign w:val="bottom"/>
          </w:tcPr>
          <w:p>
            <w:pPr>
              <w:spacing w:after="0"/>
              <w:rPr>
                <w:sz w:val="20"/>
                <w:szCs w:val="20"/>
                <w:color w:val="auto"/>
              </w:rPr>
            </w:pPr>
            <w:r>
              <w:rPr>
                <w:rFonts w:ascii="Courier New" w:cs="Courier New" w:eastAsia="Courier New" w:hAnsi="Courier New"/>
                <w:sz w:val="17"/>
                <w:szCs w:val="17"/>
                <w:color w:val="auto"/>
              </w:rPr>
              <w:t>Phone</w:t>
            </w: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"Available" Homes (000's) (5)</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12,227</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9,766</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11,277</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Subscribers (000's)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1,230</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1,225</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1,228</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Penetration</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10.1%</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12.5%</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10.9%</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Quarterly Net Subscriber Additions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(000's)</w:t>
            </w: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w:t>
            </w:r>
          </w:p>
        </w:tc>
        <w:tc>
          <w:tcPr>
            <w:tcW w:w="3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Monthly Average Revenue per</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36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Subscriber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46.06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47.71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47.07</w:t>
            </w:r>
          </w:p>
        </w:tc>
      </w:tr>
      <w:tr>
        <w:trPr>
          <w:trHeight w:val="389"/>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Total Revenue Generating Units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4"/>
        </w:trPr>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(000's)</w:t>
            </w:r>
          </w:p>
        </w:tc>
        <w:tc>
          <w:tcPr>
            <w:tcW w:w="2780" w:type="dxa"/>
            <w:vAlign w:val="bottom"/>
          </w:tcPr>
          <w:p>
            <w:pPr>
              <w:jc w:val="right"/>
              <w:ind w:right="2336"/>
              <w:spacing w:after="0"/>
              <w:rPr>
                <w:sz w:val="20"/>
                <w:szCs w:val="20"/>
                <w:color w:val="auto"/>
              </w:rPr>
            </w:pPr>
            <w:r>
              <w:rPr>
                <w:rFonts w:ascii="Courier New" w:cs="Courier New" w:eastAsia="Courier New" w:hAnsi="Courier New"/>
                <w:sz w:val="17"/>
                <w:szCs w:val="17"/>
                <w:color w:val="auto"/>
              </w:rPr>
              <w:t>(6)</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39,523</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36,782</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39,017</w:t>
            </w:r>
          </w:p>
        </w:tc>
      </w:tr>
      <w:tr>
        <w:trPr>
          <w:trHeight w:val="194"/>
        </w:trPr>
        <w:tc>
          <w:tcPr>
            <w:tcW w:w="3640" w:type="dxa"/>
            <w:vAlign w:val="bottom"/>
            <w:gridSpan w:val="2"/>
          </w:tcPr>
          <w:p>
            <w:pPr>
              <w:spacing w:after="0"/>
              <w:rPr>
                <w:sz w:val="20"/>
                <w:szCs w:val="20"/>
                <w:color w:val="auto"/>
              </w:rPr>
            </w:pPr>
            <w:r>
              <w:rPr>
                <w:rFonts w:ascii="Courier New" w:cs="Courier New" w:eastAsia="Courier New" w:hAnsi="Courier New"/>
                <w:sz w:val="17"/>
                <w:szCs w:val="17"/>
                <w:color w:val="auto"/>
              </w:rPr>
              <w:t>Quarterly Net Additions</w:t>
            </w:r>
          </w:p>
        </w:tc>
        <w:tc>
          <w:tcPr>
            <w:tcW w:w="36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507</w:t>
            </w:r>
          </w:p>
        </w:tc>
        <w:tc>
          <w:tcPr>
            <w:tcW w:w="36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415</w:t>
            </w:r>
          </w:p>
        </w:tc>
        <w:tc>
          <w:tcPr>
            <w:tcW w:w="3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589</w:t>
            </w:r>
          </w:p>
        </w:tc>
      </w:tr>
    </w:tbl>
    <w:p>
      <w:pPr>
        <w:spacing w:after="0" w:line="199" w:lineRule="exact"/>
        <w:rPr>
          <w:sz w:val="20"/>
          <w:szCs w:val="20"/>
          <w:color w:val="auto"/>
        </w:rPr>
      </w:pPr>
    </w:p>
    <w:p>
      <w:pPr>
        <w:ind w:left="500" w:right="2319"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Non-GAAP and Other Financial Measures in Table 7. All percentages are calculated based on actual amounts. Minor differences may exist due to rounding.</w:t>
      </w:r>
    </w:p>
    <w:p>
      <w:pPr>
        <w:spacing w:after="0" w:line="200" w:lineRule="exact"/>
        <w:rPr>
          <w:rFonts w:ascii="Courier New" w:cs="Courier New" w:eastAsia="Courier New" w:hAnsi="Courier New"/>
          <w:sz w:val="17"/>
          <w:szCs w:val="17"/>
          <w:color w:val="auto"/>
        </w:rPr>
      </w:pPr>
    </w:p>
    <w:p>
      <w:pPr>
        <w:ind w:left="500" w:right="2119" w:hanging="496"/>
        <w:spacing w:after="0" w:line="241"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and subscriber data includes the results of the 30,000 cable subscribers acquired from US Coastal Cable in April 2004. Pro forma subscriber data also includes 60,000 subscribers acquired in various small acquisitions during the periods presented. The impact of these acquisitions on our segment operating results was not material.</w:t>
      </w:r>
    </w:p>
    <w:p>
      <w:pPr>
        <w:spacing w:after="0" w:line="199" w:lineRule="exact"/>
        <w:rPr>
          <w:rFonts w:ascii="Courier New" w:cs="Courier New" w:eastAsia="Courier New" w:hAnsi="Courier New"/>
          <w:sz w:val="17"/>
          <w:szCs w:val="17"/>
          <w:color w:val="auto"/>
        </w:rPr>
      </w:pPr>
    </w:p>
    <w:p>
      <w:pPr>
        <w:ind w:left="500" w:right="3039" w:hanging="496"/>
        <w:spacing w:after="0" w:line="239"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Video revenues consist of our basic, expanded basic, premium, pay-per-view, equipment and digital services.</w:t>
      </w:r>
    </w:p>
    <w:p>
      <w:pPr>
        <w:spacing w:after="0" w:line="199" w:lineRule="exact"/>
        <w:rPr>
          <w:rFonts w:ascii="Courier New" w:cs="Courier New" w:eastAsia="Courier New" w:hAnsi="Courier New"/>
          <w:sz w:val="17"/>
          <w:szCs w:val="17"/>
          <w:color w:val="auto"/>
        </w:rPr>
      </w:pPr>
    </w:p>
    <w:p>
      <w:pPr>
        <w:ind w:left="500" w:right="2319" w:hanging="496"/>
        <w:spacing w:after="0" w:line="241"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196"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Available homes includes circuit switched and Comcast Digital Voice homes.</w:t>
      </w:r>
    </w:p>
    <w:p>
      <w:pPr>
        <w:spacing w:after="0" w:line="198" w:lineRule="exact"/>
        <w:rPr>
          <w:rFonts w:ascii="Courier New" w:cs="Courier New" w:eastAsia="Courier New" w:hAnsi="Courier New"/>
          <w:sz w:val="17"/>
          <w:szCs w:val="17"/>
          <w:color w:val="auto"/>
        </w:rPr>
      </w:pPr>
    </w:p>
    <w:p>
      <w:pPr>
        <w:ind w:left="500" w:right="2439" w:hanging="496"/>
        <w:spacing w:after="0" w:line="239"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sum total of all basic video, digital video, high-speed Internet and phone subscribers, excluding additional outlets.</w:t>
      </w:r>
    </w:p>
    <w:p>
      <w:pPr>
        <w:sectPr>
          <w:pgSz w:w="11900" w:h="16838" w:orient="portrait"/>
          <w:cols w:equalWidth="0" w:num="1">
            <w:col w:w="10219"/>
          </w:cols>
          <w:pgMar w:left="240" w:top="697" w:right="1440" w:bottom="1440" w:gutter="0" w:footer="0" w:header="0"/>
        </w:sectPr>
      </w:pPr>
    </w:p>
    <w:bookmarkStart w:id="15" w:name="page16"/>
    <w:bookmarkEnd w:id="15"/>
    <w:p>
      <w:pPr>
        <w:jc w:val="center"/>
        <w:ind w:right="20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TABLE 7</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Non-GAAP and Other Financial Measures</w:t>
      </w:r>
    </w:p>
    <w:p>
      <w:pPr>
        <w:spacing w:after="0" w:line="199" w:lineRule="exact"/>
        <w:rPr>
          <w:sz w:val="20"/>
          <w:szCs w:val="20"/>
          <w:color w:val="auto"/>
        </w:rPr>
      </w:pPr>
    </w:p>
    <w:p>
      <w:pPr>
        <w:ind w:right="2219" w:firstLine="404"/>
        <w:spacing w:after="0" w:line="241" w:lineRule="auto"/>
        <w:rPr>
          <w:sz w:val="20"/>
          <w:szCs w:val="20"/>
          <w:color w:val="auto"/>
        </w:rPr>
      </w:pPr>
      <w:r>
        <w:rPr>
          <w:rFonts w:ascii="Courier New" w:cs="Courier New" w:eastAsia="Courier New" w:hAnsi="Courier New"/>
          <w:sz w:val="17"/>
          <w:szCs w:val="17"/>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203" w:lineRule="exact"/>
        <w:rPr>
          <w:sz w:val="20"/>
          <w:szCs w:val="20"/>
          <w:color w:val="auto"/>
        </w:rPr>
      </w:pPr>
    </w:p>
    <w:p>
      <w:pPr>
        <w:ind w:right="2219" w:firstLine="404"/>
        <w:spacing w:after="0" w:line="242" w:lineRule="auto"/>
        <w:rPr>
          <w:sz w:val="20"/>
          <w:szCs w:val="20"/>
          <w:color w:val="auto"/>
        </w:rPr>
      </w:pPr>
      <w:r>
        <w:rPr>
          <w:rFonts w:ascii="Courier New" w:cs="Courier New" w:eastAsia="Courier New" w:hAnsi="Courier New"/>
          <w:sz w:val="17"/>
          <w:szCs w:val="17"/>
          <w:color w:val="auto"/>
        </w:rPr>
        <w:t>Operating Cash Flow is defined as operating income before depreciation and amortization and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98"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203" w:lineRule="exact"/>
        <w:rPr>
          <w:sz w:val="20"/>
          <w:szCs w:val="20"/>
          <w:color w:val="auto"/>
        </w:rPr>
      </w:pPr>
    </w:p>
    <w:p>
      <w:pPr>
        <w:ind w:right="2119" w:firstLine="404"/>
        <w:spacing w:after="0" w:line="241" w:lineRule="auto"/>
        <w:rPr>
          <w:sz w:val="20"/>
          <w:szCs w:val="20"/>
          <w:color w:val="auto"/>
        </w:rPr>
      </w:pPr>
      <w:r>
        <w:rPr>
          <w:rFonts w:ascii="Courier New" w:cs="Courier New" w:eastAsia="Courier New" w:hAnsi="Courier New"/>
          <w:sz w:val="17"/>
          <w:szCs w:val="17"/>
          <w:color w:val="auto"/>
        </w:rPr>
        <w:t>Free Cash Flow, which is a non-GAAP financial measure, is defined as Operating Cash Flow less net interest, cash paid for taxes, and capital expenditures. As such, it is unaffected by fluctuations in working capital levels from period to period and cash payments associated with intangible and other non-current assets which are detailed in our quarterly and annual reports on Forms 10Q/K. We believe that Free Cash Flow is also useful to investors as it is one of the bases for comparing our operating performance with other companies in our industries, although our measure of Free Cash Flow is accrual-based and may not be comparable to similar measures used by other companies.</w:t>
      </w:r>
    </w:p>
    <w:p>
      <w:pPr>
        <w:spacing w:after="0" w:line="204" w:lineRule="exact"/>
        <w:rPr>
          <w:sz w:val="20"/>
          <w:szCs w:val="20"/>
          <w:color w:val="auto"/>
        </w:rPr>
      </w:pPr>
    </w:p>
    <w:p>
      <w:pPr>
        <w:jc w:val="both"/>
        <w:ind w:right="2219" w:firstLine="404"/>
        <w:spacing w:after="0" w:line="263" w:lineRule="auto"/>
        <w:rPr>
          <w:sz w:val="20"/>
          <w:szCs w:val="20"/>
          <w:color w:val="auto"/>
        </w:rPr>
      </w:pPr>
      <w:r>
        <w:rPr>
          <w:rFonts w:ascii="Courier New" w:cs="Courier New" w:eastAsia="Courier New" w:hAnsi="Courier New"/>
          <w:sz w:val="16"/>
          <w:szCs w:val="16"/>
          <w:color w:val="auto"/>
        </w:rPr>
        <w:t>Debt Excluding Exchangeables, which is a non-GAAP financial measure, refers to the aggregate amount of our consolidated debt and capital lease obligations less the amount of notes that are collateralized by securities that we own.</w:t>
      </w:r>
    </w:p>
    <w:p>
      <w:pPr>
        <w:sectPr>
          <w:pgSz w:w="11900" w:h="16838" w:orient="portrait"/>
          <w:cols w:equalWidth="0" w:num="1">
            <w:col w:w="10219"/>
          </w:cols>
          <w:pgMar w:left="240" w:top="697" w:right="1440" w:bottom="1440" w:gutter="0" w:footer="0" w:header="0"/>
        </w:sectPr>
      </w:pPr>
    </w:p>
    <w:bookmarkStart w:id="16" w:name="page17"/>
    <w:bookmarkEnd w:id="16"/>
    <w:p>
      <w:pPr>
        <w:ind w:right="3220" w:firstLine="404"/>
        <w:spacing w:after="0" w:line="242" w:lineRule="auto"/>
        <w:rPr>
          <w:sz w:val="20"/>
          <w:szCs w:val="20"/>
          <w:color w:val="auto"/>
        </w:rPr>
      </w:pPr>
      <w:r>
        <w:rPr>
          <w:rFonts w:ascii="Courier New" w:cs="Courier New" w:eastAsia="Courier New" w:hAnsi="Courier New"/>
          <w:sz w:val="17"/>
          <w:szCs w:val="17"/>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97" w:lineRule="exact"/>
        <w:rPr>
          <w:sz w:val="20"/>
          <w:szCs w:val="20"/>
          <w:color w:val="auto"/>
        </w:rPr>
      </w:pPr>
    </w:p>
    <w:p>
      <w:pPr>
        <w:ind w:right="3220" w:firstLine="404"/>
        <w:spacing w:after="0" w:line="241" w:lineRule="auto"/>
        <w:rPr>
          <w:sz w:val="20"/>
          <w:szCs w:val="20"/>
          <w:color w:val="auto"/>
        </w:rPr>
      </w:pPr>
      <w:r>
        <w:rPr>
          <w:rFonts w:ascii="Courier New" w:cs="Courier New" w:eastAsia="Courier New" w:hAnsi="Courier New"/>
          <w:sz w:val="17"/>
          <w:szCs w:val="17"/>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203" w:lineRule="exact"/>
        <w:rPr>
          <w:sz w:val="20"/>
          <w:szCs w:val="20"/>
          <w:color w:val="auto"/>
        </w:rPr>
      </w:pPr>
    </w:p>
    <w:p>
      <w:pPr>
        <w:ind w:right="3220" w:firstLine="404"/>
        <w:spacing w:after="0" w:line="241" w:lineRule="auto"/>
        <w:rPr>
          <w:sz w:val="20"/>
          <w:szCs w:val="20"/>
          <w:color w:val="auto"/>
        </w:rPr>
      </w:pPr>
      <w:r>
        <w:rPr>
          <w:rFonts w:ascii="Courier New" w:cs="Courier New" w:eastAsia="Courier New" w:hAnsi="Courier New"/>
          <w:sz w:val="17"/>
          <w:szCs w:val="17"/>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COMCAST</w:t>
            </w:r>
          </w:p>
        </w:tc>
        <w:tc>
          <w:tcPr>
            <w:tcW w:w="1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CORPORATION</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3"/>
          </w:tcPr>
          <w:p>
            <w:pPr>
              <w:jc w:val="center"/>
              <w:ind w:left="76"/>
              <w:spacing w:after="0"/>
              <w:rPr>
                <w:sz w:val="20"/>
                <w:szCs w:val="20"/>
                <w:color w:val="auto"/>
              </w:rPr>
            </w:pPr>
            <w:r>
              <w:rPr>
                <w:rFonts w:ascii="Courier New" w:cs="Courier New" w:eastAsia="Courier New" w:hAnsi="Courier New"/>
                <w:sz w:val="17"/>
                <w:szCs w:val="17"/>
                <w:color w:val="auto"/>
                <w:w w:val="99"/>
              </w:rPr>
              <w:t>TABLE 7-A continued</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7640" w:type="dxa"/>
            <w:vAlign w:val="bottom"/>
            <w:gridSpan w:val="9"/>
          </w:tcPr>
          <w:p>
            <w:pPr>
              <w:jc w:val="center"/>
              <w:ind w:left="476"/>
              <w:spacing w:after="0"/>
              <w:rPr>
                <w:sz w:val="20"/>
                <w:szCs w:val="20"/>
                <w:color w:val="auto"/>
              </w:rPr>
            </w:pPr>
            <w:r>
              <w:rPr>
                <w:rFonts w:ascii="Courier New" w:cs="Courier New" w:eastAsia="Courier New" w:hAnsi="Courier New"/>
                <w:sz w:val="17"/>
                <w:szCs w:val="17"/>
                <w:color w:val="auto"/>
                <w:w w:val="98"/>
              </w:rPr>
              <w:t>Reconciliation of Historical and Pro Forma Data by Business Segment</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3"/>
          </w:tcPr>
          <w:p>
            <w:pPr>
              <w:jc w:val="center"/>
              <w:ind w:left="76"/>
              <w:spacing w:after="0"/>
              <w:rPr>
                <w:sz w:val="20"/>
                <w:szCs w:val="20"/>
                <w:color w:val="auto"/>
              </w:rPr>
            </w:pPr>
            <w:r>
              <w:rPr>
                <w:rFonts w:ascii="Courier New" w:cs="Courier New" w:eastAsia="Courier New" w:hAnsi="Courier New"/>
                <w:sz w:val="17"/>
                <w:szCs w:val="17"/>
                <w:color w:val="auto"/>
                <w:w w:val="99"/>
              </w:rPr>
              <w:t>(Unaudited) (1)</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(dollars</w:t>
            </w:r>
          </w:p>
        </w:tc>
        <w:tc>
          <w:tcPr>
            <w:tcW w:w="126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in millions)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78"/>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Historical</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3"/>
          </w:tcPr>
          <w:p>
            <w:pPr>
              <w:jc w:val="right"/>
              <w:ind w:right="436"/>
              <w:spacing w:after="0"/>
              <w:rPr>
                <w:sz w:val="20"/>
                <w:szCs w:val="20"/>
                <w:color w:val="auto"/>
              </w:rPr>
            </w:pPr>
            <w:r>
              <w:rPr>
                <w:rFonts w:ascii="Courier New" w:cs="Courier New" w:eastAsia="Courier New" w:hAnsi="Courier New"/>
                <w:sz w:val="17"/>
                <w:szCs w:val="17"/>
                <w:color w:val="auto"/>
              </w:rPr>
              <w:t>Adjustments (1)</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2680" w:type="dxa"/>
            <w:vAlign w:val="bottom"/>
          </w:tcPr>
          <w:p>
            <w:pPr>
              <w:spacing w:after="0"/>
              <w:rPr>
                <w:sz w:val="16"/>
                <w:szCs w:val="16"/>
                <w:color w:val="auto"/>
              </w:rPr>
            </w:pPr>
          </w:p>
        </w:tc>
        <w:tc>
          <w:tcPr>
            <w:tcW w:w="3700" w:type="dxa"/>
            <w:vAlign w:val="bottom"/>
            <w:gridSpan w:val="6"/>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940" w:type="dxa"/>
            <w:vAlign w:val="bottom"/>
            <w:gridSpan w:val="8"/>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7"/>
                <w:szCs w:val="17"/>
                <w:color w:val="auto"/>
              </w:rPr>
              <w:t>Corporate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2"/>
          </w:tcPr>
          <w:p>
            <w:pPr>
              <w:jc w:val="center"/>
              <w:ind w:right="176"/>
              <w:spacing w:after="0"/>
              <w:rPr>
                <w:sz w:val="20"/>
                <w:szCs w:val="20"/>
                <w:color w:val="auto"/>
              </w:rPr>
            </w:pPr>
            <w:r>
              <w:rPr>
                <w:rFonts w:ascii="Courier New" w:cs="Courier New" w:eastAsia="Courier New" w:hAnsi="Courier New"/>
                <w:sz w:val="17"/>
                <w:szCs w:val="17"/>
                <w:color w:val="auto"/>
              </w:rPr>
              <w:t>Corporate</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Three Months Ended June</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and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396"/>
              <w:spacing w:after="0"/>
              <w:rPr>
                <w:sz w:val="20"/>
                <w:szCs w:val="20"/>
                <w:color w:val="auto"/>
              </w:rPr>
            </w:pPr>
            <w:r>
              <w:rPr>
                <w:rFonts w:ascii="Courier New" w:cs="Courier New" w:eastAsia="Courier New" w:hAnsi="Courier New"/>
                <w:sz w:val="17"/>
                <w:szCs w:val="17"/>
                <w:color w:val="auto"/>
                <w:w w:val="97"/>
              </w:rPr>
              <w:t>and</w:t>
            </w:r>
          </w:p>
        </w:tc>
        <w:tc>
          <w:tcPr>
            <w:tcW w:w="24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Pro</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30, 2004</w:t>
            </w:r>
          </w:p>
        </w:tc>
        <w:tc>
          <w:tcPr>
            <w:tcW w:w="200" w:type="dxa"/>
            <w:vAlign w:val="bottom"/>
          </w:tcPr>
          <w:p>
            <w:pPr>
              <w:spacing w:after="0"/>
              <w:rPr>
                <w:sz w:val="16"/>
                <w:szCs w:val="16"/>
                <w:color w:val="auto"/>
              </w:rPr>
            </w:pPr>
          </w:p>
        </w:tc>
        <w:tc>
          <w:tcPr>
            <w:tcW w:w="1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Cable</w:t>
            </w:r>
          </w:p>
        </w:tc>
        <w:tc>
          <w:tcPr>
            <w:tcW w:w="140" w:type="dxa"/>
            <w:vAlign w:val="bottom"/>
          </w:tcPr>
          <w:p>
            <w:pPr>
              <w:spacing w:after="0"/>
              <w:rPr>
                <w:sz w:val="16"/>
                <w:szCs w:val="16"/>
                <w:color w:val="auto"/>
              </w:rPr>
            </w:pPr>
          </w:p>
        </w:tc>
        <w:tc>
          <w:tcPr>
            <w:tcW w:w="11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Content</w:t>
            </w:r>
          </w:p>
        </w:tc>
        <w:tc>
          <w:tcPr>
            <w:tcW w:w="16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7"/>
                <w:szCs w:val="17"/>
                <w:color w:val="auto"/>
              </w:rPr>
              <w:t>Other</w:t>
            </w:r>
          </w:p>
        </w:tc>
        <w:tc>
          <w:tcPr>
            <w:tcW w:w="24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Total</w:t>
            </w:r>
          </w:p>
        </w:tc>
        <w:tc>
          <w:tcPr>
            <w:tcW w:w="20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Cable</w:t>
            </w:r>
          </w:p>
        </w:tc>
        <w:tc>
          <w:tcPr>
            <w:tcW w:w="200" w:type="dxa"/>
            <w:vAlign w:val="bottom"/>
          </w:tcPr>
          <w:p>
            <w:pPr>
              <w:spacing w:after="0"/>
              <w:rPr>
                <w:sz w:val="16"/>
                <w:szCs w:val="16"/>
                <w:color w:val="auto"/>
              </w:rPr>
            </w:pPr>
          </w:p>
        </w:tc>
        <w:tc>
          <w:tcPr>
            <w:tcW w:w="1060" w:type="dxa"/>
            <w:vAlign w:val="bottom"/>
          </w:tcPr>
          <w:p>
            <w:pPr>
              <w:jc w:val="center"/>
              <w:ind w:right="396"/>
              <w:spacing w:after="0"/>
              <w:rPr>
                <w:sz w:val="20"/>
                <w:szCs w:val="20"/>
                <w:color w:val="auto"/>
              </w:rPr>
            </w:pPr>
            <w:r>
              <w:rPr>
                <w:rFonts w:ascii="Courier New" w:cs="Courier New" w:eastAsia="Courier New" w:hAnsi="Courier New"/>
                <w:sz w:val="17"/>
                <w:szCs w:val="17"/>
                <w:color w:val="auto"/>
                <w:w w:val="97"/>
              </w:rPr>
              <w:t>Other</w:t>
            </w:r>
          </w:p>
        </w:tc>
        <w:tc>
          <w:tcPr>
            <w:tcW w:w="24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forma</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4,838</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5,066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5,067</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(excluding depreciation</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and amortization)</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2,918</w:t>
            </w:r>
          </w:p>
        </w:tc>
        <w:tc>
          <w:tcPr>
            <w:tcW w:w="14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122</w:t>
            </w:r>
          </w:p>
        </w:tc>
        <w:tc>
          <w:tcPr>
            <w:tcW w:w="16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74</w:t>
            </w:r>
          </w:p>
        </w:tc>
        <w:tc>
          <w:tcPr>
            <w:tcW w:w="24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3,114</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w:t>
            </w:r>
          </w:p>
        </w:tc>
        <w:tc>
          <w:tcPr>
            <w:tcW w:w="20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w:t>
            </w:r>
          </w:p>
        </w:tc>
        <w:tc>
          <w:tcPr>
            <w:tcW w:w="24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3,115</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1,920</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77</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(45)</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1,952</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1,952</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1,043</w:t>
            </w:r>
          </w:p>
        </w:tc>
        <w:tc>
          <w:tcPr>
            <w:tcW w:w="14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w:t>
            </w:r>
          </w:p>
        </w:tc>
        <w:tc>
          <w:tcPr>
            <w:tcW w:w="16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w:t>
            </w:r>
          </w:p>
        </w:tc>
        <w:tc>
          <w:tcPr>
            <w:tcW w:w="24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1,100</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1,100</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877</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38</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852</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852</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893</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904</w:t>
            </w:r>
          </w:p>
        </w:tc>
        <w:tc>
          <w:tcPr>
            <w:tcW w:w="20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904</w:t>
            </w:r>
          </w:p>
        </w:tc>
      </w:tr>
    </w:tbl>
    <w:p>
      <w:pPr>
        <w:sectPr>
          <w:pgSz w:w="11900" w:h="16838" w:orient="portrait"/>
          <w:cols w:equalWidth="0" w:num="1">
            <w:col w:w="11320"/>
          </w:cols>
          <w:pgMar w:left="240" w:top="699"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gridSpan w:val="3"/>
          </w:tcPr>
          <w:p>
            <w:pPr>
              <w:ind w:left="300"/>
              <w:spacing w:after="0"/>
              <w:rPr>
                <w:sz w:val="20"/>
                <w:szCs w:val="20"/>
                <w:color w:val="auto"/>
              </w:rPr>
            </w:pPr>
            <w:r>
              <w:rPr>
                <w:rFonts w:ascii="Courier New" w:cs="Courier New" w:eastAsia="Courier New" w:hAnsi="Courier New"/>
                <w:sz w:val="17"/>
                <w:szCs w:val="17"/>
                <w:color w:val="auto"/>
                <w:w w:val="97"/>
              </w:rPr>
              <w:t>Corporate</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Corporate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Six Months Ended June 30,</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and</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and</w:t>
            </w:r>
          </w:p>
        </w:tc>
        <w:tc>
          <w:tcPr>
            <w:tcW w:w="220" w:type="dxa"/>
            <w:vAlign w:val="bottom"/>
          </w:tcPr>
          <w:p>
            <w:pPr>
              <w:spacing w:after="0"/>
              <w:rPr>
                <w:sz w:val="16"/>
                <w:szCs w:val="16"/>
                <w:color w:val="auto"/>
              </w:rPr>
            </w:pPr>
          </w:p>
        </w:tc>
        <w:tc>
          <w:tcPr>
            <w:tcW w:w="94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Pro</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2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Cable</w:t>
            </w: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Content</w:t>
            </w:r>
          </w:p>
        </w:tc>
        <w:tc>
          <w:tcPr>
            <w:tcW w:w="500" w:type="dxa"/>
            <w:vAlign w:val="bottom"/>
          </w:tcPr>
          <w:p>
            <w:pPr>
              <w:spacing w:after="0"/>
              <w:rPr>
                <w:sz w:val="16"/>
                <w:szCs w:val="16"/>
                <w:color w:val="auto"/>
              </w:rPr>
            </w:pPr>
          </w:p>
        </w:tc>
        <w:tc>
          <w:tcPr>
            <w:tcW w:w="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7"/>
              </w:rPr>
              <w:t>Other</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5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7"/>
                <w:szCs w:val="17"/>
                <w:color w:val="auto"/>
              </w:rPr>
              <w:t>Cable</w:t>
            </w:r>
          </w:p>
        </w:tc>
        <w:tc>
          <w:tcPr>
            <w:tcW w:w="1200" w:type="dxa"/>
            <w:vAlign w:val="bottom"/>
          </w:tcPr>
          <w:p>
            <w:pPr>
              <w:ind w:left="240"/>
              <w:spacing w:after="0"/>
              <w:rPr>
                <w:sz w:val="20"/>
                <w:szCs w:val="20"/>
                <w:color w:val="auto"/>
              </w:rPr>
            </w:pPr>
            <w:r>
              <w:rPr>
                <w:rFonts w:ascii="Courier New" w:cs="Courier New" w:eastAsia="Courier New" w:hAnsi="Courier New"/>
                <w:sz w:val="17"/>
                <w:szCs w:val="17"/>
                <w:color w:val="auto"/>
              </w:rPr>
              <w:t>Other</w:t>
            </w:r>
          </w:p>
        </w:tc>
        <w:tc>
          <w:tcPr>
            <w:tcW w:w="220" w:type="dxa"/>
            <w:vAlign w:val="bottom"/>
          </w:tcPr>
          <w:p>
            <w:pPr>
              <w:spacing w:after="0"/>
              <w:rPr>
                <w:sz w:val="16"/>
                <w:szCs w:val="16"/>
                <w:color w:val="auto"/>
              </w:rPr>
            </w:pPr>
          </w:p>
        </w:tc>
        <w:tc>
          <w:tcPr>
            <w:tcW w:w="940" w:type="dxa"/>
            <w:vAlign w:val="bottom"/>
          </w:tcPr>
          <w:p>
            <w:pPr>
              <w:jc w:val="center"/>
              <w:ind w:right="276"/>
              <w:spacing w:after="0"/>
              <w:rPr>
                <w:sz w:val="20"/>
                <w:szCs w:val="20"/>
                <w:color w:val="auto"/>
              </w:rPr>
            </w:pPr>
            <w:r>
              <w:rPr>
                <w:rFonts w:ascii="Courier New" w:cs="Courier New" w:eastAsia="Courier New" w:hAnsi="Courier New"/>
                <w:sz w:val="17"/>
                <w:szCs w:val="17"/>
                <w:color w:val="auto"/>
                <w:w w:val="97"/>
              </w:rPr>
              <w:t>forma</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240" w:type="dxa"/>
            <w:vAlign w:val="bottom"/>
          </w:tcPr>
          <w:p>
            <w:pPr>
              <w:spacing w:after="0"/>
              <w:rPr>
                <w:sz w:val="16"/>
                <w:szCs w:val="16"/>
                <w:color w:val="auto"/>
              </w:rPr>
            </w:pPr>
          </w:p>
        </w:tc>
        <w:tc>
          <w:tcPr>
            <w:tcW w:w="1280" w:type="dxa"/>
            <w:vAlign w:val="bottom"/>
            <w:gridSpan w:val="2"/>
          </w:tcPr>
          <w:p>
            <w:pPr>
              <w:jc w:val="center"/>
              <w:ind w:right="15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4"/>
          </w:tcPr>
          <w:p>
            <w:pPr>
              <w:jc w:val="center"/>
              <w:ind w:right="2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center"/>
              <w:ind w:right="2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30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9,485</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w w:val="91"/>
              </w:rPr>
              <w:t>375</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114</w:t>
            </w:r>
          </w:p>
        </w:tc>
        <w:tc>
          <w:tcPr>
            <w:tcW w:w="100" w:type="dxa"/>
            <w:vAlign w:val="bottom"/>
          </w:tcPr>
          <w:p>
            <w:pPr>
              <w:spacing w:after="0"/>
              <w:rPr>
                <w:sz w:val="24"/>
                <w:szCs w:val="24"/>
                <w:color w:val="auto"/>
              </w:rPr>
            </w:pP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9,974</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9,979</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100"/>
              <w:spacing w:after="0"/>
              <w:rPr>
                <w:sz w:val="20"/>
                <w:szCs w:val="20"/>
                <w:color w:val="auto"/>
              </w:rPr>
            </w:pPr>
            <w:r>
              <w:rPr>
                <w:rFonts w:ascii="Courier New" w:cs="Courier New" w:eastAsia="Courier New" w:hAnsi="Courier New"/>
                <w:sz w:val="17"/>
                <w:szCs w:val="17"/>
                <w:color w:val="auto"/>
              </w:rPr>
              <w:t>(excluding depreciation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100"/>
              <w:spacing w:after="0"/>
              <w:rPr>
                <w:sz w:val="20"/>
                <w:szCs w:val="20"/>
                <w:color w:val="auto"/>
              </w:rPr>
            </w:pPr>
            <w:r>
              <w:rPr>
                <w:rFonts w:ascii="Courier New" w:cs="Courier New" w:eastAsia="Courier New" w:hAnsi="Courier New"/>
                <w:sz w:val="17"/>
                <w:szCs w:val="17"/>
                <w:color w:val="auto"/>
              </w:rPr>
              <w:t>and amortization)</w:t>
            </w:r>
          </w:p>
        </w:tc>
        <w:tc>
          <w:tcPr>
            <w:tcW w:w="240" w:type="dxa"/>
            <w:vAlign w:val="bottom"/>
          </w:tcPr>
          <w:p>
            <w:pPr>
              <w:spacing w:after="0"/>
              <w:rPr>
                <w:sz w:val="16"/>
                <w:szCs w:val="16"/>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5,846</w:t>
            </w:r>
          </w:p>
        </w:tc>
        <w:tc>
          <w:tcPr>
            <w:tcW w:w="520" w:type="dxa"/>
            <w:vAlign w:val="bottom"/>
          </w:tcPr>
          <w:p>
            <w:pPr>
              <w:spacing w:after="0"/>
              <w:rPr>
                <w:sz w:val="16"/>
                <w:szCs w:val="16"/>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w w:val="91"/>
              </w:rPr>
              <w:t>229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6,289</w:t>
            </w:r>
          </w:p>
        </w:tc>
        <w:tc>
          <w:tcPr>
            <w:tcW w:w="52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6,292</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3,639</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w w:val="91"/>
              </w:rPr>
              <w:t>146</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(100)</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3,685</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3,687</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Depreciation and</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100"/>
              <w:spacing w:after="0"/>
              <w:rPr>
                <w:sz w:val="20"/>
                <w:szCs w:val="20"/>
                <w:color w:val="auto"/>
              </w:rPr>
            </w:pPr>
            <w:r>
              <w:rPr>
                <w:rFonts w:ascii="Courier New" w:cs="Courier New" w:eastAsia="Courier New" w:hAnsi="Courier New"/>
                <w:sz w:val="17"/>
                <w:szCs w:val="17"/>
                <w:color w:val="auto"/>
              </w:rPr>
              <w:t>amortization</w:t>
            </w:r>
          </w:p>
        </w:tc>
        <w:tc>
          <w:tcPr>
            <w:tcW w:w="240" w:type="dxa"/>
            <w:vAlign w:val="bottom"/>
          </w:tcPr>
          <w:p>
            <w:pPr>
              <w:spacing w:after="0"/>
              <w:rPr>
                <w:sz w:val="16"/>
                <w:szCs w:val="16"/>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2,060</w:t>
            </w:r>
          </w:p>
        </w:tc>
        <w:tc>
          <w:tcPr>
            <w:tcW w:w="52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w w:val="87"/>
              </w:rPr>
              <w:t>74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2,174</w:t>
            </w:r>
          </w:p>
        </w:tc>
        <w:tc>
          <w:tcPr>
            <w:tcW w:w="52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2,174</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1,579</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w w:val="87"/>
              </w:rPr>
              <w:t>72</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(140)</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1,511</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1,513</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1,707</w:t>
            </w:r>
          </w:p>
        </w:tc>
        <w:tc>
          <w:tcPr>
            <w:tcW w:w="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w w:val="87"/>
              </w:rPr>
              <w:t>10</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c>
          <w:tcPr>
            <w:tcW w:w="100" w:type="dxa"/>
            <w:vAlign w:val="bottom"/>
          </w:tcPr>
          <w:p>
            <w:pPr>
              <w:spacing w:after="0"/>
              <w:rPr>
                <w:sz w:val="16"/>
                <w:szCs w:val="16"/>
                <w:color w:val="auto"/>
              </w:rPr>
            </w:pP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1,732</w:t>
            </w:r>
          </w:p>
        </w:tc>
        <w:tc>
          <w:tcPr>
            <w:tcW w:w="52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w w:val="97"/>
              </w:rPr>
              <w:t>1,732</w:t>
            </w:r>
          </w:p>
        </w:tc>
      </w:tr>
      <w:tr>
        <w:trPr>
          <w:trHeight w:val="583"/>
        </w:trPr>
        <w:tc>
          <w:tcPr>
            <w:tcW w:w="6480" w:type="dxa"/>
            <w:vAlign w:val="bottom"/>
            <w:gridSpan w:val="8"/>
          </w:tcPr>
          <w:p>
            <w:pPr>
              <w:jc w:val="center"/>
              <w:ind w:left="1636"/>
              <w:spacing w:after="0"/>
              <w:rPr>
                <w:sz w:val="20"/>
                <w:szCs w:val="20"/>
                <w:color w:val="auto"/>
              </w:rPr>
            </w:pPr>
            <w:r>
              <w:rPr>
                <w:rFonts w:ascii="Courier New" w:cs="Courier New" w:eastAsia="Courier New" w:hAnsi="Courier New"/>
                <w:sz w:val="17"/>
                <w:szCs w:val="17"/>
                <w:color w:val="auto"/>
                <w:w w:val="99"/>
              </w:rPr>
              <w:t>Reconciliation of Operating Cash Flow to Free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16"/>
                <w:szCs w:val="16"/>
                <w:color w:val="auto"/>
              </w:rPr>
            </w:pPr>
          </w:p>
        </w:tc>
        <w:tc>
          <w:tcPr>
            <w:tcW w:w="2220" w:type="dxa"/>
            <w:vAlign w:val="bottom"/>
            <w:gridSpan w:val="4"/>
          </w:tcPr>
          <w:p>
            <w:pPr>
              <w:jc w:val="center"/>
              <w:ind w:right="16"/>
              <w:spacing w:after="0"/>
              <w:rPr>
                <w:sz w:val="20"/>
                <w:szCs w:val="20"/>
                <w:color w:val="auto"/>
              </w:rPr>
            </w:pPr>
            <w:r>
              <w:rPr>
                <w:rFonts w:ascii="Courier New" w:cs="Courier New" w:eastAsia="Courier New" w:hAnsi="Courier New"/>
                <w:sz w:val="17"/>
                <w:szCs w:val="17"/>
                <w:color w:val="auto"/>
                <w:w w:val="98"/>
              </w:rPr>
              <w:t>Cash Flow (Unaudited)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220" w:type="dxa"/>
            <w:vAlign w:val="bottom"/>
            <w:gridSpan w:val="4"/>
          </w:tcPr>
          <w:p>
            <w:pPr>
              <w:jc w:val="center"/>
              <w:ind w:right="16"/>
              <w:spacing w:after="0"/>
              <w:rPr>
                <w:sz w:val="20"/>
                <w:szCs w:val="20"/>
                <w:color w:val="auto"/>
              </w:rPr>
            </w:pPr>
            <w:r>
              <w:rPr>
                <w:rFonts w:ascii="Courier New" w:cs="Courier New" w:eastAsia="Courier New" w:hAnsi="Courier New"/>
                <w:sz w:val="17"/>
                <w:szCs w:val="17"/>
                <w:color w:val="auto"/>
                <w:w w:val="98"/>
              </w:rPr>
              <w:t>(dollars 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78"/>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gridSpan w:val="6"/>
          </w:tcPr>
          <w:p>
            <w:pPr>
              <w:ind w:left="500"/>
              <w:spacing w:after="0"/>
              <w:rPr>
                <w:sz w:val="20"/>
                <w:szCs w:val="20"/>
                <w:color w:val="auto"/>
              </w:rPr>
            </w:pPr>
            <w:r>
              <w:rPr>
                <w:rFonts w:ascii="Courier New" w:cs="Courier New" w:eastAsia="Courier New" w:hAnsi="Courier New"/>
                <w:sz w:val="17"/>
                <w:szCs w:val="17"/>
                <w:color w:val="auto"/>
              </w:rPr>
              <w:t>Three Months Ended</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June 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2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2005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234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9"/>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40" w:type="dxa"/>
            <w:vAlign w:val="bottom"/>
          </w:tcPr>
          <w:p>
            <w:pPr>
              <w:spacing w:after="0"/>
              <w:rPr>
                <w:sz w:val="24"/>
                <w:szCs w:val="24"/>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2,209</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2,209</w:t>
            </w:r>
          </w:p>
        </w:tc>
        <w:tc>
          <w:tcPr>
            <w:tcW w:w="100" w:type="dxa"/>
            <w:vAlign w:val="bottom"/>
          </w:tcPr>
          <w:p>
            <w:pPr>
              <w:spacing w:after="0"/>
              <w:rPr>
                <w:sz w:val="24"/>
                <w:szCs w:val="24"/>
                <w:color w:val="auto"/>
              </w:rPr>
            </w:pPr>
          </w:p>
        </w:tc>
        <w:tc>
          <w:tcPr>
            <w:tcW w:w="62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1,952</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1,952</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Less: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Interest, net (2)</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(422)</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w w:val="94"/>
              </w:rPr>
              <w:t>(459)</w:t>
            </w:r>
          </w:p>
        </w:tc>
        <w:tc>
          <w:tcPr>
            <w:tcW w:w="14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(459)</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Cash Paid for Income Taxes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(415)</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(415)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(89)</w:t>
            </w:r>
          </w:p>
        </w:tc>
        <w:tc>
          <w:tcPr>
            <w:tcW w:w="14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(89)</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28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Change in Operating Assets and</w:t>
            </w: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404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Liabilities, net of acquisitions</w:t>
            </w: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(103)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442</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Other (3)</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(84)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w w:val="98"/>
              </w:rPr>
              <w:t>Net Cash Provided by Operating</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100"/>
              <w:spacing w:after="0"/>
              <w:rPr>
                <w:sz w:val="20"/>
                <w:szCs w:val="20"/>
                <w:color w:val="auto"/>
              </w:rPr>
            </w:pPr>
            <w:r>
              <w:rPr>
                <w:rFonts w:ascii="Courier New" w:cs="Courier New" w:eastAsia="Courier New" w:hAnsi="Courier New"/>
                <w:sz w:val="17"/>
                <w:szCs w:val="17"/>
                <w:color w:val="auto"/>
              </w:rPr>
              <w:t>Activities</w:t>
            </w:r>
          </w:p>
        </w:tc>
        <w:tc>
          <w:tcPr>
            <w:tcW w:w="240" w:type="dxa"/>
            <w:vAlign w:val="bottom"/>
          </w:tcPr>
          <w:p>
            <w:pPr>
              <w:spacing w:after="0"/>
              <w:rPr>
                <w:sz w:val="16"/>
                <w:szCs w:val="16"/>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1,185</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1,859</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400"/>
              <w:spacing w:after="0"/>
              <w:rPr>
                <w:sz w:val="20"/>
                <w:szCs w:val="20"/>
                <w:color w:val="auto"/>
              </w:rPr>
            </w:pPr>
            <w:r>
              <w:rPr>
                <w:rFonts w:ascii="Courier New" w:cs="Courier New" w:eastAsia="Courier New" w:hAnsi="Courier New"/>
                <w:sz w:val="17"/>
                <w:szCs w:val="17"/>
                <w:color w:val="auto"/>
                <w:w w:val="98"/>
              </w:rPr>
              <w:t>Less: Capital Expenditures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(950)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(904)</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Free Cash Flow</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422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500</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83"/>
        </w:trPr>
        <w:tc>
          <w:tcPr>
            <w:tcW w:w="6480" w:type="dxa"/>
            <w:vAlign w:val="bottom"/>
            <w:gridSpan w:val="8"/>
          </w:tcPr>
          <w:p>
            <w:pPr>
              <w:jc w:val="center"/>
              <w:ind w:left="1636"/>
              <w:spacing w:after="0"/>
              <w:rPr>
                <w:sz w:val="20"/>
                <w:szCs w:val="20"/>
                <w:color w:val="auto"/>
              </w:rPr>
            </w:pPr>
            <w:r>
              <w:rPr>
                <w:rFonts w:ascii="Courier New" w:cs="Courier New" w:eastAsia="Courier New" w:hAnsi="Courier New"/>
                <w:sz w:val="17"/>
                <w:szCs w:val="17"/>
                <w:color w:val="auto"/>
                <w:w w:val="99"/>
              </w:rPr>
              <w:t>Reconciliation of Operating Cash Flow to Free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16"/>
                <w:szCs w:val="16"/>
                <w:color w:val="auto"/>
              </w:rPr>
            </w:pPr>
          </w:p>
        </w:tc>
        <w:tc>
          <w:tcPr>
            <w:tcW w:w="2220" w:type="dxa"/>
            <w:vAlign w:val="bottom"/>
            <w:gridSpan w:val="4"/>
          </w:tcPr>
          <w:p>
            <w:pPr>
              <w:jc w:val="center"/>
              <w:ind w:right="16"/>
              <w:spacing w:after="0"/>
              <w:rPr>
                <w:sz w:val="20"/>
                <w:szCs w:val="20"/>
                <w:color w:val="auto"/>
              </w:rPr>
            </w:pPr>
            <w:r>
              <w:rPr>
                <w:rFonts w:ascii="Courier New" w:cs="Courier New" w:eastAsia="Courier New" w:hAnsi="Courier New"/>
                <w:sz w:val="17"/>
                <w:szCs w:val="17"/>
                <w:color w:val="auto"/>
                <w:w w:val="98"/>
              </w:rPr>
              <w:t>Cash Flow (Unaudited)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220" w:type="dxa"/>
            <w:vAlign w:val="bottom"/>
            <w:gridSpan w:val="4"/>
          </w:tcPr>
          <w:p>
            <w:pPr>
              <w:jc w:val="center"/>
              <w:ind w:right="16"/>
              <w:spacing w:after="0"/>
              <w:rPr>
                <w:sz w:val="20"/>
                <w:szCs w:val="20"/>
                <w:color w:val="auto"/>
              </w:rPr>
            </w:pPr>
            <w:r>
              <w:rPr>
                <w:rFonts w:ascii="Courier New" w:cs="Courier New" w:eastAsia="Courier New" w:hAnsi="Courier New"/>
                <w:sz w:val="17"/>
                <w:szCs w:val="17"/>
                <w:color w:val="auto"/>
                <w:w w:val="98"/>
              </w:rPr>
              <w:t>(dollars 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78"/>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gridSpan w:val="6"/>
          </w:tcPr>
          <w:p>
            <w:pPr>
              <w:ind w:left="600"/>
              <w:spacing w:after="0"/>
              <w:rPr>
                <w:sz w:val="20"/>
                <w:szCs w:val="20"/>
                <w:color w:val="auto"/>
              </w:rPr>
            </w:pPr>
            <w:r>
              <w:rPr>
                <w:rFonts w:ascii="Courier New" w:cs="Courier New" w:eastAsia="Courier New" w:hAnsi="Courier New"/>
                <w:sz w:val="17"/>
                <w:szCs w:val="17"/>
                <w:color w:val="auto"/>
              </w:rPr>
              <w:t>Six Months Ended</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June 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2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2005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234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9"/>
        </w:trPr>
        <w:tc>
          <w:tcPr>
            <w:tcW w:w="3040" w:type="dxa"/>
            <w:vAlign w:val="bottom"/>
          </w:tcPr>
          <w:p>
            <w:pPr>
              <w:spacing w:after="0"/>
              <w:rPr>
                <w:sz w:val="20"/>
                <w:szCs w:val="20"/>
                <w:color w:val="auto"/>
              </w:rPr>
            </w:pPr>
            <w:r>
              <w:rPr>
                <w:rFonts w:ascii="Courier New" w:cs="Courier New" w:eastAsia="Courier New" w:hAnsi="Courier New"/>
                <w:sz w:val="17"/>
                <w:szCs w:val="17"/>
                <w:color w:val="auto"/>
              </w:rPr>
              <w:t>Operating Cash Flow</w:t>
            </w:r>
          </w:p>
        </w:tc>
        <w:tc>
          <w:tcPr>
            <w:tcW w:w="240" w:type="dxa"/>
            <w:vAlign w:val="bottom"/>
          </w:tcPr>
          <w:p>
            <w:pPr>
              <w:spacing w:after="0"/>
              <w:rPr>
                <w:sz w:val="24"/>
                <w:szCs w:val="24"/>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4,239</w:t>
            </w: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4,239</w:t>
            </w:r>
          </w:p>
        </w:tc>
        <w:tc>
          <w:tcPr>
            <w:tcW w:w="100" w:type="dxa"/>
            <w:vAlign w:val="bottom"/>
          </w:tcPr>
          <w:p>
            <w:pPr>
              <w:spacing w:after="0"/>
              <w:rPr>
                <w:sz w:val="24"/>
                <w:szCs w:val="24"/>
                <w:color w:val="auto"/>
              </w:rPr>
            </w:pPr>
          </w:p>
        </w:tc>
        <w:tc>
          <w:tcPr>
            <w:tcW w:w="62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3,685</w:t>
            </w: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3,685</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Less: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Interest, net (2)</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(826)</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w w:val="94"/>
              </w:rPr>
              <w:t>(906)</w:t>
            </w:r>
          </w:p>
        </w:tc>
        <w:tc>
          <w:tcPr>
            <w:tcW w:w="14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(906)</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Cash Paid for Income Taxes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(427)</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(427)</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w w:val="94"/>
              </w:rPr>
              <w:t>(150)</w:t>
            </w:r>
          </w:p>
        </w:tc>
        <w:tc>
          <w:tcPr>
            <w:tcW w:w="1480" w:type="dxa"/>
            <w:vAlign w:val="bottom"/>
            <w:gridSpan w:val="2"/>
          </w:tcPr>
          <w:p>
            <w:pPr>
              <w:jc w:val="right"/>
              <w:ind w:right="776"/>
              <w:spacing w:after="0"/>
              <w:rPr>
                <w:sz w:val="20"/>
                <w:szCs w:val="20"/>
                <w:color w:val="auto"/>
              </w:rPr>
            </w:pPr>
            <w:r>
              <w:rPr>
                <w:rFonts w:ascii="Courier New" w:cs="Courier New" w:eastAsia="Courier New" w:hAnsi="Courier New"/>
                <w:sz w:val="17"/>
                <w:szCs w:val="17"/>
                <w:color w:val="auto"/>
              </w:rPr>
              <w:t>(150)</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28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Change in Operating Assets and</w:t>
            </w: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404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Liabilities, net of acquisitions</w:t>
            </w: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(191)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Other (3)</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(278)</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w w:val="98"/>
              </w:rPr>
              <w:t>Net Cash Provided by Operating</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100"/>
              <w:spacing w:after="0"/>
              <w:rPr>
                <w:sz w:val="20"/>
                <w:szCs w:val="20"/>
                <w:color w:val="auto"/>
              </w:rPr>
            </w:pPr>
            <w:r>
              <w:rPr>
                <w:rFonts w:ascii="Courier New" w:cs="Courier New" w:eastAsia="Courier New" w:hAnsi="Courier New"/>
                <w:sz w:val="17"/>
                <w:szCs w:val="17"/>
                <w:color w:val="auto"/>
              </w:rPr>
              <w:t>Activities</w:t>
            </w:r>
          </w:p>
        </w:tc>
        <w:tc>
          <w:tcPr>
            <w:tcW w:w="240" w:type="dxa"/>
            <w:vAlign w:val="bottom"/>
          </w:tcPr>
          <w:p>
            <w:pPr>
              <w:spacing w:after="0"/>
              <w:rPr>
                <w:sz w:val="16"/>
                <w:szCs w:val="16"/>
                <w:color w:val="auto"/>
              </w:rPr>
            </w:pPr>
          </w:p>
        </w:tc>
        <w:tc>
          <w:tcPr>
            <w:tcW w:w="7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2,517</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left="36"/>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2,633</w:t>
            </w: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ind w:left="400"/>
              <w:spacing w:after="0"/>
              <w:rPr>
                <w:sz w:val="20"/>
                <w:szCs w:val="20"/>
                <w:color w:val="auto"/>
              </w:rPr>
            </w:pPr>
            <w:r>
              <w:rPr>
                <w:rFonts w:ascii="Courier New" w:cs="Courier New" w:eastAsia="Courier New" w:hAnsi="Courier New"/>
                <w:sz w:val="17"/>
                <w:szCs w:val="17"/>
                <w:color w:val="auto"/>
                <w:w w:val="98"/>
              </w:rPr>
              <w:t>Less: Capital Expenditures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(1,842)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gridSpan w:val="3"/>
          </w:tcPr>
          <w:p>
            <w:pPr>
              <w:jc w:val="right"/>
              <w:ind w:right="776"/>
              <w:spacing w:after="0"/>
              <w:rPr>
                <w:sz w:val="20"/>
                <w:szCs w:val="20"/>
                <w:color w:val="auto"/>
              </w:rPr>
            </w:pPr>
            <w:r>
              <w:rPr>
                <w:rFonts w:ascii="Courier New" w:cs="Courier New" w:eastAsia="Courier New" w:hAnsi="Courier New"/>
                <w:sz w:val="17"/>
                <w:szCs w:val="17"/>
                <w:color w:val="auto"/>
              </w:rPr>
              <w:t>(1,732)</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Free Cash Flow</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1,144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897</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bl>
    <w:p>
      <w:pPr>
        <w:sectPr>
          <w:pgSz w:w="11900" w:h="16838" w:orient="portrait"/>
          <w:cols w:equalWidth="0" w:num="1">
            <w:col w:w="11520"/>
          </w:cols>
          <w:pgMar w:left="240" w:top="1086" w:right="139" w:bottom="1440" w:gutter="0" w:footer="0" w:header="0"/>
        </w:sectPr>
      </w:pPr>
    </w:p>
    <w:bookmarkStart w:id="18" w:name="page19"/>
    <w:bookmarkEnd w:id="18"/>
    <w:p>
      <w:pPr>
        <w:jc w:val="center"/>
        <w:ind w:right="2119"/>
        <w:spacing w:after="0"/>
        <w:rPr>
          <w:sz w:val="20"/>
          <w:szCs w:val="20"/>
          <w:color w:val="auto"/>
        </w:rPr>
      </w:pPr>
      <w:r>
        <w:rPr>
          <w:rFonts w:ascii="Courier New" w:cs="Courier New" w:eastAsia="Courier New" w:hAnsi="Courier New"/>
          <w:sz w:val="17"/>
          <w:szCs w:val="17"/>
          <w:color w:val="auto"/>
        </w:rPr>
        <w:t>Calculation of 2005 Estimated Free Cash Flow</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(dollars in billions)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w w:val="98"/>
              </w:rPr>
              <w:t>Free Cash Flow</w:t>
            </w:r>
          </w:p>
        </w:tc>
      </w:tr>
      <w:tr>
        <w:trPr>
          <w:trHeight w:val="194"/>
        </w:trPr>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46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Operating</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Income</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w:t>
            </w:r>
          </w:p>
        </w:tc>
      </w:tr>
      <w:tr>
        <w:trPr>
          <w:trHeight w:val="389"/>
        </w:trPr>
        <w:tc>
          <w:tcPr>
            <w:tcW w:w="3600" w:type="dxa"/>
            <w:vAlign w:val="bottom"/>
            <w:gridSpan w:val="3"/>
          </w:tcPr>
          <w:p>
            <w:pPr>
              <w:spacing w:after="0"/>
              <w:rPr>
                <w:sz w:val="20"/>
                <w:szCs w:val="20"/>
                <w:color w:val="auto"/>
              </w:rPr>
            </w:pPr>
            <w:r>
              <w:rPr>
                <w:rFonts w:ascii="Courier New" w:cs="Courier New" w:eastAsia="Courier New" w:hAnsi="Courier New"/>
                <w:sz w:val="17"/>
                <w:szCs w:val="17"/>
                <w:color w:val="auto"/>
              </w:rPr>
              <w:t>Add: Depreciation and Amortization</w:t>
            </w:r>
          </w:p>
        </w:tc>
        <w:tc>
          <w:tcPr>
            <w:tcW w:w="24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w:t>
            </w:r>
          </w:p>
        </w:tc>
      </w:tr>
      <w:tr>
        <w:trPr>
          <w:trHeight w:val="389"/>
        </w:trPr>
        <w:tc>
          <w:tcPr>
            <w:tcW w:w="46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Operating</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Cash Flow</w:t>
            </w:r>
          </w:p>
        </w:tc>
        <w:tc>
          <w:tcPr>
            <w:tcW w:w="24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w:t>
            </w:r>
          </w:p>
        </w:tc>
      </w:tr>
      <w:tr>
        <w:trPr>
          <w:trHeight w:val="389"/>
        </w:trPr>
        <w:tc>
          <w:tcPr>
            <w:tcW w:w="3600" w:type="dxa"/>
            <w:vAlign w:val="bottom"/>
            <w:gridSpan w:val="3"/>
          </w:tcPr>
          <w:p>
            <w:pPr>
              <w:spacing w:after="0"/>
              <w:rPr>
                <w:sz w:val="20"/>
                <w:szCs w:val="20"/>
                <w:color w:val="auto"/>
              </w:rPr>
            </w:pPr>
            <w:r>
              <w:rPr>
                <w:rFonts w:ascii="Courier New" w:cs="Courier New" w:eastAsia="Courier New" w:hAnsi="Courier New"/>
                <w:sz w:val="17"/>
                <w:szCs w:val="17"/>
                <w:color w:val="auto"/>
              </w:rPr>
              <w:t>Less: 2004 Capital Expenditures</w:t>
            </w:r>
          </w:p>
        </w:tc>
        <w:tc>
          <w:tcPr>
            <w:tcW w:w="24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w:t>
            </w:r>
          </w:p>
        </w:tc>
      </w:tr>
      <w:tr>
        <w:trPr>
          <w:trHeight w:val="194"/>
        </w:trPr>
        <w:tc>
          <w:tcPr>
            <w:tcW w:w="460" w:type="dxa"/>
            <w:vAlign w:val="bottom"/>
          </w:tcPr>
          <w:p>
            <w:pPr>
              <w:spacing w:after="0"/>
              <w:rPr>
                <w:sz w:val="16"/>
                <w:szCs w:val="16"/>
                <w:color w:val="auto"/>
              </w:rPr>
            </w:pPr>
          </w:p>
        </w:tc>
        <w:tc>
          <w:tcPr>
            <w:tcW w:w="31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2004 Consolidated Interest,</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net</w:t>
            </w: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w:t>
            </w:r>
          </w:p>
        </w:tc>
      </w:tr>
      <w:tr>
        <w:trPr>
          <w:trHeight w:val="194"/>
        </w:trPr>
        <w:tc>
          <w:tcPr>
            <w:tcW w:w="460" w:type="dxa"/>
            <w:vAlign w:val="bottom"/>
          </w:tcPr>
          <w:p>
            <w:pPr>
              <w:spacing w:after="0"/>
              <w:rPr>
                <w:sz w:val="16"/>
                <w:szCs w:val="16"/>
                <w:color w:val="auto"/>
              </w:rPr>
            </w:pPr>
          </w:p>
        </w:tc>
        <w:tc>
          <w:tcPr>
            <w:tcW w:w="31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2004 Consolidated Cash Paid</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for</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Income Taxes</w:t>
            </w:r>
          </w:p>
        </w:tc>
        <w:tc>
          <w:tcPr>
            <w:tcW w:w="240" w:type="dxa"/>
            <w:vAlign w:val="bottom"/>
          </w:tcPr>
          <w:p>
            <w:pPr>
              <w:spacing w:after="0"/>
              <w:rPr>
                <w:sz w:val="16"/>
                <w:szCs w:val="16"/>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w:t>
            </w:r>
          </w:p>
        </w:tc>
      </w:tr>
      <w:tr>
        <w:trPr>
          <w:trHeight w:val="389"/>
        </w:trPr>
        <w:tc>
          <w:tcPr>
            <w:tcW w:w="46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Free Cash</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Flow</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w:t>
            </w:r>
          </w:p>
        </w:tc>
      </w:tr>
      <w:tr>
        <w:trPr>
          <w:trHeight w:val="194"/>
        </w:trPr>
        <w:tc>
          <w:tcPr>
            <w:tcW w:w="460" w:type="dxa"/>
            <w:vAlign w:val="bottom"/>
          </w:tcPr>
          <w:p>
            <w:pPr>
              <w:spacing w:after="0"/>
              <w:rPr>
                <w:sz w:val="20"/>
                <w:szCs w:val="20"/>
                <w:color w:val="auto"/>
              </w:rPr>
            </w:pPr>
            <w:r>
              <w:rPr>
                <w:rFonts w:ascii="Courier New" w:cs="Courier New" w:eastAsia="Courier New" w:hAnsi="Courier New"/>
                <w:sz w:val="17"/>
                <w:szCs w:val="17"/>
                <w:color w:val="auto"/>
              </w:rPr>
              <w:t>2005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Free Cash</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Flow Growth</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35% to 45%</w:t>
            </w:r>
          </w:p>
        </w:tc>
      </w:tr>
      <w:tr>
        <w:trPr>
          <w:trHeight w:val="194"/>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Projected 2005</w:t>
            </w:r>
          </w:p>
        </w:tc>
        <w:tc>
          <w:tcPr>
            <w:tcW w:w="2140" w:type="dxa"/>
            <w:vAlign w:val="bottom"/>
          </w:tcPr>
          <w:p>
            <w:pPr>
              <w:ind w:left="60"/>
              <w:spacing w:after="0"/>
              <w:rPr>
                <w:sz w:val="20"/>
                <w:szCs w:val="20"/>
                <w:color w:val="auto"/>
              </w:rPr>
            </w:pPr>
            <w:r>
              <w:rPr>
                <w:rFonts w:ascii="Courier New" w:cs="Courier New" w:eastAsia="Courier New" w:hAnsi="Courier New"/>
                <w:sz w:val="17"/>
                <w:szCs w:val="17"/>
                <w:color w:val="auto"/>
              </w:rPr>
              <w:t>Free Cash Flow</w:t>
            </w:r>
          </w:p>
        </w:tc>
        <w:tc>
          <w:tcPr>
            <w:tcW w:w="240" w:type="dxa"/>
            <w:vAlign w:val="bottom"/>
          </w:tcPr>
          <w:p>
            <w:pPr>
              <w:spacing w:after="0"/>
              <w:rPr>
                <w:sz w:val="16"/>
                <w:szCs w:val="16"/>
                <w:color w:val="auto"/>
              </w:rPr>
            </w:pPr>
          </w:p>
        </w:tc>
        <w:tc>
          <w:tcPr>
            <w:tcW w:w="1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$2.6 to $2.8</w:t>
            </w:r>
          </w:p>
        </w:tc>
      </w:tr>
    </w:tbl>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Reconciliation of Total Debt to Debt Excluding Exchangeables (Unaudited)</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(dollars in millions)</w:t>
      </w:r>
    </w:p>
    <w:p>
      <w:pPr>
        <w:spacing w:after="0" w:line="196"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June 30,</w:t>
            </w:r>
          </w:p>
        </w:tc>
        <w:tc>
          <w:tcPr>
            <w:tcW w:w="13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December 31,</w:t>
            </w:r>
          </w:p>
        </w:tc>
      </w:tr>
      <w:tr>
        <w:trPr>
          <w:trHeight w:val="194"/>
        </w:trPr>
        <w:tc>
          <w:tcPr>
            <w:tcW w:w="3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2005</w:t>
            </w:r>
          </w:p>
        </w:tc>
        <w:tc>
          <w:tcPr>
            <w:tcW w:w="40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2004</w:t>
            </w:r>
          </w:p>
        </w:tc>
      </w:tr>
      <w:tr>
        <w:trPr>
          <w:trHeight w:val="194"/>
        </w:trPr>
        <w:tc>
          <w:tcPr>
            <w:tcW w:w="3700" w:type="dxa"/>
            <w:vAlign w:val="bottom"/>
          </w:tcPr>
          <w:p>
            <w:pPr>
              <w:spacing w:after="0"/>
              <w:rPr>
                <w:sz w:val="16"/>
                <w:szCs w:val="16"/>
                <w:color w:val="auto"/>
              </w:rPr>
            </w:pPr>
          </w:p>
        </w:tc>
        <w:tc>
          <w:tcPr>
            <w:tcW w:w="17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Current portion of long-term debt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4,384</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3,499</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5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19,746</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20,093</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Total Debt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24,130</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23,592</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Exchangeable debt</w:t>
            </w:r>
          </w:p>
        </w:tc>
        <w:tc>
          <w:tcPr>
            <w:tcW w:w="500" w:type="dxa"/>
            <w:vAlign w:val="bottom"/>
          </w:tcPr>
          <w:p>
            <w:pPr>
              <w:spacing w:after="0"/>
              <w:rPr>
                <w:sz w:val="16"/>
                <w:szCs w:val="16"/>
                <w:color w:val="auto"/>
              </w:rPr>
            </w:pP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1,066</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1,699</w:t>
            </w:r>
          </w:p>
        </w:tc>
      </w:tr>
      <w:tr>
        <w:trPr>
          <w:trHeight w:val="194"/>
        </w:trPr>
        <w:tc>
          <w:tcPr>
            <w:tcW w:w="3700" w:type="dxa"/>
            <w:vAlign w:val="bottom"/>
          </w:tcPr>
          <w:p>
            <w:pPr>
              <w:spacing w:after="0"/>
              <w:rPr>
                <w:sz w:val="20"/>
                <w:szCs w:val="20"/>
                <w:color w:val="auto"/>
              </w:rPr>
            </w:pPr>
            <w:r>
              <w:rPr>
                <w:rFonts w:ascii="Courier New" w:cs="Courier New" w:eastAsia="Courier New" w:hAnsi="Courier New"/>
                <w:sz w:val="17"/>
                <w:szCs w:val="17"/>
                <w:color w:val="auto"/>
              </w:rPr>
              <w:t>Debt excluding exchangeables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23,064</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21,893</w:t>
            </w:r>
          </w:p>
        </w:tc>
      </w:tr>
    </w:tbl>
    <w:p>
      <w:pPr>
        <w:spacing w:after="0" w:line="199" w:lineRule="exact"/>
        <w:rPr>
          <w:sz w:val="20"/>
          <w:szCs w:val="20"/>
          <w:color w:val="auto"/>
        </w:rPr>
      </w:pPr>
    </w:p>
    <w:p>
      <w:pPr>
        <w:ind w:left="500" w:right="2119" w:hanging="496"/>
        <w:spacing w:after="0" w:line="241" w:lineRule="auto"/>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data is only adjusted for timing of the acquisitions (or dispositions) and does not include adjustments for costs related to integration activities, cost savings or synergies that have been or may be achieved by the combined businesses. There were no pro forma adjustments to the three and six months ending June 30, 2005. Minor differences may exist due to rounding.</w:t>
      </w:r>
    </w:p>
    <w:p>
      <w:pPr>
        <w:spacing w:after="0" w:line="200" w:lineRule="exact"/>
        <w:rPr>
          <w:rFonts w:ascii="Courier New" w:cs="Courier New" w:eastAsia="Courier New" w:hAnsi="Courier New"/>
          <w:sz w:val="17"/>
          <w:szCs w:val="17"/>
          <w:color w:val="auto"/>
        </w:rPr>
      </w:pPr>
    </w:p>
    <w:p>
      <w:pPr>
        <w:ind w:left="500" w:right="2639" w:hanging="496"/>
        <w:spacing w:after="0" w:line="239" w:lineRule="auto"/>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interest expense net of interest income and excludes non-cash interest and subsidiary preferred dividends.</w:t>
      </w:r>
    </w:p>
    <w:p>
      <w:pPr>
        <w:spacing w:after="0" w:line="199" w:lineRule="exact"/>
        <w:rPr>
          <w:rFonts w:ascii="Courier New" w:cs="Courier New" w:eastAsia="Courier New" w:hAnsi="Courier New"/>
          <w:sz w:val="17"/>
          <w:szCs w:val="17"/>
          <w:color w:val="auto"/>
        </w:rPr>
      </w:pPr>
    </w:p>
    <w:p>
      <w:pPr>
        <w:ind w:left="500" w:right="2119" w:hanging="496"/>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non-cash interest expense included in Operating Cash Flow, cash related to other (income) expense, dividends, and the net effect of changes in accrued income taxes.</w:t>
      </w:r>
    </w:p>
    <w:p>
      <w:pPr>
        <w:spacing w:after="0" w:line="19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SOURCE</w:t>
      </w:r>
      <w:r>
        <w:rPr>
          <w:sz w:val="20"/>
          <w:szCs w:val="20"/>
          <w:color w:val="auto"/>
        </w:rPr>
        <w:tab/>
      </w:r>
      <w:r>
        <w:rPr>
          <w:rFonts w:ascii="Courier New" w:cs="Courier New" w:eastAsia="Courier New" w:hAnsi="Courier New"/>
          <w:sz w:val="16"/>
          <w:szCs w:val="16"/>
          <w:color w:val="auto"/>
        </w:rPr>
        <w:t>Comcast Corporation</w:t>
      </w:r>
    </w:p>
    <w:p>
      <w:pPr>
        <w:spacing w:after="0" w:line="2" w:lineRule="exact"/>
        <w:rPr>
          <w:sz w:val="20"/>
          <w:szCs w:val="20"/>
          <w:color w:val="auto"/>
        </w:rPr>
      </w:pPr>
    </w:p>
    <w:p>
      <w:pPr>
        <w:ind w:left="400"/>
        <w:spacing w:after="0"/>
        <w:tabs>
          <w:tab w:leader="none" w:pos="3620" w:val="left"/>
        </w:tabs>
        <w:rPr>
          <w:sz w:val="20"/>
          <w:szCs w:val="20"/>
          <w:color w:val="auto"/>
        </w:rPr>
      </w:pP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7"/>
          <w:szCs w:val="17"/>
          <w:color w:val="auto"/>
        </w:rPr>
        <w:t>08/02/2005</w:t>
      </w:r>
    </w:p>
    <w:p>
      <w:pPr>
        <w:spacing w:after="0" w:line="4" w:lineRule="exact"/>
        <w:rPr>
          <w:sz w:val="20"/>
          <w:szCs w:val="20"/>
          <w:color w:val="auto"/>
        </w:rPr>
      </w:pPr>
    </w:p>
    <w:p>
      <w:pPr>
        <w:ind w:right="2319" w:firstLine="404"/>
        <w:spacing w:after="0" w:line="241" w:lineRule="auto"/>
        <w:rPr>
          <w:sz w:val="20"/>
          <w:szCs w:val="20"/>
          <w:color w:val="auto"/>
        </w:rPr>
      </w:pPr>
      <w:r>
        <w:rPr>
          <w:rFonts w:ascii="Courier New" w:cs="Courier New" w:eastAsia="Courier New" w:hAnsi="Courier New"/>
          <w:sz w:val="17"/>
          <w:szCs w:val="17"/>
          <w:color w:val="auto"/>
        </w:rPr>
        <w:t>/CONTACT: Investor Contacts: Marlene S. Dooner, +1-215-981-7392, Leslie A. Arena, +1-215-981-8511, or Daniel J. Goodwin, +1-215-981-7518; or Press Contacts: D'Arcy Rudnay, +1-215-981-8582, or Tim Fitzpatrick, +1-215-981-8515, all of Comcast/</w:t>
      </w:r>
    </w:p>
    <w:p>
      <w:pPr>
        <w:spacing w:after="0" w:line="2" w:lineRule="exact"/>
        <w:rPr>
          <w:sz w:val="20"/>
          <w:szCs w:val="20"/>
          <w:color w:val="auto"/>
        </w:rPr>
      </w:pPr>
    </w:p>
    <w:p>
      <w:pPr>
        <w:ind w:left="400"/>
        <w:spacing w:after="0"/>
        <w:tabs>
          <w:tab w:leader="none" w:pos="1600" w:val="left"/>
        </w:tabs>
        <w:rPr>
          <w:sz w:val="20"/>
          <w:szCs w:val="20"/>
          <w:color w:val="auto"/>
        </w:rPr>
      </w:pPr>
      <w:r>
        <w:rPr>
          <w:rFonts w:ascii="Courier New" w:cs="Courier New" w:eastAsia="Courier New" w:hAnsi="Courier New"/>
          <w:sz w:val="17"/>
          <w:szCs w:val="17"/>
          <w:color w:val="auto"/>
        </w:rPr>
        <w:t>/Web site:</w:t>
      </w:r>
      <w:r>
        <w:rPr>
          <w:sz w:val="20"/>
          <w:szCs w:val="20"/>
          <w:color w:val="auto"/>
        </w:rPr>
        <w:tab/>
      </w:r>
      <w:r>
        <w:rPr>
          <w:rFonts w:ascii="Courier New" w:cs="Courier New" w:eastAsia="Courier New" w:hAnsi="Courier New"/>
          <w:sz w:val="16"/>
          <w:szCs w:val="16"/>
          <w:color w:val="auto"/>
        </w:rPr>
        <w:t>http://www.comcast.com /</w:t>
      </w:r>
    </w:p>
    <w:p>
      <w:pPr>
        <w:spacing w:after="0" w:line="2" w:lineRule="exact"/>
        <w:rPr>
          <w:sz w:val="20"/>
          <w:szCs w:val="20"/>
          <w:color w:val="auto"/>
        </w:rPr>
      </w:pPr>
    </w:p>
    <w:p>
      <w:pPr>
        <w:ind w:left="400"/>
        <w:spacing w:after="0"/>
        <w:tabs>
          <w:tab w:leader="none" w:pos="1600" w:val="left"/>
        </w:tabs>
        <w:rPr>
          <w:sz w:val="20"/>
          <w:szCs w:val="20"/>
          <w:color w:val="auto"/>
        </w:rPr>
      </w:pPr>
      <w:r>
        <w:rPr>
          <w:rFonts w:ascii="Courier New" w:cs="Courier New" w:eastAsia="Courier New" w:hAnsi="Courier New"/>
          <w:sz w:val="17"/>
          <w:szCs w:val="17"/>
          <w:color w:val="auto"/>
        </w:rPr>
        <w:t>/Web site:</w:t>
      </w:r>
      <w:r>
        <w:rPr>
          <w:sz w:val="20"/>
          <w:szCs w:val="20"/>
          <w:color w:val="auto"/>
        </w:rPr>
        <w:tab/>
      </w:r>
      <w:r>
        <w:rPr>
          <w:rFonts w:ascii="Courier New" w:cs="Courier New" w:eastAsia="Courier New" w:hAnsi="Courier New"/>
          <w:sz w:val="16"/>
          <w:szCs w:val="16"/>
          <w:color w:val="auto"/>
        </w:rPr>
        <w:t>http://www.cmcsk.com /</w:t>
      </w:r>
    </w:p>
    <w:p>
      <w:pPr>
        <w:spacing w:after="0" w:line="2" w:lineRule="exact"/>
        <w:rPr>
          <w:sz w:val="20"/>
          <w:szCs w:val="20"/>
          <w:color w:val="auto"/>
        </w:rPr>
      </w:pPr>
    </w:p>
    <w:p>
      <w:pPr>
        <w:ind w:left="400"/>
        <w:spacing w:after="0"/>
        <w:tabs>
          <w:tab w:leader="none" w:pos="1600" w:val="left"/>
        </w:tabs>
        <w:rPr>
          <w:sz w:val="20"/>
          <w:szCs w:val="20"/>
          <w:color w:val="auto"/>
        </w:rPr>
      </w:pPr>
      <w:r>
        <w:rPr>
          <w:rFonts w:ascii="Courier New" w:cs="Courier New" w:eastAsia="Courier New" w:hAnsi="Courier New"/>
          <w:sz w:val="17"/>
          <w:szCs w:val="17"/>
          <w:color w:val="auto"/>
        </w:rPr>
        <w:t>/Web site:</w:t>
      </w:r>
      <w:r>
        <w:rPr>
          <w:sz w:val="20"/>
          <w:szCs w:val="20"/>
          <w:color w:val="auto"/>
        </w:rPr>
        <w:tab/>
      </w:r>
      <w:r>
        <w:rPr>
          <w:rFonts w:ascii="Courier New" w:cs="Courier New" w:eastAsia="Courier New" w:hAnsi="Courier New"/>
          <w:sz w:val="16"/>
          <w:szCs w:val="16"/>
          <w:color w:val="auto"/>
        </w:rPr>
        <w:t>http://www.cmcsa.com /</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(CMCSK CMCSA)</w:t>
      </w:r>
    </w:p>
    <w:sectPr>
      <w:pgSz w:w="11900" w:h="16838" w:orient="portrait"/>
      <w:cols w:equalWidth="0" w:num="1">
        <w:col w:w="10219"/>
      </w:cols>
      <w:pgMar w:left="240" w:top="6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2019-12-15T06:53:31Z</dcterms:created>
  <dcterms:modified xsi:type="dcterms:W3CDTF">2019-12-15T06:53:31Z</dcterms:modified>
</cp:coreProperties>
</file>