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11-K</w:t>
      </w:r>
    </w:p>
    <w:p>
      <w:pPr>
        <w:spacing w:after="0" w:line="186"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ANNUAL REPORT</w:t>
      </w:r>
    </w:p>
    <w:p>
      <w:pPr>
        <w:spacing w:after="0" w:line="171"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Pursuant to Section 15(d) of the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109855</wp:posOffset>
            </wp:positionV>
            <wp:extent cx="2933065" cy="746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3065" cy="7461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151130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r>
        <w:rPr>
          <w:rFonts w:ascii="Arial" w:cs="Arial" w:eastAsia="Arial" w:hAnsi="Arial"/>
          <w:sz w:val="22"/>
          <w:szCs w:val="22"/>
          <w:color w:val="auto"/>
        </w:rPr>
        <w:t>.</w:t>
      </w:r>
    </w:p>
    <w:p>
      <w:pPr>
        <w:spacing w:after="0" w:line="98"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17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09" w:lineRule="exact"/>
        <w:rPr>
          <w:sz w:val="24"/>
          <w:szCs w:val="24"/>
          <w:color w:val="auto"/>
        </w:rPr>
      </w:pPr>
    </w:p>
    <w:p>
      <w:pPr>
        <w:ind w:left="56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-10160</wp:posOffset>
            </wp:positionV>
            <wp:extent cx="789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9940" cy="8890"/>
                    </a:xfrm>
                    <a:prstGeom prst="rect">
                      <a:avLst/>
                    </a:prstGeom>
                    <a:noFill/>
                  </pic:spPr>
                </pic:pic>
              </a:graphicData>
            </a:graphic>
          </wp:anchor>
        </w:drawing>
      </w:r>
    </w:p>
    <w:p>
      <w:pPr>
        <w:spacing w:after="0" w:line="7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Commission file number 000-50093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83820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COMCAST CORPORATION RETIREMENT-INVESTMENT PLAN</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1500 Market Street</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Philadelphia, PA 19102-2148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80"/>
          </w:cols>
          <w:pgMar w:left="240" w:top="230" w:right="6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COMCAST CORPORATION RETIREMENT- INVESTMENT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and 2004 and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as of December 31,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Report of Independent Registered 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Firm</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Page</w:t>
            </w:r>
          </w:p>
        </w:tc>
      </w:tr>
      <w:tr>
        <w:trPr>
          <w:trHeight w:val="277"/>
        </w:trPr>
        <w:tc>
          <w:tcPr>
            <w:tcW w:w="1082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3"/>
        </w:trPr>
        <w:tc>
          <w:tcPr>
            <w:tcW w:w="56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16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38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2005 and 2004</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38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2005</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6900" w:type="dxa"/>
            <w:vAlign w:val="bottom"/>
            <w:tcBorders>
              <w:top w:val="single" w:sz="8" w:color="0000EE"/>
            </w:tcBorders>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3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43"/>
        </w:trPr>
        <w:tc>
          <w:tcPr>
            <w:tcW w:w="10820" w:type="dxa"/>
            <w:vAlign w:val="bottom"/>
            <w:gridSpan w:val="9"/>
          </w:tcPr>
          <w:p>
            <w:pPr>
              <w:spacing w:after="0"/>
              <w:rPr>
                <w:sz w:val="20"/>
                <w:szCs w:val="20"/>
                <w:color w:val="auto"/>
              </w:rPr>
            </w:pPr>
            <w:r>
              <w:rPr>
                <w:rFonts w:ascii="Arial" w:cs="Arial" w:eastAsia="Arial" w:hAnsi="Arial"/>
                <w:sz w:val="18"/>
                <w:szCs w:val="18"/>
                <w:color w:val="auto"/>
              </w:rPr>
              <w:t>SUPPLEMENTAL SCHEDULE:</w:t>
            </w:r>
          </w:p>
        </w:tc>
        <w:tc>
          <w:tcPr>
            <w:tcW w:w="60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1038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Schedule H - Line 4i - Schedule of Assets (Held at End of Year) as of December 31, 2005</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4"/>
        </w:trPr>
        <w:tc>
          <w:tcPr>
            <w:tcW w:w="58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CONSENT OF INDEPENDENT REGISTERED PUBLIC ACCOUNTING FIRM</w:t>
              </w:r>
            </w:hyperlink>
          </w:p>
        </w:tc>
        <w:tc>
          <w:tcPr>
            <w:tcW w:w="500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0820" w:type="dxa"/>
            <w:vAlign w:val="bottom"/>
            <w:gridSpan w:val="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SIGNATURE</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 Corporation Retirement-Investment Plan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jc w:val="both"/>
        <w:ind w:right="340"/>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Comcast Corporation Retirement-Investment Plan (the “Plan”) as of December 31, 2005 and 2004, and the related statement of changes in net assets available for benefits for the year ended December 31, 2005.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as of December 31, 2005 and 2004, and the changes in net assets available for benefits for the year ended December 31, 2005 in conformity with accounting principles generally accepted in the United States of America.</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were conducted for the purpose of forming an opinion on the basic financial statements taken as a whole. The supplemental schedule of assets (held at end of year) as of December 31, 2005 (Schedule H - Line 4i)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27,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 AND 2004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r>
      <w:tr>
        <w:trPr>
          <w:trHeight w:val="161"/>
        </w:trPr>
        <w:tc>
          <w:tcPr>
            <w:tcW w:w="9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2004</w:t>
            </w: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1,642</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Contributions receivable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Investments, at fair or contract value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1,765,775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1,628,745</w:t>
            </w:r>
          </w:p>
        </w:tc>
      </w:tr>
      <w:tr>
        <w:trPr>
          <w:trHeight w:val="216"/>
        </w:trPr>
        <w:tc>
          <w:tcPr>
            <w:tcW w:w="9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receivable from participants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57,164</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47,952</w:t>
            </w:r>
          </w:p>
        </w:tc>
      </w:tr>
      <w:tr>
        <w:trPr>
          <w:trHeight w:val="222"/>
        </w:trPr>
        <w:tc>
          <w:tcPr>
            <w:tcW w:w="902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1,823,155</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1,687,055</w:t>
            </w:r>
          </w:p>
        </w:tc>
      </w:tr>
      <w:tr>
        <w:trPr>
          <w:trHeight w:val="20"/>
        </w:trPr>
        <w:tc>
          <w:tcPr>
            <w:tcW w:w="9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2005</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and unrealized depreciation in fair value of investments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Interest and dividends</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32,033</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2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Employer</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291,381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0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ATTRIBUTED TO:</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Benefits paid to participants or beneficiaries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(155,281)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(155,281)</w:t>
            </w:r>
          </w:p>
        </w:tc>
        <w:tc>
          <w:tcPr>
            <w:tcW w:w="0" w:type="dxa"/>
            <w:vAlign w:val="bottom"/>
          </w:tcPr>
          <w:p>
            <w:pPr>
              <w:spacing w:after="0"/>
              <w:rPr>
                <w:sz w:val="1"/>
                <w:szCs w:val="1"/>
                <w:color w:val="auto"/>
              </w:rPr>
            </w:pPr>
          </w:p>
        </w:tc>
      </w:tr>
      <w:tr>
        <w:trPr>
          <w:trHeight w:val="329"/>
        </w:trPr>
        <w:tc>
          <w:tcPr>
            <w:tcW w:w="8080" w:type="dxa"/>
            <w:vAlign w:val="bottom"/>
            <w:gridSpan w:val="2"/>
          </w:tcPr>
          <w:p>
            <w:pPr>
              <w:spacing w:after="0"/>
              <w:rPr>
                <w:sz w:val="20"/>
                <w:szCs w:val="20"/>
                <w:color w:val="auto"/>
              </w:rPr>
            </w:pPr>
            <w:r>
              <w:rPr>
                <w:rFonts w:ascii="Arial" w:cs="Arial" w:eastAsia="Arial" w:hAnsi="Arial"/>
                <w:sz w:val="18"/>
                <w:szCs w:val="18"/>
                <w:color w:val="auto"/>
              </w:rPr>
              <w:t>Net increase</w:t>
            </w:r>
          </w:p>
        </w:tc>
        <w:tc>
          <w:tcPr>
            <w:tcW w:w="2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1,687,055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1,823,155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2005 and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60" w:right="9220" w:hanging="452"/>
        <w:spacing w:after="0" w:line="444" w:lineRule="auto"/>
        <w:tabs>
          <w:tab w:leader="none" w:pos="44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DESCRIPTION </w:t>
      </w:r>
      <w:r>
        <w:rPr>
          <w:rFonts w:ascii="Arial" w:cs="Arial" w:eastAsia="Arial" w:hAnsi="Arial"/>
          <w:sz w:val="16"/>
          <w:szCs w:val="16"/>
          <w:u w:val="single" w:color="auto"/>
          <w:color w:val="auto"/>
        </w:rPr>
        <w:t>General</w:t>
      </w:r>
    </w:p>
    <w:p>
      <w:pPr>
        <w:ind w:left="460" w:right="2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Administrator, Comcast Corporation (“Comcast”, the “Company” or the “Plan Administrator”). Generally, all costs associated with administering the Plan are paid by the Plan Administrator.</w:t>
      </w:r>
    </w:p>
    <w:p>
      <w:pPr>
        <w:spacing w:after="0" w:line="143" w:lineRule="exact"/>
        <w:rPr>
          <w:rFonts w:ascii="Arial" w:cs="Arial" w:eastAsia="Arial" w:hAnsi="Arial"/>
          <w:sz w:val="16"/>
          <w:szCs w:val="16"/>
          <w:b w:val="1"/>
          <w:bCs w:val="1"/>
          <w:color w:val="auto"/>
        </w:rPr>
      </w:pPr>
    </w:p>
    <w:p>
      <w:pPr>
        <w:ind w:left="460" w:right="2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The Plan is a defined contribution plan qualified under Internal Revenue Code (the “Code”) Sections 401(a), 401(k)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106" w:lineRule="exact"/>
        <w:rPr>
          <w:rFonts w:ascii="Arial" w:cs="Arial" w:eastAsia="Arial" w:hAnsi="Arial"/>
          <w:sz w:val="16"/>
          <w:szCs w:val="16"/>
          <w:b w:val="1"/>
          <w:bCs w:val="1"/>
          <w:color w:val="auto"/>
        </w:rPr>
      </w:pPr>
    </w:p>
    <w:p>
      <w:pPr>
        <w:ind w:left="460" w:right="6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Effective January 1, 2003, the Plan was amended such that full-time employees become eligible to participate in the Plan after completion of six months of service and part-time employees become eligible to participate in the Plan after one year and completion of 1,000 hours of service. Also, effective January 1, 2003, the Plan was amended to reduce the service requirement for full-time employees to become eligible for Company matching contributions from one year to six months except for certain collectively bargained employees.</w:t>
      </w:r>
    </w:p>
    <w:p>
      <w:pPr>
        <w:spacing w:after="0" w:line="143" w:lineRule="exact"/>
        <w:rPr>
          <w:rFonts w:ascii="Arial" w:cs="Arial" w:eastAsia="Arial" w:hAnsi="Arial"/>
          <w:sz w:val="16"/>
          <w:szCs w:val="16"/>
          <w:b w:val="1"/>
          <w:bCs w:val="1"/>
          <w:color w:val="auto"/>
        </w:rPr>
      </w:pPr>
    </w:p>
    <w:p>
      <w:pPr>
        <w:ind w:left="460" w:right="4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Effective July 1, 2003, the Plan was amended to increase the maximum amount of eligible compensation that may be deferred from 17% to 50%, subject to certain limits imposed by the Code.</w:t>
      </w:r>
    </w:p>
    <w:p>
      <w:pPr>
        <w:spacing w:after="0" w:line="131" w:lineRule="exact"/>
        <w:rPr>
          <w:rFonts w:ascii="Arial" w:cs="Arial" w:eastAsia="Arial" w:hAnsi="Arial"/>
          <w:sz w:val="16"/>
          <w:szCs w:val="16"/>
          <w:b w:val="1"/>
          <w:bCs w:val="1"/>
          <w:color w:val="auto"/>
        </w:rPr>
      </w:pPr>
    </w:p>
    <w:p>
      <w:pPr>
        <w:ind w:left="460" w:right="200"/>
        <w:spacing w:after="0" w:line="332" w:lineRule="auto"/>
        <w:rPr>
          <w:rFonts w:ascii="Arial" w:cs="Arial" w:eastAsia="Arial" w:hAnsi="Arial"/>
          <w:sz w:val="16"/>
          <w:szCs w:val="16"/>
          <w:b w:val="1"/>
          <w:bCs w:val="1"/>
          <w:color w:val="auto"/>
        </w:rPr>
      </w:pPr>
      <w:r>
        <w:rPr>
          <w:rFonts w:ascii="Arial" w:cs="Arial" w:eastAsia="Arial" w:hAnsi="Arial"/>
          <w:sz w:val="16"/>
          <w:szCs w:val="16"/>
          <w:color w:val="auto"/>
        </w:rPr>
        <w:t>Effective January 1, 2003, the Plan was amended to increase the employer matching contribution rate so that the Company matches 100% of the participant’s contribution up to 6% of the participant’s eligible compensation for such payroll period except for certain collectively bargained employees.</w:t>
      </w:r>
    </w:p>
    <w:p>
      <w:pPr>
        <w:spacing w:after="0" w:line="85" w:lineRule="exact"/>
        <w:rPr>
          <w:rFonts w:ascii="Arial" w:cs="Arial" w:eastAsia="Arial" w:hAnsi="Arial"/>
          <w:sz w:val="16"/>
          <w:szCs w:val="16"/>
          <w:b w:val="1"/>
          <w:bCs w:val="1"/>
          <w:color w:val="auto"/>
        </w:rPr>
      </w:pPr>
    </w:p>
    <w:p>
      <w:pPr>
        <w:ind w:left="460" w:right="2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for Plan years beginning after December 31, 2000 are fully and immediately vested. Company matching contributions for Plan years ended on or prior to December 31, 2000 vested according to years of service.</w:t>
      </w:r>
    </w:p>
    <w:p>
      <w:pPr>
        <w:spacing w:after="0" w:line="140" w:lineRule="exact"/>
        <w:rPr>
          <w:rFonts w:ascii="Arial" w:cs="Arial" w:eastAsia="Arial" w:hAnsi="Arial"/>
          <w:sz w:val="16"/>
          <w:szCs w:val="16"/>
          <w:b w:val="1"/>
          <w:bCs w:val="1"/>
          <w:color w:val="auto"/>
        </w:rPr>
      </w:pPr>
    </w:p>
    <w:p>
      <w:pPr>
        <w:ind w:left="4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Administrator.</w:t>
      </w:r>
    </w:p>
    <w:p>
      <w:pPr>
        <w:spacing w:after="0" w:line="140" w:lineRule="exact"/>
        <w:rPr>
          <w:rFonts w:ascii="Arial" w:cs="Arial" w:eastAsia="Arial" w:hAnsi="Arial"/>
          <w:sz w:val="16"/>
          <w:szCs w:val="16"/>
          <w:b w:val="1"/>
          <w:bCs w:val="1"/>
          <w:color w:val="auto"/>
        </w:rPr>
      </w:pPr>
    </w:p>
    <w:p>
      <w:pPr>
        <w:ind w:left="460" w:right="4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Amounts contributed by the Company which are forfeited by participants as a result of the participants’ separation from service prior to becoming 100% vested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 used for the years ended December 31, 2005 and 2004 amounted to $722,095 and $411,648,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2005 and 2004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Any participant who has a separation from service for any reason except death, disability or attainment of age 65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installments over a period of time, any combination of the foregoing or a rollover into another qualified plan.</w:t>
      </w:r>
    </w:p>
    <w:p>
      <w:pPr>
        <w:spacing w:after="0" w:line="116"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85" w:lineRule="exact"/>
        <w:rPr>
          <w:sz w:val="20"/>
          <w:szCs w:val="20"/>
          <w:color w:val="auto"/>
        </w:rPr>
      </w:pPr>
    </w:p>
    <w:p>
      <w:pPr>
        <w:jc w:val="both"/>
        <w:ind w:left="460" w:right="280"/>
        <w:spacing w:after="0" w:line="259" w:lineRule="auto"/>
        <w:rPr>
          <w:sz w:val="20"/>
          <w:szCs w:val="20"/>
          <w:color w:val="auto"/>
        </w:rPr>
      </w:pPr>
      <w:r>
        <w:rPr>
          <w:rFonts w:ascii="Arial" w:cs="Arial" w:eastAsia="Arial" w:hAnsi="Arial"/>
          <w:sz w:val="18"/>
          <w:szCs w:val="18"/>
          <w:color w:val="auto"/>
        </w:rPr>
        <w:t>Effective on June 1, 2005, the Plan was amended to adopt the IRS Mandatory Cash Out Regulations. On December 13, 2005, the Plan was amended to provide that employee compensation shall not be deemed eligible Plan compensation when paid more than 75 days after an employee’s separation from service. This amendment became effective January 1, 2006.</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Trustee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Fidelity Management Trust Company is the appointed Trustee of the Plan.</w:t>
      </w:r>
    </w:p>
    <w:p>
      <w:pPr>
        <w:spacing w:after="0" w:line="20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7" w:lineRule="exact"/>
        <w:rPr>
          <w:rFonts w:ascii="Arial" w:cs="Arial" w:eastAsia="Arial" w:hAnsi="Arial"/>
          <w:sz w:val="18"/>
          <w:szCs w:val="18"/>
          <w:b w:val="1"/>
          <w:bCs w:val="1"/>
          <w:color w:val="auto"/>
        </w:rPr>
      </w:pPr>
    </w:p>
    <w:p>
      <w:pPr>
        <w:ind w:left="4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financial statements of the Plan are presented using the accrual basis of accounting. Contributions receivable at December 31, 2004 represent amounts due to the Plan relating to December 24, 2004 participant and employer matching contributions not remitted to the Plan until subsequent to year-end. Investments in mutual funds, the AT&amp;T Stock Fund and the Comcast Corporation Stock Fund are carried at fair value. Fair value is determined by the last sale or closing price as of the last trading day of the Plan year for investments in securities traded on a securities exchange or the Nasdaq National Market. Investment contracts, which are included in the Comcast Stable Value Fund, are fully benefit-responsive and are carried at contract value. Contract value represents contributions made, plus interest at the contract rate and transfers, less distributions. Loans receivable from participants are valued at cost which approximates fair value. 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Benefits are recorded when paid.</w:t>
      </w:r>
    </w:p>
    <w:p>
      <w:pPr>
        <w:spacing w:after="0" w:line="119"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amounts reported in the statement of net assets available for benefits.</w:t>
      </w:r>
    </w:p>
    <w:p>
      <w:pPr>
        <w:spacing w:after="0" w:line="140" w:lineRule="exact"/>
        <w:rPr>
          <w:rFonts w:ascii="Arial" w:cs="Arial" w:eastAsia="Arial" w:hAnsi="Arial"/>
          <w:sz w:val="18"/>
          <w:szCs w:val="18"/>
          <w:b w:val="1"/>
          <w:bCs w:val="1"/>
          <w:color w:val="auto"/>
        </w:rPr>
      </w:pPr>
    </w:p>
    <w:p>
      <w:pPr>
        <w:ind w:left="4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and changes therein, and disclosure of contingent assets and liabilities. Actual results could differ from those estimates.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2005 and 2004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77"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Plan’s investments are held by a trust fund and are presented in the following table (dollars in thousands, units/shares rounded to nearest whole unit or share).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3"/>
              </w:rPr>
              <w:t>December 31, 2005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8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Number of</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b w:val="1"/>
                <w:bCs w:val="1"/>
                <w:color w:val="auto"/>
                <w:w w:val="91"/>
              </w:rPr>
              <w:t>Units/Shares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26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Ariel Fund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1,343,692</w:t>
            </w:r>
          </w:p>
        </w:tc>
        <w:tc>
          <w:tcPr>
            <w:tcW w:w="1340" w:type="dxa"/>
            <w:vAlign w:val="bottom"/>
          </w:tcPr>
          <w:p>
            <w:pPr>
              <w:ind w:left="80"/>
              <w:spacing w:after="0"/>
              <w:rPr>
                <w:sz w:val="20"/>
                <w:szCs w:val="20"/>
                <w:color w:val="auto"/>
              </w:rPr>
            </w:pPr>
            <w:r>
              <w:rPr>
                <w:rFonts w:ascii="Arial" w:cs="Arial" w:eastAsia="Arial" w:hAnsi="Arial"/>
                <w:sz w:val="18"/>
                <w:szCs w:val="18"/>
                <w:color w:val="auto"/>
              </w:rPr>
              <w:t>units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Dodge and Cox Balanced Fund</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1,533,757</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Fidelity Blue Chip Growth Fund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4,086,204</w:t>
            </w:r>
          </w:p>
        </w:tc>
        <w:tc>
          <w:tcPr>
            <w:tcW w:w="1340" w:type="dxa"/>
            <w:vAlign w:val="bottom"/>
          </w:tcPr>
          <w:p>
            <w:pPr>
              <w:ind w:left="8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176,361*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Diversified International Fund</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3,510,013</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Fidelity Freedom 2010 Fund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1,512,207</w:t>
            </w:r>
          </w:p>
        </w:tc>
        <w:tc>
          <w:tcPr>
            <w:tcW w:w="1340" w:type="dxa"/>
            <w:vAlign w:val="bottom"/>
          </w:tcPr>
          <w:p>
            <w:pPr>
              <w:ind w:left="8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Freedom 2020 Fund</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3,769,738</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Fidelity Freedom 2030 Fund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3,203,495</w:t>
            </w:r>
          </w:p>
        </w:tc>
        <w:tc>
          <w:tcPr>
            <w:tcW w:w="1340" w:type="dxa"/>
            <w:vAlign w:val="bottom"/>
          </w:tcPr>
          <w:p>
            <w:pPr>
              <w:ind w:left="8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Freedom 2040 Fund</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1,940,863</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Fidelity Freedom Income Fund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278,800</w:t>
            </w:r>
          </w:p>
        </w:tc>
        <w:tc>
          <w:tcPr>
            <w:tcW w:w="1340" w:type="dxa"/>
            <w:vAlign w:val="bottom"/>
          </w:tcPr>
          <w:p>
            <w:pPr>
              <w:ind w:left="8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Growth Company</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47,402</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Fidelity Small Cap Stock Fund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4,102,162</w:t>
            </w:r>
          </w:p>
        </w:tc>
        <w:tc>
          <w:tcPr>
            <w:tcW w:w="1340" w:type="dxa"/>
            <w:vAlign w:val="bottom"/>
          </w:tcPr>
          <w:p>
            <w:pPr>
              <w:ind w:left="8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US Bond Index Fund</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2,114,083</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Pimco Total Return Institutional Fund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3,720,318</w:t>
            </w:r>
          </w:p>
        </w:tc>
        <w:tc>
          <w:tcPr>
            <w:tcW w:w="1340" w:type="dxa"/>
            <w:vAlign w:val="bottom"/>
          </w:tcPr>
          <w:p>
            <w:pPr>
              <w:ind w:left="8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Spartan International Index Fund</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249,028</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Spartan US Equity Index Fund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3,450,699</w:t>
            </w:r>
          </w:p>
        </w:tc>
        <w:tc>
          <w:tcPr>
            <w:tcW w:w="1340" w:type="dxa"/>
            <w:vAlign w:val="bottom"/>
          </w:tcPr>
          <w:p>
            <w:pPr>
              <w:ind w:left="8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Templeton World Fund, Class A</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1,644,076</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Vanguard SM Cap Index Fund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935,432</w:t>
            </w:r>
          </w:p>
        </w:tc>
        <w:tc>
          <w:tcPr>
            <w:tcW w:w="1340" w:type="dxa"/>
            <w:vAlign w:val="bottom"/>
          </w:tcPr>
          <w:p>
            <w:pPr>
              <w:ind w:left="8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Vanguard Total Stock Market Index Fund</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522,245</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Vanguard Windsor II Fund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1,547,892</w:t>
            </w:r>
          </w:p>
        </w:tc>
        <w:tc>
          <w:tcPr>
            <w:tcW w:w="1340" w:type="dxa"/>
            <w:vAlign w:val="bottom"/>
          </w:tcPr>
          <w:p>
            <w:pPr>
              <w:ind w:left="8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Wells Fargo Advantage Small Company Value Fund</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410,097</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1,092,976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 Stock Fund (at fair value)</w:t>
            </w:r>
          </w:p>
        </w:tc>
        <w:tc>
          <w:tcPr>
            <w:tcW w:w="2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Class A Common Stock</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5,368,743</w:t>
            </w:r>
          </w:p>
        </w:tc>
        <w:tc>
          <w:tcPr>
            <w:tcW w:w="1340" w:type="dxa"/>
            <w:vAlign w:val="bottom"/>
          </w:tcPr>
          <w:p>
            <w:pPr>
              <w:ind w:left="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Special Common Stock</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2,178,717</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 (at contract value)</w:t>
            </w:r>
          </w:p>
        </w:tc>
        <w:tc>
          <w:tcPr>
            <w:tcW w:w="2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Fidelity Stable Value Fund</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7,577,642</w:t>
            </w:r>
          </w:p>
        </w:tc>
        <w:tc>
          <w:tcPr>
            <w:tcW w:w="1340" w:type="dxa"/>
            <w:vAlign w:val="bottom"/>
          </w:tcPr>
          <w:p>
            <w:pPr>
              <w:ind w:left="8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Investment Contracts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470,092,649</w:t>
            </w:r>
          </w:p>
        </w:tc>
        <w:tc>
          <w:tcPr>
            <w:tcW w:w="1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477,670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1,765,775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40" w:type="dxa"/>
            <w:vAlign w:val="bottom"/>
            <w:vMerge w:val="restart"/>
          </w:tcPr>
          <w:p>
            <w:pPr>
              <w:jc w:val="right"/>
              <w:ind w:right="1832"/>
              <w:spacing w:after="0"/>
              <w:rPr>
                <w:sz w:val="20"/>
                <w:szCs w:val="20"/>
                <w:color w:val="auto"/>
              </w:rPr>
            </w:pPr>
            <w:r>
              <w:rPr>
                <w:rFonts w:ascii="Arial" w:cs="Arial" w:eastAsia="Arial" w:hAnsi="Arial"/>
                <w:sz w:val="18"/>
                <w:szCs w:val="18"/>
                <w:color w:val="auto"/>
              </w:rPr>
              <w:t>-6-</w:t>
            </w: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2005 and 2004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1"/>
              </w:rPr>
              <w:t>December 31, 2004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92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1"/>
              </w:rPr>
              <w:t>Number of</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Units/Shares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20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Ariel Fund</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1,075,778</w:t>
            </w:r>
          </w:p>
        </w:tc>
        <w:tc>
          <w:tcPr>
            <w:tcW w:w="1220" w:type="dxa"/>
            <w:vAlign w:val="bottom"/>
          </w:tcPr>
          <w:p>
            <w:pPr>
              <w:ind w:left="40"/>
              <w:spacing w:after="0"/>
              <w:rPr>
                <w:sz w:val="20"/>
                <w:szCs w:val="20"/>
                <w:color w:val="auto"/>
              </w:rPr>
            </w:pPr>
            <w:r>
              <w:rPr>
                <w:rFonts w:ascii="Arial" w:cs="Arial" w:eastAsia="Arial" w:hAnsi="Arial"/>
                <w:sz w:val="18"/>
                <w:szCs w:val="18"/>
                <w:color w:val="auto"/>
              </w:rPr>
              <w:t>units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57,199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Dodge and Cox Balanced Fund</w:t>
            </w:r>
          </w:p>
        </w:tc>
        <w:tc>
          <w:tcPr>
            <w:tcW w:w="2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1,166,954</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92,598*</w:t>
            </w: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Fidelity Blue Chip Growth Fund</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4,080,098</w:t>
            </w:r>
          </w:p>
        </w:tc>
        <w:tc>
          <w:tcPr>
            <w:tcW w:w="1220" w:type="dxa"/>
            <w:vAlign w:val="bottom"/>
          </w:tcPr>
          <w:p>
            <w:pPr>
              <w:ind w:left="40"/>
              <w:spacing w:after="0"/>
              <w:rPr>
                <w:sz w:val="20"/>
                <w:szCs w:val="20"/>
                <w:color w:val="auto"/>
              </w:rPr>
            </w:pPr>
            <w:r>
              <w:rPr>
                <w:rFonts w:ascii="Arial" w:cs="Arial" w:eastAsia="Arial" w:hAnsi="Arial"/>
                <w:sz w:val="18"/>
                <w:szCs w:val="18"/>
                <w:color w:val="auto"/>
              </w:rPr>
              <w:t>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170,181*</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Brokeragelink</w:t>
            </w:r>
          </w:p>
        </w:tc>
        <w:tc>
          <w:tcPr>
            <w:tcW w:w="2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3,031,352</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Fidelity Diversified International Fund</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2,787,517</w:t>
            </w:r>
          </w:p>
        </w:tc>
        <w:tc>
          <w:tcPr>
            <w:tcW w:w="1220" w:type="dxa"/>
            <w:vAlign w:val="bottom"/>
          </w:tcPr>
          <w:p>
            <w:pPr>
              <w:ind w:left="40"/>
              <w:spacing w:after="0"/>
              <w:rPr>
                <w:sz w:val="20"/>
                <w:szCs w:val="20"/>
                <w:color w:val="auto"/>
              </w:rPr>
            </w:pPr>
            <w:r>
              <w:rPr>
                <w:rFonts w:ascii="Arial" w:cs="Arial" w:eastAsia="Arial" w:hAnsi="Arial"/>
                <w:sz w:val="18"/>
                <w:szCs w:val="18"/>
                <w:color w:val="auto"/>
              </w:rPr>
              <w:t>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79,835*</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Freedom 2010 Fund</w:t>
            </w:r>
          </w:p>
        </w:tc>
        <w:tc>
          <w:tcPr>
            <w:tcW w:w="2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1,443,587</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Fidelity Freedom 2020 Fund</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3,428,061</w:t>
            </w:r>
          </w:p>
        </w:tc>
        <w:tc>
          <w:tcPr>
            <w:tcW w:w="1220" w:type="dxa"/>
            <w:vAlign w:val="bottom"/>
          </w:tcPr>
          <w:p>
            <w:pPr>
              <w:ind w:left="40"/>
              <w:spacing w:after="0"/>
              <w:rPr>
                <w:sz w:val="20"/>
                <w:szCs w:val="20"/>
                <w:color w:val="auto"/>
              </w:rPr>
            </w:pPr>
            <w:r>
              <w:rPr>
                <w:rFonts w:ascii="Arial" w:cs="Arial" w:eastAsia="Arial" w:hAnsi="Arial"/>
                <w:sz w:val="18"/>
                <w:szCs w:val="18"/>
                <w:color w:val="auto"/>
              </w:rPr>
              <w:t>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Freedom 2030 Fund</w:t>
            </w:r>
          </w:p>
        </w:tc>
        <w:tc>
          <w:tcPr>
            <w:tcW w:w="2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2,840,574</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Fidelity Freedom 2040 Fund</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1,416,316</w:t>
            </w:r>
          </w:p>
        </w:tc>
        <w:tc>
          <w:tcPr>
            <w:tcW w:w="1220" w:type="dxa"/>
            <w:vAlign w:val="bottom"/>
          </w:tcPr>
          <w:p>
            <w:pPr>
              <w:ind w:left="40"/>
              <w:spacing w:after="0"/>
              <w:rPr>
                <w:sz w:val="20"/>
                <w:szCs w:val="20"/>
                <w:color w:val="auto"/>
              </w:rPr>
            </w:pPr>
            <w:r>
              <w:rPr>
                <w:rFonts w:ascii="Arial" w:cs="Arial" w:eastAsia="Arial" w:hAnsi="Arial"/>
                <w:sz w:val="18"/>
                <w:szCs w:val="18"/>
                <w:color w:val="auto"/>
              </w:rPr>
              <w:t>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Freedom Income Fund</w:t>
            </w:r>
          </w:p>
        </w:tc>
        <w:tc>
          <w:tcPr>
            <w:tcW w:w="2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235,316</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Fidelity Small Cap Stock Fund</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3,625,073</w:t>
            </w:r>
          </w:p>
        </w:tc>
        <w:tc>
          <w:tcPr>
            <w:tcW w:w="1220" w:type="dxa"/>
            <w:vAlign w:val="bottom"/>
          </w:tcPr>
          <w:p>
            <w:pPr>
              <w:ind w:left="40"/>
              <w:spacing w:after="0"/>
              <w:rPr>
                <w:sz w:val="20"/>
                <w:szCs w:val="20"/>
                <w:color w:val="auto"/>
              </w:rPr>
            </w:pPr>
            <w:r>
              <w:rPr>
                <w:rFonts w:ascii="Arial" w:cs="Arial" w:eastAsia="Arial" w:hAnsi="Arial"/>
                <w:sz w:val="18"/>
                <w:szCs w:val="18"/>
                <w:color w:val="auto"/>
              </w:rPr>
              <w:t>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65,831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US Bond Index Fund</w:t>
            </w:r>
          </w:p>
        </w:tc>
        <w:tc>
          <w:tcPr>
            <w:tcW w:w="2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1,734,600</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Pimco Total Return Institutional Fund</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2,914,725</w:t>
            </w:r>
          </w:p>
        </w:tc>
        <w:tc>
          <w:tcPr>
            <w:tcW w:w="1220" w:type="dxa"/>
            <w:vAlign w:val="bottom"/>
          </w:tcPr>
          <w:p>
            <w:pPr>
              <w:ind w:left="40"/>
              <w:spacing w:after="0"/>
              <w:rPr>
                <w:sz w:val="20"/>
                <w:szCs w:val="20"/>
                <w:color w:val="auto"/>
              </w:rPr>
            </w:pPr>
            <w:r>
              <w:rPr>
                <w:rFonts w:ascii="Arial" w:cs="Arial" w:eastAsia="Arial" w:hAnsi="Arial"/>
                <w:sz w:val="18"/>
                <w:szCs w:val="18"/>
                <w:color w:val="auto"/>
              </w:rPr>
              <w:t>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Spartan International Index Fund</w:t>
            </w:r>
          </w:p>
        </w:tc>
        <w:tc>
          <w:tcPr>
            <w:tcW w:w="2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141,615</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Spartan US Equity Index Fund</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3,357,883</w:t>
            </w:r>
          </w:p>
        </w:tc>
        <w:tc>
          <w:tcPr>
            <w:tcW w:w="1220" w:type="dxa"/>
            <w:vAlign w:val="bottom"/>
          </w:tcPr>
          <w:p>
            <w:pPr>
              <w:ind w:left="40"/>
              <w:spacing w:after="0"/>
              <w:rPr>
                <w:sz w:val="20"/>
                <w:szCs w:val="20"/>
                <w:color w:val="auto"/>
              </w:rPr>
            </w:pPr>
            <w:r>
              <w:rPr>
                <w:rFonts w:ascii="Arial" w:cs="Arial" w:eastAsia="Arial" w:hAnsi="Arial"/>
                <w:sz w:val="18"/>
                <w:szCs w:val="18"/>
                <w:color w:val="auto"/>
              </w:rPr>
              <w:t>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143,919*</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Templeton World Fund, Class A</w:t>
            </w:r>
          </w:p>
        </w:tc>
        <w:tc>
          <w:tcPr>
            <w:tcW w:w="2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1,072,250</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Vanguard SM Cap Index Fund</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834,378</w:t>
            </w:r>
          </w:p>
        </w:tc>
        <w:tc>
          <w:tcPr>
            <w:tcW w:w="1220" w:type="dxa"/>
            <w:vAlign w:val="bottom"/>
          </w:tcPr>
          <w:p>
            <w:pPr>
              <w:ind w:left="40"/>
              <w:spacing w:after="0"/>
              <w:rPr>
                <w:sz w:val="20"/>
                <w:szCs w:val="20"/>
                <w:color w:val="auto"/>
              </w:rPr>
            </w:pPr>
            <w:r>
              <w:rPr>
                <w:rFonts w:ascii="Arial" w:cs="Arial" w:eastAsia="Arial" w:hAnsi="Arial"/>
                <w:sz w:val="18"/>
                <w:szCs w:val="18"/>
                <w:color w:val="auto"/>
              </w:rPr>
              <w:t>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Vanguard Total Stock Market Index Fund</w:t>
            </w:r>
          </w:p>
        </w:tc>
        <w:tc>
          <w:tcPr>
            <w:tcW w:w="2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407,846</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Vanguard Windsor II Fund</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1,265,769</w:t>
            </w:r>
          </w:p>
        </w:tc>
        <w:tc>
          <w:tcPr>
            <w:tcW w:w="1220" w:type="dxa"/>
            <w:vAlign w:val="bottom"/>
          </w:tcPr>
          <w:p>
            <w:pPr>
              <w:ind w:left="40"/>
              <w:spacing w:after="0"/>
              <w:rPr>
                <w:sz w:val="20"/>
                <w:szCs w:val="20"/>
                <w:color w:val="auto"/>
              </w:rPr>
            </w:pPr>
            <w:r>
              <w:rPr>
                <w:rFonts w:ascii="Arial" w:cs="Arial" w:eastAsia="Arial" w:hAnsi="Arial"/>
                <w:sz w:val="18"/>
                <w:szCs w:val="18"/>
                <w:color w:val="auto"/>
              </w:rPr>
              <w:t>units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911,630</w:t>
            </w:r>
          </w:p>
        </w:tc>
        <w:tc>
          <w:tcPr>
            <w:tcW w:w="100" w:type="dxa"/>
            <w:vAlign w:val="bottom"/>
            <w:shd w:val="clear" w:color="auto" w:fill="CCEEFF"/>
          </w:tcPr>
          <w:p>
            <w:pPr>
              <w:spacing w:after="0"/>
              <w:rPr>
                <w:sz w:val="18"/>
                <w:szCs w:val="18"/>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AT&amp;T Stock Fund (at fair value)</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1,320,328</w:t>
            </w:r>
          </w:p>
        </w:tc>
        <w:tc>
          <w:tcPr>
            <w:tcW w:w="1220" w:type="dxa"/>
            <w:vAlign w:val="bottom"/>
          </w:tcPr>
          <w:p>
            <w:pPr>
              <w:ind w:left="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 Stock Fund (at fair value)</w:t>
            </w:r>
          </w:p>
        </w:tc>
        <w:tc>
          <w:tcPr>
            <w:tcW w:w="2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Class A Common Stock</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5,208,900</w:t>
            </w:r>
          </w:p>
        </w:tc>
        <w:tc>
          <w:tcPr>
            <w:tcW w:w="1220" w:type="dxa"/>
            <w:vAlign w:val="bottom"/>
          </w:tcPr>
          <w:p>
            <w:pPr>
              <w:ind w:left="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173,352*</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Special Common Stock</w:t>
            </w:r>
          </w:p>
        </w:tc>
        <w:tc>
          <w:tcPr>
            <w:tcW w:w="2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2,455,409</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80,636*</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253,988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 (at contract value)</w:t>
            </w:r>
          </w:p>
        </w:tc>
        <w:tc>
          <w:tcPr>
            <w:tcW w:w="2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Fidelity Stable Value Fund</w:t>
            </w:r>
          </w:p>
        </w:tc>
        <w:tc>
          <w:tcPr>
            <w:tcW w:w="2920" w:type="dxa"/>
            <w:vAlign w:val="bottom"/>
            <w:gridSpan w:val="3"/>
          </w:tcPr>
          <w:p>
            <w:pPr>
              <w:jc w:val="right"/>
              <w:ind w:right="40"/>
              <w:spacing w:after="0"/>
              <w:rPr>
                <w:sz w:val="20"/>
                <w:szCs w:val="20"/>
                <w:color w:val="auto"/>
              </w:rPr>
            </w:pPr>
            <w:r>
              <w:rPr>
                <w:rFonts w:ascii="Arial" w:cs="Arial" w:eastAsia="Arial" w:hAnsi="Arial"/>
                <w:sz w:val="18"/>
                <w:szCs w:val="18"/>
                <w:color w:val="auto"/>
              </w:rPr>
              <w:t>6,678,942</w:t>
            </w:r>
          </w:p>
        </w:tc>
        <w:tc>
          <w:tcPr>
            <w:tcW w:w="1220" w:type="dxa"/>
            <w:vAlign w:val="bottom"/>
          </w:tcPr>
          <w:p>
            <w:pPr>
              <w:ind w:left="40"/>
              <w:spacing w:after="0"/>
              <w:rPr>
                <w:sz w:val="20"/>
                <w:szCs w:val="20"/>
                <w:color w:val="auto"/>
              </w:rPr>
            </w:pPr>
            <w:r>
              <w:rPr>
                <w:rFonts w:ascii="Arial" w:cs="Arial" w:eastAsia="Arial" w:hAnsi="Arial"/>
                <w:sz w:val="18"/>
                <w:szCs w:val="18"/>
                <w:color w:val="auto"/>
              </w:rPr>
              <w:t>units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Investment Contracts</w:t>
            </w:r>
          </w:p>
        </w:tc>
        <w:tc>
          <w:tcPr>
            <w:tcW w:w="2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431,283,490</w:t>
            </w:r>
          </w:p>
        </w:tc>
        <w:tc>
          <w:tcPr>
            <w:tcW w:w="1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431,283*</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437,962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1,628,745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Represents amounts greater than 5% of the Plan’s net assets.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240" w:top="459" w:right="6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2005 and 2004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2005, the Plan’s investments (including gains and losses on investments bought and sold, as well as held during the year) appreciated (depreciated)</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value as follows (in thousands):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32,451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Common Stock</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(54,858)</w:t>
            </w:r>
          </w:p>
        </w:tc>
      </w:tr>
      <w:tr>
        <w:trPr>
          <w:trHeight w:val="27"/>
        </w:trPr>
        <w:tc>
          <w:tcPr>
            <w:tcW w:w="49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(22,407)</w:t>
            </w:r>
          </w:p>
        </w:tc>
      </w:tr>
      <w:tr>
        <w:trPr>
          <w:trHeight w:val="20"/>
        </w:trPr>
        <w:tc>
          <w:tcPr>
            <w:tcW w:w="49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The fair value of assets included in the Comcast Stable Value Fund was $468,843,000 and $438,147,000 as of December 31, 2005 and 2004, respectively. The average yield of investment contracts held as of December 31, 2005 and 2004 was 3.64% and 3.49%, respectively. The average yield on investment contracts for the year ended December 31, 2005 was 3.66%.</w:t>
      </w:r>
    </w:p>
    <w:p>
      <w:pPr>
        <w:spacing w:after="0" w:line="17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 LOANS AND HARDSHIP WITHDRAWALS</w:t>
      </w:r>
    </w:p>
    <w:p>
      <w:pPr>
        <w:spacing w:after="0" w:line="177"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the prime rate plus 1% of the month the loan application is approved. Principal and interest are paid through payroll deductions or participant initiated payments. Interest rates ranged from 4.25% to 11.5% for the years ended December 31, 2005 and 2004, respectively. Maturities on active outstanding loans ranged from 2004 to 2024 for the years ended December 31, 2005 and 2004. Loan transactions are treated as a transfer from (to) the investment fund to (from) the participant loan fund.</w:t>
      </w:r>
    </w:p>
    <w:p>
      <w:pPr>
        <w:spacing w:after="0" w:line="118"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for the year in which the default occurs.</w:t>
      </w:r>
    </w:p>
    <w:p>
      <w:pPr>
        <w:spacing w:after="0" w:line="131" w:lineRule="exact"/>
        <w:rPr>
          <w:rFonts w:ascii="Arial" w:cs="Arial" w:eastAsia="Arial" w:hAnsi="Arial"/>
          <w:sz w:val="18"/>
          <w:szCs w:val="18"/>
          <w:b w:val="1"/>
          <w:bCs w:val="1"/>
          <w:color w:val="auto"/>
        </w:rPr>
      </w:pPr>
    </w:p>
    <w:p>
      <w:pPr>
        <w:ind w:left="460" w:right="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 participant may withdraw all or a portion of his/her benefits derived from salary reduction, rollovers or the vested portion of pre-January 1, 2001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147"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77" w:lineRule="exact"/>
        <w:rPr>
          <w:sz w:val="20"/>
          <w:szCs w:val="20"/>
          <w:color w:val="auto"/>
        </w:rPr>
      </w:pPr>
    </w:p>
    <w:p>
      <w:pPr>
        <w:ind w:left="460" w:right="20"/>
        <w:spacing w:after="0" w:line="332" w:lineRule="auto"/>
        <w:rPr>
          <w:sz w:val="20"/>
          <w:szCs w:val="20"/>
          <w:color w:val="auto"/>
        </w:rPr>
      </w:pPr>
      <w:r>
        <w:rPr>
          <w:rFonts w:ascii="Arial" w:cs="Arial" w:eastAsia="Arial" w:hAnsi="Arial"/>
          <w:sz w:val="16"/>
          <w:szCs w:val="16"/>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2005 and 2004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217" w:lineRule="exact"/>
        <w:rPr>
          <w:rFonts w:ascii="Arial" w:cs="Arial" w:eastAsia="Arial" w:hAnsi="Arial"/>
          <w:sz w:val="18"/>
          <w:szCs w:val="18"/>
          <w:b w:val="1"/>
          <w:bCs w:val="1"/>
          <w:color w:val="auto"/>
        </w:rPr>
      </w:pPr>
    </w:p>
    <w:p>
      <w:pPr>
        <w:ind w:left="900" w:hanging="446"/>
        <w:spacing w:after="0" w:line="286"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Income Tax Status of the Plan </w:t>
      </w:r>
      <w:r>
        <w:rPr>
          <w:rFonts w:ascii="Arial" w:cs="Arial" w:eastAsia="Arial" w:hAnsi="Arial"/>
          <w:sz w:val="16"/>
          <w:szCs w:val="16"/>
          <w:color w:val="auto"/>
        </w:rPr>
        <w:t>- The Plan received a determination letter dated December 19, 1995 in which the IRS stated that the Plan, as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restated effective January 1, 1993, is qualified and that the trust established under the Plan is tax-exempt. The Plan has been amended since receiving the determination letter (see Note 1). A request for an updated determination letter, which considers the 2002 amendments, was filed with the IRS on February 27, 2002. On March 14, 2003, the Plan received a favorable determination letter with respect to the Company’s request indicating that the form of the Plan as amended and restated, effective January 1, 1997 satisfies the applicable requirements of the Code and the form of the related trust satisfies the applicable requirements for exemption from federal income tax under the Code. On September 10, 2003 a request for an updated determination letter, which considers the 2003 amendments, was filed with the IRS. On April 21, 2005, the Plan received a favorable determination letter with respect to the Company’s request indicating that the form of the Plan as amended and restated, effective January 1, 2003 satisfies the applicable requirements for exemption from federal income tax under the Code. On December 27, 2005, the Company filed a request for an updated determination letter for the Plan’s July 1, 2003 amendment and restatements. To date, no response has been received on this filing. The Company believes that the Plan continues to comply in form and operation with the applicable requirements of the Code. Therefore, the Company believes that the Plan was qualified and the related trust was tax-exempt as of December 31, 2005 and 2004. Therefore, no provision for income taxes has been included in the Plan’s financial statements.</w:t>
      </w:r>
    </w:p>
    <w:p>
      <w:pPr>
        <w:spacing w:after="0" w:line="161" w:lineRule="exact"/>
        <w:rPr>
          <w:rFonts w:ascii="Arial" w:cs="Arial" w:eastAsia="Arial" w:hAnsi="Arial"/>
          <w:sz w:val="16"/>
          <w:szCs w:val="16"/>
          <w:color w:val="auto"/>
        </w:rPr>
      </w:pPr>
    </w:p>
    <w:p>
      <w:pPr>
        <w:ind w:left="900" w:hanging="446"/>
        <w:spacing w:after="0" w:line="33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Impact on Plan Participants </w:t>
      </w:r>
      <w:r>
        <w:rPr>
          <w:rFonts w:ascii="Arial" w:cs="Arial" w:eastAsia="Arial" w:hAnsi="Arial"/>
          <w:sz w:val="16"/>
          <w:szCs w:val="16"/>
          <w:color w:val="auto"/>
        </w:rPr>
        <w:t>- Matching contributions and salary reduction contributions, as well as earnings on Plan assets, are generally not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federal income tax until distributed from a qualified plan that meets the requirements of Sections 401(a), 401(k) and 401(m) of the Code.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 LINE 4i - 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Arial" w:cs="Arial" w:eastAsia="Arial" w:hAnsi="Arial"/>
                <w:sz w:val="18"/>
                <w:szCs w:val="18"/>
                <w:b w:val="1"/>
                <w:bCs w:val="1"/>
                <w:color w:val="auto"/>
                <w:w w:val="92"/>
              </w:rPr>
              <w:t>FEIN #27-0000798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4"/>
          </w:tcPr>
          <w:p>
            <w:pPr>
              <w:ind w:left="60"/>
              <w:spacing w:after="0"/>
              <w:rPr>
                <w:sz w:val="20"/>
                <w:szCs w:val="20"/>
                <w:color w:val="auto"/>
              </w:rPr>
            </w:pPr>
            <w:r>
              <w:rPr>
                <w:rFonts w:ascii="Arial" w:cs="Arial" w:eastAsia="Arial" w:hAnsi="Arial"/>
                <w:sz w:val="18"/>
                <w:szCs w:val="18"/>
                <w:b w:val="1"/>
                <w:bCs w:val="1"/>
                <w:color w:val="auto"/>
              </w:rPr>
              <w:t>PLAN #001</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Description of Investment,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8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Including Maturity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ind w:left="2980"/>
              <w:spacing w:after="0" w:line="149" w:lineRule="exact"/>
              <w:rPr>
                <w:sz w:val="20"/>
                <w:szCs w:val="20"/>
                <w:color w:val="auto"/>
              </w:rPr>
            </w:pPr>
            <w:r>
              <w:rPr>
                <w:rFonts w:ascii="Arial" w:cs="Arial" w:eastAsia="Arial" w:hAnsi="Arial"/>
                <w:sz w:val="14"/>
                <w:szCs w:val="14"/>
                <w:b w:val="1"/>
                <w:bCs w:val="1"/>
                <w:color w:val="auto"/>
                <w:w w:val="96"/>
              </w:rPr>
              <w:t>Identity of Issue, Borrower, Lessor,</w:t>
            </w:r>
          </w:p>
        </w:tc>
        <w:tc>
          <w:tcPr>
            <w:tcW w:w="2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8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Rate of Interest, Collateral, Par, or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60" w:type="dxa"/>
            <w:vAlign w:val="bottom"/>
            <w:tcBorders>
              <w:bottom w:val="single" w:sz="8" w:color="auto"/>
            </w:tcBorders>
          </w:tcPr>
          <w:p>
            <w:pPr>
              <w:ind w:left="3500"/>
              <w:spacing w:after="0"/>
              <w:rPr>
                <w:sz w:val="20"/>
                <w:szCs w:val="20"/>
                <w:color w:val="auto"/>
              </w:rPr>
            </w:pPr>
            <w:r>
              <w:rPr>
                <w:rFonts w:ascii="Arial" w:cs="Arial" w:eastAsia="Arial" w:hAnsi="Arial"/>
                <w:sz w:val="14"/>
                <w:szCs w:val="14"/>
                <w:b w:val="1"/>
                <w:bCs w:val="1"/>
                <w:color w:val="auto"/>
              </w:rPr>
              <w:t>or Similar Party</w:t>
            </w:r>
          </w:p>
        </w:tc>
        <w:tc>
          <w:tcPr>
            <w:tcW w:w="270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72"/>
              <w:spacing w:after="0"/>
              <w:rPr>
                <w:sz w:val="20"/>
                <w:szCs w:val="20"/>
                <w:color w:val="auto"/>
              </w:rPr>
            </w:pPr>
            <w:r>
              <w:rPr>
                <w:rFonts w:ascii="Arial" w:cs="Arial" w:eastAsia="Arial" w:hAnsi="Arial"/>
                <w:sz w:val="14"/>
                <w:szCs w:val="14"/>
                <w:b w:val="1"/>
                <w:bCs w:val="1"/>
                <w:color w:val="auto"/>
                <w:w w:val="94"/>
              </w:rPr>
              <w:t>Maturity Value</w:t>
            </w: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74"/>
              <w:spacing w:after="0" w:line="130" w:lineRule="exact"/>
              <w:rPr>
                <w:sz w:val="20"/>
                <w:szCs w:val="20"/>
                <w:color w:val="auto"/>
              </w:rPr>
            </w:pPr>
            <w:r>
              <w:rPr>
                <w:rFonts w:ascii="Arial" w:cs="Arial" w:eastAsia="Arial" w:hAnsi="Arial"/>
                <w:sz w:val="14"/>
                <w:szCs w:val="14"/>
                <w:b w:val="1"/>
                <w:bCs w:val="1"/>
                <w:color w:val="auto"/>
                <w:w w:val="94"/>
              </w:rPr>
              <w:t>Current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7"/>
              </w:rPr>
              <w:t>($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2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Ariel Fund</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1,343,692</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Dodge and Cox Balanced Fund</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1,533,757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Fidelity Blue Chip Growth Fund</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4,086,204</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Diversified International Fund</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3,510,013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Fidelity Freedom 2010 Fund</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1,512,207</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Freedom 2020 Fund</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3,769,738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Fidelity Freedom 2030 Fund</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3,203,495</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Freedom 2040 Fund</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1,940,863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Fidelity Freedom Income Fund</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278,800</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Growth Company</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Fidelity Small Cap Stock Fund</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4,102,162</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Fidelity US Bond Index Fund</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2,114,083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Pimco Total Return Institutional Fund</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3,720,318</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Spartan International Index Fund</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249,028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Spartan US Equity Index Fund</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3,450,699</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Templeton World Fund, Class A</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1,644,076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Vanguard SM Cap Index Fund</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935,432</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Vanguard Total Stock Market Index Fund</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522,245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Vanguard Windsor II Fund</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1,547,892</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Wells Fargo Advantage Small Company Value Fund</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410,097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1,092,976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 Stock Fund (at fair value)*</w:t>
            </w:r>
          </w:p>
        </w:tc>
        <w:tc>
          <w:tcPr>
            <w:tcW w:w="2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Class A Common Stock</w:t>
            </w:r>
          </w:p>
        </w:tc>
        <w:tc>
          <w:tcPr>
            <w:tcW w:w="2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w w:val="94"/>
              </w:rPr>
              <w:t>5,368,743 shares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Special Common Stock</w:t>
            </w:r>
          </w:p>
        </w:tc>
        <w:tc>
          <w:tcPr>
            <w:tcW w:w="2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2,178,717 shares</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 (at contract value)</w:t>
            </w:r>
          </w:p>
        </w:tc>
        <w:tc>
          <w:tcPr>
            <w:tcW w:w="2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Fidelity Stable Value Fund; 4.10%</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7,577,642</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2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Traditional Investment Contracts</w:t>
            </w:r>
          </w:p>
        </w:tc>
        <w:tc>
          <w:tcPr>
            <w:tcW w:w="2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Travelers Life &amp; Annuity; 03/01/07 Maturity; 4.22%</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3,808,907</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Canada Life Insurance; 06/01/07 Maturity; 4.84%</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3,592,204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w w:val="96"/>
              </w:rPr>
              <w:t>John Hancock Mutual Life Insurance; 03/01/06 Maturity; 5.64%</w:t>
            </w:r>
          </w:p>
        </w:tc>
        <w:tc>
          <w:tcPr>
            <w:tcW w:w="4220" w:type="dxa"/>
            <w:vAlign w:val="bottom"/>
            <w:gridSpan w:val="3"/>
          </w:tcPr>
          <w:p>
            <w:pPr>
              <w:jc w:val="right"/>
              <w:spacing w:after="0"/>
              <w:rPr>
                <w:sz w:val="20"/>
                <w:szCs w:val="20"/>
                <w:color w:val="auto"/>
              </w:rPr>
            </w:pPr>
            <w:r>
              <w:rPr>
                <w:rFonts w:ascii="Arial" w:cs="Arial" w:eastAsia="Arial" w:hAnsi="Arial"/>
                <w:sz w:val="18"/>
                <w:szCs w:val="18"/>
                <w:color w:val="auto"/>
              </w:rPr>
              <w:t>818,772</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units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700" w:type="dxa"/>
            <w:vAlign w:val="bottom"/>
          </w:tcPr>
          <w:p>
            <w:pPr>
              <w:jc w:val="right"/>
              <w:ind w:right="2032"/>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 LINE 4i - 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2005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20" w:type="dxa"/>
            <w:vAlign w:val="bottom"/>
            <w:gridSpan w:val="4"/>
          </w:tcPr>
          <w:p>
            <w:pPr>
              <w:ind w:left="660"/>
              <w:spacing w:after="0"/>
              <w:rPr>
                <w:sz w:val="20"/>
                <w:szCs w:val="20"/>
                <w:color w:val="auto"/>
              </w:rPr>
            </w:pPr>
            <w:r>
              <w:rPr>
                <w:rFonts w:ascii="Arial" w:cs="Arial" w:eastAsia="Arial" w:hAnsi="Arial"/>
                <w:sz w:val="18"/>
                <w:szCs w:val="18"/>
                <w:b w:val="1"/>
                <w:bCs w:val="1"/>
                <w:color w:val="auto"/>
                <w:w w:val="91"/>
              </w:rPr>
              <w:t>FEIN # 27-0000798</w:t>
            </w:r>
          </w:p>
        </w:tc>
      </w:tr>
      <w:tr>
        <w:trPr>
          <w:trHeight w:val="228"/>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20" w:type="dxa"/>
            <w:vAlign w:val="bottom"/>
            <w:gridSpan w:val="4"/>
          </w:tcPr>
          <w:p>
            <w:pPr>
              <w:ind w:left="700"/>
              <w:spacing w:after="0"/>
              <w:rPr>
                <w:sz w:val="20"/>
                <w:szCs w:val="20"/>
                <w:color w:val="auto"/>
              </w:rPr>
            </w:pPr>
            <w:r>
              <w:rPr>
                <w:rFonts w:ascii="Arial" w:cs="Arial" w:eastAsia="Arial" w:hAnsi="Arial"/>
                <w:sz w:val="18"/>
                <w:szCs w:val="18"/>
                <w:b w:val="1"/>
                <w:bCs w:val="1"/>
                <w:color w:val="auto"/>
              </w:rPr>
              <w:t>PLAN #001</w:t>
            </w:r>
          </w:p>
        </w:tc>
      </w:tr>
      <w:tr>
        <w:trPr>
          <w:trHeight w:val="340"/>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gridSpan w:val="3"/>
          </w:tcPr>
          <w:p>
            <w:pPr>
              <w:jc w:val="center"/>
              <w:ind w:left="772"/>
              <w:spacing w:after="0"/>
              <w:rPr>
                <w:sz w:val="20"/>
                <w:szCs w:val="20"/>
                <w:color w:val="auto"/>
              </w:rPr>
            </w:pPr>
            <w:r>
              <w:rPr>
                <w:rFonts w:ascii="Arial" w:cs="Arial" w:eastAsia="Arial" w:hAnsi="Arial"/>
                <w:sz w:val="14"/>
                <w:szCs w:val="14"/>
                <w:b w:val="1"/>
                <w:bCs w:val="1"/>
                <w:color w:val="auto"/>
                <w:w w:val="86"/>
              </w:rPr>
              <w:t>Description of Investment,</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gridSpan w:val="3"/>
          </w:tcPr>
          <w:p>
            <w:pPr>
              <w:jc w:val="center"/>
              <w:ind w:left="772"/>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740" w:type="dxa"/>
            <w:vAlign w:val="bottom"/>
          </w:tcPr>
          <w:p>
            <w:pPr>
              <w:ind w:left="2860"/>
              <w:spacing w:after="0" w:line="149" w:lineRule="exact"/>
              <w:rPr>
                <w:sz w:val="20"/>
                <w:szCs w:val="20"/>
                <w:color w:val="auto"/>
              </w:rPr>
            </w:pPr>
            <w:r>
              <w:rPr>
                <w:rFonts w:ascii="Arial" w:cs="Arial" w:eastAsia="Arial" w:hAnsi="Arial"/>
                <w:sz w:val="14"/>
                <w:szCs w:val="14"/>
                <w:b w:val="1"/>
                <w:bCs w:val="1"/>
                <w:color w:val="auto"/>
              </w:rPr>
              <w:t>Identity of Issue, Borrower, Lessor,</w:t>
            </w:r>
          </w:p>
        </w:tc>
        <w:tc>
          <w:tcPr>
            <w:tcW w:w="340" w:type="dxa"/>
            <w:vAlign w:val="bottom"/>
          </w:tcPr>
          <w:p>
            <w:pPr>
              <w:spacing w:after="0"/>
              <w:rPr>
                <w:sz w:val="12"/>
                <w:szCs w:val="12"/>
                <w:color w:val="auto"/>
              </w:rPr>
            </w:pPr>
          </w:p>
        </w:tc>
        <w:tc>
          <w:tcPr>
            <w:tcW w:w="33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Rate of Interest, Collateral, Par, or</w:t>
            </w:r>
          </w:p>
        </w:tc>
      </w:tr>
      <w:tr>
        <w:trPr>
          <w:trHeight w:val="175"/>
        </w:trPr>
        <w:tc>
          <w:tcPr>
            <w:tcW w:w="20" w:type="dxa"/>
            <w:vAlign w:val="bottom"/>
          </w:tcPr>
          <w:p>
            <w:pPr>
              <w:spacing w:after="0"/>
              <w:rPr>
                <w:sz w:val="15"/>
                <w:szCs w:val="15"/>
                <w:color w:val="auto"/>
              </w:rPr>
            </w:pPr>
          </w:p>
        </w:tc>
        <w:tc>
          <w:tcPr>
            <w:tcW w:w="7740" w:type="dxa"/>
            <w:vAlign w:val="bottom"/>
            <w:tcBorders>
              <w:bottom w:val="single" w:sz="8" w:color="auto"/>
            </w:tcBorders>
          </w:tcPr>
          <w:p>
            <w:pPr>
              <w:ind w:left="3400"/>
              <w:spacing w:after="0"/>
              <w:rPr>
                <w:sz w:val="20"/>
                <w:szCs w:val="20"/>
                <w:color w:val="auto"/>
              </w:rPr>
            </w:pPr>
            <w:r>
              <w:rPr>
                <w:rFonts w:ascii="Arial" w:cs="Arial" w:eastAsia="Arial" w:hAnsi="Arial"/>
                <w:sz w:val="14"/>
                <w:szCs w:val="14"/>
                <w:b w:val="1"/>
                <w:bCs w:val="1"/>
                <w:color w:val="auto"/>
              </w:rPr>
              <w:t>or Similar Party</w:t>
            </w:r>
          </w:p>
        </w:tc>
        <w:tc>
          <w:tcPr>
            <w:tcW w:w="3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12"/>
              <w:spacing w:after="0"/>
              <w:rPr>
                <w:sz w:val="20"/>
                <w:szCs w:val="20"/>
                <w:color w:val="auto"/>
              </w:rPr>
            </w:pPr>
            <w:r>
              <w:rPr>
                <w:rFonts w:ascii="Arial" w:cs="Arial" w:eastAsia="Arial" w:hAnsi="Arial"/>
                <w:sz w:val="14"/>
                <w:szCs w:val="14"/>
                <w:b w:val="1"/>
                <w:bCs w:val="1"/>
                <w:color w:val="auto"/>
                <w:w w:val="91"/>
              </w:rPr>
              <w:t>Maturity Value</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center"/>
              <w:ind w:right="176"/>
              <w:spacing w:after="0" w:line="130" w:lineRule="exact"/>
              <w:rPr>
                <w:sz w:val="20"/>
                <w:szCs w:val="20"/>
                <w:color w:val="auto"/>
              </w:rPr>
            </w:pPr>
            <w:r>
              <w:rPr>
                <w:rFonts w:ascii="Arial" w:cs="Arial" w:eastAsia="Arial" w:hAnsi="Arial"/>
                <w:sz w:val="14"/>
                <w:szCs w:val="14"/>
                <w:b w:val="1"/>
                <w:bCs w:val="1"/>
                <w:color w:val="auto"/>
                <w:w w:val="90"/>
              </w:rPr>
              <w:t>Current</w:t>
            </w:r>
          </w:p>
        </w:tc>
        <w:tc>
          <w:tcPr>
            <w:tcW w:w="2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color w:val="auto"/>
                <w:w w:val="85"/>
              </w:rPr>
              <w:t>($ in 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Prudential Insurance Company America; 08/01/07 Maturity; 4.48%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3,461,757</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11,682</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Security-Backed Investment Contracts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Bank of America; 3.81%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114,604,319</w:t>
            </w: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units</w:t>
            </w:r>
          </w:p>
        </w:tc>
        <w:tc>
          <w:tcPr>
            <w:tcW w:w="840" w:type="dxa"/>
            <w:vAlign w:val="bottom"/>
          </w:tcPr>
          <w:p>
            <w:pPr>
              <w:jc w:val="right"/>
              <w:spacing w:after="0"/>
              <w:rPr>
                <w:sz w:val="20"/>
                <w:szCs w:val="20"/>
                <w:color w:val="auto"/>
              </w:rPr>
            </w:pPr>
            <w:r>
              <w:rPr>
                <w:rFonts w:ascii="Arial" w:cs="Arial" w:eastAsia="Arial" w:hAnsi="Arial"/>
                <w:sz w:val="18"/>
                <w:szCs w:val="18"/>
                <w:color w:val="auto"/>
              </w:rPr>
              <w:t>114,604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Morgan Guaranty; 3.81%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114,604,366</w:t>
            </w: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Rabobank Netherland; 3.81%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114,598,381</w:t>
            </w: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units</w:t>
            </w:r>
          </w:p>
        </w:tc>
        <w:tc>
          <w:tcPr>
            <w:tcW w:w="840" w:type="dxa"/>
            <w:vAlign w:val="bottom"/>
          </w:tcPr>
          <w:p>
            <w:pPr>
              <w:jc w:val="right"/>
              <w:spacing w:after="0"/>
              <w:rPr>
                <w:sz w:val="20"/>
                <w:szCs w:val="20"/>
                <w:color w:val="auto"/>
              </w:rPr>
            </w:pPr>
            <w:r>
              <w:rPr>
                <w:rFonts w:ascii="Arial" w:cs="Arial" w:eastAsia="Arial" w:hAnsi="Arial"/>
                <w:sz w:val="18"/>
                <w:szCs w:val="18"/>
                <w:color w:val="auto"/>
              </w:rPr>
              <w:t>114,598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Street Bank &amp; Trust Company; 3.81%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114,604,317</w:t>
            </w:r>
          </w:p>
        </w:tc>
        <w:tc>
          <w:tcPr>
            <w:tcW w:w="1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units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114,604</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458,410</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477,670</w:t>
            </w:r>
          </w:p>
        </w:tc>
        <w:tc>
          <w:tcPr>
            <w:tcW w:w="20" w:type="dxa"/>
            <w:vAlign w:val="bottom"/>
          </w:tcPr>
          <w:p>
            <w:pPr>
              <w:spacing w:after="0"/>
              <w:rPr>
                <w:sz w:val="18"/>
                <w:szCs w:val="18"/>
                <w:color w:val="auto"/>
              </w:rPr>
            </w:pPr>
          </w:p>
        </w:tc>
      </w:tr>
      <w:tr>
        <w:trPr>
          <w:trHeight w:val="215"/>
        </w:trPr>
        <w:tc>
          <w:tcPr>
            <w:tcW w:w="7760" w:type="dxa"/>
            <w:vAlign w:val="bottom"/>
            <w:gridSpan w:val="2"/>
          </w:tcPr>
          <w:p>
            <w:pPr>
              <w:spacing w:after="0"/>
              <w:rPr>
                <w:sz w:val="20"/>
                <w:szCs w:val="20"/>
                <w:color w:val="auto"/>
              </w:rPr>
            </w:pPr>
            <w:r>
              <w:rPr>
                <w:rFonts w:ascii="Arial" w:cs="Arial" w:eastAsia="Arial" w:hAnsi="Arial"/>
                <w:sz w:val="18"/>
                <w:szCs w:val="18"/>
                <w:color w:val="auto"/>
              </w:rPr>
              <w:t>Participant Loan Fund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(at cost, which approximates fair value)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(interest rates from 4.25% to 11.0%;</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7760" w:type="dxa"/>
            <w:vAlign w:val="bottom"/>
            <w:gridSpan w:val="2"/>
          </w:tcPr>
          <w:p>
            <w:pPr>
              <w:spacing w:after="0"/>
              <w:rPr>
                <w:sz w:val="20"/>
                <w:szCs w:val="20"/>
                <w:color w:val="auto"/>
              </w:rPr>
            </w:pPr>
            <w:r>
              <w:rPr>
                <w:rFonts w:ascii="Arial" w:cs="Arial" w:eastAsia="Arial" w:hAnsi="Arial"/>
                <w:sz w:val="18"/>
                <w:szCs w:val="18"/>
                <w:color w:val="auto"/>
              </w:rPr>
              <w:t>maturities from 2005 to 2024)</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57,164</w:t>
            </w: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1,822,939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consent to the incorporation by reference in the Registration Statement No. 333-101295 of Comcast Corporation on Form S-8 of our report dated June 27, 2006, relating to the statements of net assets available for benefits as of December 31, 2005 and 2004, the related statement of changes in net assets available for benefits for the year then ended December 31, 2005 and the related supplemental information of Schedule H - Line 4i - schedule of assets (held at end of year) as of December 31, 2005, which report appears in the December 31, 2005 Annual Report on Form 11-K of the Comcast Corporation Retirement-Investment Plan.</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27, 2006</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RETIREMENT-INVESTMENT PLAN</w:t>
      </w:r>
    </w:p>
    <w:p>
      <w:pPr>
        <w:spacing w:after="0" w:line="2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Comcast Corporation</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Plan Administrator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June 29, 2006</w:t>
      </w:r>
    </w:p>
    <w:p>
      <w:pPr>
        <w:spacing w:after="0" w:line="36"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Senior Vice President, Chief</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Accounting Officer and Controller</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2019-12-15T06:09:19Z</dcterms:created>
  <dcterms:modified xsi:type="dcterms:W3CDTF">2019-12-15T06:09:19Z</dcterms:modified>
</cp:coreProperties>
</file>