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240"/>
        <w:spacing w:after="0"/>
        <w:rPr>
          <w:sz w:val="20"/>
          <w:szCs w:val="20"/>
          <w:color w:val="auto"/>
        </w:rPr>
      </w:pPr>
      <w:r>
        <w:rPr>
          <w:rFonts w:ascii="Arial" w:cs="Arial" w:eastAsia="Arial" w:hAnsi="Arial"/>
          <w:sz w:val="16"/>
          <w:szCs w:val="16"/>
          <w:color w:val="auto"/>
        </w:rPr>
        <w:t>Filed by Comcast Corporation</w:t>
      </w:r>
    </w:p>
    <w:p>
      <w:pPr>
        <w:spacing w:after="0" w:line="46" w:lineRule="exact"/>
        <w:rPr>
          <w:sz w:val="24"/>
          <w:szCs w:val="24"/>
          <w:color w:val="auto"/>
        </w:rPr>
      </w:pPr>
    </w:p>
    <w:p>
      <w:pPr>
        <w:ind w:left="8880"/>
        <w:spacing w:after="0"/>
        <w:rPr>
          <w:sz w:val="20"/>
          <w:szCs w:val="20"/>
          <w:color w:val="auto"/>
        </w:rPr>
      </w:pPr>
      <w:r>
        <w:rPr>
          <w:rFonts w:ascii="Arial" w:cs="Arial" w:eastAsia="Arial" w:hAnsi="Arial"/>
          <w:sz w:val="16"/>
          <w:szCs w:val="16"/>
          <w:color w:val="auto"/>
        </w:rPr>
        <w:t>(Commission File No.: 001-32871)</w:t>
      </w:r>
    </w:p>
    <w:p>
      <w:pPr>
        <w:spacing w:after="0" w:line="32"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52" w:lineRule="exact"/>
        <w:rPr>
          <w:sz w:val="24"/>
          <w:szCs w:val="24"/>
          <w:color w:val="auto"/>
        </w:rPr>
      </w:pPr>
    </w:p>
    <w:p>
      <w:pPr>
        <w:ind w:left="7940"/>
        <w:spacing w:after="0"/>
        <w:rPr>
          <w:sz w:val="20"/>
          <w:szCs w:val="20"/>
          <w:color w:val="auto"/>
        </w:rPr>
      </w:pPr>
      <w:r>
        <w:rPr>
          <w:rFonts w:ascii="Arial" w:cs="Arial" w:eastAsia="Arial" w:hAnsi="Arial"/>
          <w:sz w:val="16"/>
          <w:szCs w:val="16"/>
          <w:color w:val="auto"/>
        </w:rPr>
        <w:t>Commission File No. for Registration Statement</w:t>
      </w:r>
    </w:p>
    <w:p>
      <w:pPr>
        <w:spacing w:after="0" w:line="46" w:lineRule="exact"/>
        <w:rPr>
          <w:sz w:val="24"/>
          <w:szCs w:val="24"/>
          <w:color w:val="auto"/>
        </w:rPr>
      </w:pPr>
    </w:p>
    <w:p>
      <w:pPr>
        <w:ind w:left="7360"/>
        <w:spacing w:after="0"/>
        <w:rPr>
          <w:sz w:val="20"/>
          <w:szCs w:val="20"/>
          <w:color w:val="auto"/>
        </w:rPr>
      </w:pPr>
      <w:r>
        <w:rPr>
          <w:rFonts w:ascii="Arial" w:cs="Arial" w:eastAsia="Arial" w:hAnsi="Arial"/>
          <w:sz w:val="16"/>
          <w:szCs w:val="16"/>
          <w:color w:val="auto"/>
        </w:rPr>
        <w:t>on Form S-4 filed by Comcast Corporation: 333-194698</w:t>
      </w:r>
    </w:p>
    <w:p>
      <w:pPr>
        <w:spacing w:after="0" w:line="261" w:lineRule="exact"/>
        <w:rPr>
          <w:sz w:val="24"/>
          <w:szCs w:val="24"/>
          <w:color w:val="auto"/>
        </w:rPr>
      </w:pPr>
    </w:p>
    <w:p>
      <w:pPr>
        <w:spacing w:after="0"/>
        <w:rPr>
          <w:sz w:val="20"/>
          <w:szCs w:val="20"/>
          <w:color w:val="auto"/>
        </w:rPr>
      </w:pPr>
      <w:r>
        <w:rPr>
          <w:rFonts w:ascii="Arial" w:cs="Arial" w:eastAsia="Arial" w:hAnsi="Arial"/>
          <w:sz w:val="18"/>
          <w:szCs w:val="18"/>
          <w:color w:val="auto"/>
        </w:rPr>
        <w:t>The following Response to Congressional Letter on Diverse and Hispanic Programming was posted by Comcast on its website:</w:t>
      </w:r>
    </w:p>
    <w:p>
      <w:pPr>
        <w:spacing w:after="0" w:line="200" w:lineRule="exact"/>
        <w:rPr>
          <w:sz w:val="24"/>
          <w:szCs w:val="24"/>
          <w:color w:val="auto"/>
        </w:rPr>
      </w:pPr>
    </w:p>
    <w:p>
      <w:pPr>
        <w:spacing w:after="0" w:line="29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4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480" w:type="dxa"/>
            <w:vAlign w:val="bottom"/>
          </w:tcPr>
          <w:p>
            <w:pPr>
              <w:ind w:left="2040"/>
              <w:spacing w:after="0"/>
              <w:rPr>
                <w:sz w:val="20"/>
                <w:szCs w:val="20"/>
                <w:color w:val="auto"/>
              </w:rPr>
            </w:pPr>
            <w:r>
              <w:rPr>
                <w:rFonts w:ascii="Arial" w:cs="Arial" w:eastAsia="Arial" w:hAnsi="Arial"/>
                <w:sz w:val="18"/>
                <w:szCs w:val="18"/>
                <w:color w:val="auto"/>
              </w:rPr>
              <w:t>August 2, 2014</w:t>
            </w:r>
          </w:p>
        </w:tc>
      </w:tr>
      <w:tr>
        <w:trPr>
          <w:trHeight w:val="688"/>
        </w:trPr>
        <w:tc>
          <w:tcPr>
            <w:tcW w:w="3120" w:type="dxa"/>
            <w:vAlign w:val="bottom"/>
            <w:gridSpan w:val="2"/>
          </w:tcPr>
          <w:p>
            <w:pPr>
              <w:spacing w:after="0"/>
              <w:rPr>
                <w:sz w:val="20"/>
                <w:szCs w:val="20"/>
                <w:color w:val="auto"/>
              </w:rPr>
            </w:pPr>
            <w:r>
              <w:rPr>
                <w:rFonts w:ascii="Arial" w:cs="Arial" w:eastAsia="Arial" w:hAnsi="Arial"/>
                <w:sz w:val="18"/>
                <w:szCs w:val="18"/>
                <w:color w:val="auto"/>
              </w:rPr>
              <w:t>The Honorable Karen Bass</w:t>
            </w:r>
          </w:p>
        </w:tc>
        <w:tc>
          <w:tcPr>
            <w:tcW w:w="5480" w:type="dxa"/>
            <w:vAlign w:val="bottom"/>
          </w:tcPr>
          <w:p>
            <w:pPr>
              <w:ind w:left="2580"/>
              <w:spacing w:after="0"/>
              <w:rPr>
                <w:sz w:val="20"/>
                <w:szCs w:val="20"/>
                <w:color w:val="auto"/>
              </w:rPr>
            </w:pPr>
            <w:r>
              <w:rPr>
                <w:rFonts w:ascii="Arial" w:cs="Arial" w:eastAsia="Arial" w:hAnsi="Arial"/>
                <w:sz w:val="18"/>
                <w:szCs w:val="18"/>
                <w:color w:val="auto"/>
                <w:w w:val="93"/>
              </w:rPr>
              <w:t>The Honorable Eddie Bernice Johnson</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The Honorable Tony Cárdenas</w:t>
            </w:r>
          </w:p>
        </w:tc>
        <w:tc>
          <w:tcPr>
            <w:tcW w:w="5480" w:type="dxa"/>
            <w:vAlign w:val="bottom"/>
          </w:tcPr>
          <w:p>
            <w:pPr>
              <w:ind w:left="2580"/>
              <w:spacing w:after="0"/>
              <w:rPr>
                <w:sz w:val="20"/>
                <w:szCs w:val="20"/>
                <w:color w:val="auto"/>
              </w:rPr>
            </w:pPr>
            <w:r>
              <w:rPr>
                <w:rFonts w:ascii="Arial" w:cs="Arial" w:eastAsia="Arial" w:hAnsi="Arial"/>
                <w:sz w:val="18"/>
                <w:szCs w:val="18"/>
                <w:color w:val="auto"/>
              </w:rPr>
              <w:t>The Honorable Robin Kelly</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The Honorable Andre Carson</w:t>
            </w:r>
          </w:p>
        </w:tc>
        <w:tc>
          <w:tcPr>
            <w:tcW w:w="5480" w:type="dxa"/>
            <w:vAlign w:val="bottom"/>
          </w:tcPr>
          <w:p>
            <w:pPr>
              <w:ind w:left="2580"/>
              <w:spacing w:after="0"/>
              <w:rPr>
                <w:sz w:val="20"/>
                <w:szCs w:val="20"/>
                <w:color w:val="auto"/>
              </w:rPr>
            </w:pPr>
            <w:r>
              <w:rPr>
                <w:rFonts w:ascii="Arial" w:cs="Arial" w:eastAsia="Arial" w:hAnsi="Arial"/>
                <w:sz w:val="18"/>
                <w:szCs w:val="18"/>
                <w:color w:val="auto"/>
              </w:rPr>
              <w:t>The Honorable Joe Kennedy</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The Honorable Joyce Beatty</w:t>
            </w:r>
          </w:p>
        </w:tc>
        <w:tc>
          <w:tcPr>
            <w:tcW w:w="5480" w:type="dxa"/>
            <w:vAlign w:val="bottom"/>
          </w:tcPr>
          <w:p>
            <w:pPr>
              <w:ind w:left="2580"/>
              <w:spacing w:after="0"/>
              <w:rPr>
                <w:sz w:val="20"/>
                <w:szCs w:val="20"/>
                <w:color w:val="auto"/>
              </w:rPr>
            </w:pPr>
            <w:r>
              <w:rPr>
                <w:rFonts w:ascii="Arial" w:cs="Arial" w:eastAsia="Arial" w:hAnsi="Arial"/>
                <w:sz w:val="18"/>
                <w:szCs w:val="18"/>
                <w:color w:val="auto"/>
              </w:rPr>
              <w:t>The Honorable Barbara Lee</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The Honorable Xavier Becerra</w:t>
            </w:r>
          </w:p>
        </w:tc>
        <w:tc>
          <w:tcPr>
            <w:tcW w:w="5480" w:type="dxa"/>
            <w:vAlign w:val="bottom"/>
          </w:tcPr>
          <w:p>
            <w:pPr>
              <w:ind w:left="2580"/>
              <w:spacing w:after="0"/>
              <w:rPr>
                <w:sz w:val="20"/>
                <w:szCs w:val="20"/>
                <w:color w:val="auto"/>
              </w:rPr>
            </w:pPr>
            <w:r>
              <w:rPr>
                <w:rFonts w:ascii="Arial" w:cs="Arial" w:eastAsia="Arial" w:hAnsi="Arial"/>
                <w:sz w:val="18"/>
                <w:szCs w:val="18"/>
                <w:color w:val="auto"/>
              </w:rPr>
              <w:t>The Honorable Alan Lowenthal</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The Honorable Tim Bishop</w:t>
            </w:r>
          </w:p>
        </w:tc>
        <w:tc>
          <w:tcPr>
            <w:tcW w:w="5480" w:type="dxa"/>
            <w:vAlign w:val="bottom"/>
          </w:tcPr>
          <w:p>
            <w:pPr>
              <w:ind w:left="2580"/>
              <w:spacing w:after="0"/>
              <w:rPr>
                <w:sz w:val="20"/>
                <w:szCs w:val="20"/>
                <w:color w:val="auto"/>
              </w:rPr>
            </w:pPr>
            <w:r>
              <w:rPr>
                <w:rFonts w:ascii="Arial" w:cs="Arial" w:eastAsia="Arial" w:hAnsi="Arial"/>
                <w:sz w:val="18"/>
                <w:szCs w:val="18"/>
                <w:color w:val="auto"/>
                <w:w w:val="92"/>
              </w:rPr>
              <w:t>The Honorable Michelle Lujan Grisham</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The Honorable Corrine Brown</w:t>
            </w:r>
          </w:p>
        </w:tc>
        <w:tc>
          <w:tcPr>
            <w:tcW w:w="5480" w:type="dxa"/>
            <w:vAlign w:val="bottom"/>
          </w:tcPr>
          <w:p>
            <w:pPr>
              <w:ind w:left="2580"/>
              <w:spacing w:after="0"/>
              <w:rPr>
                <w:sz w:val="20"/>
                <w:szCs w:val="20"/>
                <w:color w:val="auto"/>
              </w:rPr>
            </w:pPr>
            <w:r>
              <w:rPr>
                <w:rFonts w:ascii="Arial" w:cs="Arial" w:eastAsia="Arial" w:hAnsi="Arial"/>
                <w:sz w:val="18"/>
                <w:szCs w:val="18"/>
                <w:color w:val="auto"/>
                <w:w w:val="92"/>
              </w:rPr>
              <w:t>The Honorable Eleanor Holmes Norton</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The Honorable Julia Brownley</w:t>
            </w:r>
          </w:p>
        </w:tc>
        <w:tc>
          <w:tcPr>
            <w:tcW w:w="5480" w:type="dxa"/>
            <w:vAlign w:val="bottom"/>
          </w:tcPr>
          <w:p>
            <w:pPr>
              <w:ind w:left="2580"/>
              <w:spacing w:after="0"/>
              <w:rPr>
                <w:sz w:val="20"/>
                <w:szCs w:val="20"/>
                <w:color w:val="auto"/>
              </w:rPr>
            </w:pPr>
            <w:r>
              <w:rPr>
                <w:rFonts w:ascii="Arial" w:cs="Arial" w:eastAsia="Arial" w:hAnsi="Arial"/>
                <w:sz w:val="18"/>
                <w:szCs w:val="18"/>
                <w:color w:val="auto"/>
              </w:rPr>
              <w:t>The Honorable Ed Pastor</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The Honorable Yvette Clarke</w:t>
            </w:r>
          </w:p>
        </w:tc>
        <w:tc>
          <w:tcPr>
            <w:tcW w:w="5480" w:type="dxa"/>
            <w:vAlign w:val="bottom"/>
          </w:tcPr>
          <w:p>
            <w:pPr>
              <w:ind w:left="2580"/>
              <w:spacing w:after="0"/>
              <w:rPr>
                <w:sz w:val="20"/>
                <w:szCs w:val="20"/>
                <w:color w:val="auto"/>
              </w:rPr>
            </w:pPr>
            <w:r>
              <w:rPr>
                <w:rFonts w:ascii="Arial" w:cs="Arial" w:eastAsia="Arial" w:hAnsi="Arial"/>
                <w:sz w:val="18"/>
                <w:szCs w:val="18"/>
                <w:color w:val="auto"/>
              </w:rPr>
              <w:t>The Honorable Donald Payne, Jr.</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The Honorable Jim Costa</w:t>
            </w:r>
          </w:p>
        </w:tc>
        <w:tc>
          <w:tcPr>
            <w:tcW w:w="5480" w:type="dxa"/>
            <w:vAlign w:val="bottom"/>
          </w:tcPr>
          <w:p>
            <w:pPr>
              <w:ind w:left="2580"/>
              <w:spacing w:after="0"/>
              <w:rPr>
                <w:sz w:val="20"/>
                <w:szCs w:val="20"/>
                <w:color w:val="auto"/>
              </w:rPr>
            </w:pPr>
            <w:r>
              <w:rPr>
                <w:rFonts w:ascii="Arial" w:cs="Arial" w:eastAsia="Arial" w:hAnsi="Arial"/>
                <w:sz w:val="18"/>
                <w:szCs w:val="18"/>
                <w:color w:val="auto"/>
              </w:rPr>
              <w:t>The Honorable Pedro Pierluisi</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The Honorable Joaquin Castro</w:t>
            </w:r>
          </w:p>
        </w:tc>
        <w:tc>
          <w:tcPr>
            <w:tcW w:w="5480" w:type="dxa"/>
            <w:vAlign w:val="bottom"/>
          </w:tcPr>
          <w:p>
            <w:pPr>
              <w:ind w:left="2580"/>
              <w:spacing w:after="0"/>
              <w:rPr>
                <w:sz w:val="20"/>
                <w:szCs w:val="20"/>
                <w:color w:val="auto"/>
              </w:rPr>
            </w:pPr>
            <w:r>
              <w:rPr>
                <w:rFonts w:ascii="Arial" w:cs="Arial" w:eastAsia="Arial" w:hAnsi="Arial"/>
                <w:sz w:val="18"/>
                <w:szCs w:val="18"/>
                <w:color w:val="auto"/>
              </w:rPr>
              <w:t>The Honorable Jared Polis</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The Honorable Henry Cuellar</w:t>
            </w:r>
          </w:p>
        </w:tc>
        <w:tc>
          <w:tcPr>
            <w:tcW w:w="5480" w:type="dxa"/>
            <w:vAlign w:val="bottom"/>
          </w:tcPr>
          <w:p>
            <w:pPr>
              <w:ind w:left="2580"/>
              <w:spacing w:after="0"/>
              <w:rPr>
                <w:sz w:val="20"/>
                <w:szCs w:val="20"/>
                <w:color w:val="auto"/>
              </w:rPr>
            </w:pPr>
            <w:r>
              <w:rPr>
                <w:rFonts w:ascii="Arial" w:cs="Arial" w:eastAsia="Arial" w:hAnsi="Arial"/>
                <w:sz w:val="18"/>
                <w:szCs w:val="18"/>
                <w:color w:val="auto"/>
              </w:rPr>
              <w:t>The Honorable Charles Rangel</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The Honorable Danny Davis</w:t>
            </w:r>
          </w:p>
        </w:tc>
        <w:tc>
          <w:tcPr>
            <w:tcW w:w="5480" w:type="dxa"/>
            <w:vAlign w:val="bottom"/>
          </w:tcPr>
          <w:p>
            <w:pPr>
              <w:ind w:left="2580"/>
              <w:spacing w:after="0"/>
              <w:rPr>
                <w:sz w:val="20"/>
                <w:szCs w:val="20"/>
                <w:color w:val="auto"/>
              </w:rPr>
            </w:pPr>
            <w:r>
              <w:rPr>
                <w:rFonts w:ascii="Arial" w:cs="Arial" w:eastAsia="Arial" w:hAnsi="Arial"/>
                <w:sz w:val="18"/>
                <w:szCs w:val="18"/>
                <w:color w:val="auto"/>
                <w:w w:val="99"/>
              </w:rPr>
              <w:t>The Honorable Lucille Roybal-Allard</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The Honorable Anna Eshoo</w:t>
            </w:r>
          </w:p>
        </w:tc>
        <w:tc>
          <w:tcPr>
            <w:tcW w:w="5480" w:type="dxa"/>
            <w:vAlign w:val="bottom"/>
          </w:tcPr>
          <w:p>
            <w:pPr>
              <w:ind w:left="2580"/>
              <w:spacing w:after="0"/>
              <w:rPr>
                <w:sz w:val="20"/>
                <w:szCs w:val="20"/>
                <w:color w:val="auto"/>
              </w:rPr>
            </w:pPr>
            <w:r>
              <w:rPr>
                <w:rFonts w:ascii="Arial" w:cs="Arial" w:eastAsia="Arial" w:hAnsi="Arial"/>
                <w:sz w:val="18"/>
                <w:szCs w:val="18"/>
                <w:color w:val="auto"/>
              </w:rPr>
              <w:t>The Honorable Raul Ruiz</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The Honorable Sam Farr</w:t>
            </w:r>
          </w:p>
        </w:tc>
        <w:tc>
          <w:tcPr>
            <w:tcW w:w="5480" w:type="dxa"/>
            <w:vAlign w:val="bottom"/>
          </w:tcPr>
          <w:p>
            <w:pPr>
              <w:ind w:left="2580"/>
              <w:spacing w:after="0"/>
              <w:rPr>
                <w:sz w:val="20"/>
                <w:szCs w:val="20"/>
                <w:color w:val="auto"/>
              </w:rPr>
            </w:pPr>
            <w:r>
              <w:rPr>
                <w:rFonts w:ascii="Arial" w:cs="Arial" w:eastAsia="Arial" w:hAnsi="Arial"/>
                <w:sz w:val="18"/>
                <w:szCs w:val="18"/>
                <w:color w:val="auto"/>
              </w:rPr>
              <w:t>The Honorable Bobby Rush</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The Honorable Chaka Fattah</w:t>
            </w:r>
          </w:p>
        </w:tc>
        <w:tc>
          <w:tcPr>
            <w:tcW w:w="5480" w:type="dxa"/>
            <w:vAlign w:val="bottom"/>
          </w:tcPr>
          <w:p>
            <w:pPr>
              <w:ind w:left="2580"/>
              <w:spacing w:after="0"/>
              <w:rPr>
                <w:sz w:val="20"/>
                <w:szCs w:val="20"/>
                <w:color w:val="auto"/>
              </w:rPr>
            </w:pPr>
            <w:r>
              <w:rPr>
                <w:rFonts w:ascii="Arial" w:cs="Arial" w:eastAsia="Arial" w:hAnsi="Arial"/>
                <w:sz w:val="18"/>
                <w:szCs w:val="18"/>
                <w:color w:val="auto"/>
              </w:rPr>
              <w:t>The Honorable Loretta Sanchez</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The Honorable Marcia Fudge</w:t>
            </w:r>
          </w:p>
        </w:tc>
        <w:tc>
          <w:tcPr>
            <w:tcW w:w="5480" w:type="dxa"/>
            <w:vAlign w:val="bottom"/>
          </w:tcPr>
          <w:p>
            <w:pPr>
              <w:ind w:left="2580"/>
              <w:spacing w:after="0"/>
              <w:rPr>
                <w:sz w:val="20"/>
                <w:szCs w:val="20"/>
                <w:color w:val="auto"/>
              </w:rPr>
            </w:pPr>
            <w:r>
              <w:rPr>
                <w:rFonts w:ascii="Arial" w:cs="Arial" w:eastAsia="Arial" w:hAnsi="Arial"/>
                <w:sz w:val="18"/>
                <w:szCs w:val="18"/>
                <w:color w:val="auto"/>
              </w:rPr>
              <w:t>The Honorable Adam Schiff</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The Honorable Pete Gallego</w:t>
            </w:r>
          </w:p>
        </w:tc>
        <w:tc>
          <w:tcPr>
            <w:tcW w:w="5480" w:type="dxa"/>
            <w:vAlign w:val="bottom"/>
          </w:tcPr>
          <w:p>
            <w:pPr>
              <w:ind w:left="2580"/>
              <w:spacing w:after="0"/>
              <w:rPr>
                <w:sz w:val="20"/>
                <w:szCs w:val="20"/>
                <w:color w:val="auto"/>
              </w:rPr>
            </w:pPr>
            <w:r>
              <w:rPr>
                <w:rFonts w:ascii="Arial" w:cs="Arial" w:eastAsia="Arial" w:hAnsi="Arial"/>
                <w:sz w:val="18"/>
                <w:szCs w:val="18"/>
                <w:color w:val="auto"/>
              </w:rPr>
              <w:t>The Honorable Bobby Scott</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The Honorable Joe Garcia</w:t>
            </w:r>
          </w:p>
        </w:tc>
        <w:tc>
          <w:tcPr>
            <w:tcW w:w="5480" w:type="dxa"/>
            <w:vAlign w:val="bottom"/>
          </w:tcPr>
          <w:p>
            <w:pPr>
              <w:ind w:left="2580"/>
              <w:spacing w:after="0"/>
              <w:rPr>
                <w:sz w:val="20"/>
                <w:szCs w:val="20"/>
                <w:color w:val="auto"/>
              </w:rPr>
            </w:pPr>
            <w:r>
              <w:rPr>
                <w:rFonts w:ascii="Arial" w:cs="Arial" w:eastAsia="Arial" w:hAnsi="Arial"/>
                <w:sz w:val="18"/>
                <w:szCs w:val="18"/>
                <w:color w:val="auto"/>
              </w:rPr>
              <w:t>The Honorable José Serrano</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The Honorable Al Green</w:t>
            </w:r>
          </w:p>
        </w:tc>
        <w:tc>
          <w:tcPr>
            <w:tcW w:w="5480" w:type="dxa"/>
            <w:vAlign w:val="bottom"/>
          </w:tcPr>
          <w:p>
            <w:pPr>
              <w:ind w:left="2580"/>
              <w:spacing w:after="0"/>
              <w:rPr>
                <w:sz w:val="20"/>
                <w:szCs w:val="20"/>
                <w:color w:val="auto"/>
              </w:rPr>
            </w:pPr>
            <w:r>
              <w:rPr>
                <w:rFonts w:ascii="Arial" w:cs="Arial" w:eastAsia="Arial" w:hAnsi="Arial"/>
                <w:sz w:val="18"/>
                <w:szCs w:val="18"/>
                <w:color w:val="auto"/>
              </w:rPr>
              <w:t>The Honorable Albio Sires</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The Honorable Gene Green</w:t>
            </w:r>
          </w:p>
        </w:tc>
        <w:tc>
          <w:tcPr>
            <w:tcW w:w="5480" w:type="dxa"/>
            <w:vAlign w:val="bottom"/>
          </w:tcPr>
          <w:p>
            <w:pPr>
              <w:ind w:left="2580"/>
              <w:spacing w:after="0"/>
              <w:rPr>
                <w:sz w:val="20"/>
                <w:szCs w:val="20"/>
                <w:color w:val="auto"/>
              </w:rPr>
            </w:pPr>
            <w:r>
              <w:rPr>
                <w:rFonts w:ascii="Arial" w:cs="Arial" w:eastAsia="Arial" w:hAnsi="Arial"/>
                <w:sz w:val="18"/>
                <w:szCs w:val="18"/>
                <w:color w:val="auto"/>
              </w:rPr>
              <w:t>The Honorable Terri Sewall</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The Honorable Raul Grijalva</w:t>
            </w:r>
          </w:p>
        </w:tc>
        <w:tc>
          <w:tcPr>
            <w:tcW w:w="5480" w:type="dxa"/>
            <w:vAlign w:val="bottom"/>
          </w:tcPr>
          <w:p>
            <w:pPr>
              <w:ind w:left="2580"/>
              <w:spacing w:after="0"/>
              <w:rPr>
                <w:sz w:val="20"/>
                <w:szCs w:val="20"/>
                <w:color w:val="auto"/>
              </w:rPr>
            </w:pPr>
            <w:r>
              <w:rPr>
                <w:rFonts w:ascii="Arial" w:cs="Arial" w:eastAsia="Arial" w:hAnsi="Arial"/>
                <w:sz w:val="18"/>
                <w:szCs w:val="18"/>
                <w:color w:val="auto"/>
              </w:rPr>
              <w:t>The Honorable Juan Vargas</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The Honorable Luis Gutierrez</w:t>
            </w:r>
          </w:p>
        </w:tc>
        <w:tc>
          <w:tcPr>
            <w:tcW w:w="5480" w:type="dxa"/>
            <w:vAlign w:val="bottom"/>
          </w:tcPr>
          <w:p>
            <w:pPr>
              <w:ind w:left="2580"/>
              <w:spacing w:after="0"/>
              <w:rPr>
                <w:sz w:val="20"/>
                <w:szCs w:val="20"/>
                <w:color w:val="auto"/>
              </w:rPr>
            </w:pPr>
            <w:r>
              <w:rPr>
                <w:rFonts w:ascii="Arial" w:cs="Arial" w:eastAsia="Arial" w:hAnsi="Arial"/>
                <w:sz w:val="18"/>
                <w:szCs w:val="18"/>
                <w:color w:val="auto"/>
              </w:rPr>
              <w:t>The Honorable Filemon Vela</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The Honorable Janice Hahn</w:t>
            </w:r>
          </w:p>
        </w:tc>
        <w:tc>
          <w:tcPr>
            <w:tcW w:w="5480" w:type="dxa"/>
            <w:vAlign w:val="bottom"/>
          </w:tcPr>
          <w:p>
            <w:pPr>
              <w:ind w:left="2580"/>
              <w:spacing w:after="0"/>
              <w:rPr>
                <w:sz w:val="20"/>
                <w:szCs w:val="20"/>
                <w:color w:val="auto"/>
              </w:rPr>
            </w:pPr>
            <w:r>
              <w:rPr>
                <w:rFonts w:ascii="Arial" w:cs="Arial" w:eastAsia="Arial" w:hAnsi="Arial"/>
                <w:sz w:val="18"/>
                <w:szCs w:val="18"/>
                <w:color w:val="auto"/>
              </w:rPr>
              <w:t>The Honorable Nydia Velázquez</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The Honorable Ruben Hinojosa</w:t>
            </w:r>
          </w:p>
        </w:tc>
        <w:tc>
          <w:tcPr>
            <w:tcW w:w="5480" w:type="dxa"/>
            <w:vAlign w:val="bottom"/>
          </w:tcPr>
          <w:p>
            <w:pPr>
              <w:ind w:left="2580"/>
              <w:spacing w:after="0"/>
              <w:rPr>
                <w:sz w:val="20"/>
                <w:szCs w:val="20"/>
                <w:color w:val="auto"/>
              </w:rPr>
            </w:pPr>
            <w:r>
              <w:rPr>
                <w:rFonts w:ascii="Arial" w:cs="Arial" w:eastAsia="Arial" w:hAnsi="Arial"/>
                <w:sz w:val="18"/>
                <w:szCs w:val="18"/>
                <w:color w:val="auto"/>
              </w:rPr>
              <w:t>The Honorable Marc Veasey</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The Honorable Mike Honda</w:t>
            </w:r>
          </w:p>
        </w:tc>
        <w:tc>
          <w:tcPr>
            <w:tcW w:w="5480" w:type="dxa"/>
            <w:vAlign w:val="bottom"/>
          </w:tcPr>
          <w:p>
            <w:pPr>
              <w:ind w:left="2580"/>
              <w:spacing w:after="0"/>
              <w:rPr>
                <w:sz w:val="20"/>
                <w:szCs w:val="20"/>
                <w:color w:val="auto"/>
              </w:rPr>
            </w:pPr>
            <w:r>
              <w:rPr>
                <w:rFonts w:ascii="Arial" w:cs="Arial" w:eastAsia="Arial" w:hAnsi="Arial"/>
                <w:sz w:val="18"/>
                <w:szCs w:val="18"/>
                <w:color w:val="auto"/>
              </w:rPr>
              <w:t>The Honorable Maxine Waters</w:t>
            </w: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color w:val="auto"/>
              </w:rPr>
              <w:t>The Honorable Sheila Jackson Lee</w:t>
            </w:r>
          </w:p>
        </w:tc>
        <w:tc>
          <w:tcPr>
            <w:tcW w:w="5480" w:type="dxa"/>
            <w:vAlign w:val="bottom"/>
          </w:tcPr>
          <w:p>
            <w:pPr>
              <w:spacing w:after="0"/>
              <w:rPr>
                <w:sz w:val="20"/>
                <w:szCs w:val="20"/>
                <w:color w:val="auto"/>
              </w:rPr>
            </w:pPr>
          </w:p>
        </w:tc>
      </w:tr>
      <w:tr>
        <w:trPr>
          <w:trHeight w:val="419"/>
        </w:trPr>
        <w:tc>
          <w:tcPr>
            <w:tcW w:w="1420" w:type="dxa"/>
            <w:vAlign w:val="bottom"/>
          </w:tcPr>
          <w:p>
            <w:pPr>
              <w:ind w:left="660"/>
              <w:spacing w:after="0"/>
              <w:rPr>
                <w:sz w:val="20"/>
                <w:szCs w:val="20"/>
                <w:color w:val="auto"/>
              </w:rPr>
            </w:pPr>
            <w:r>
              <w:rPr>
                <w:rFonts w:ascii="Arial" w:cs="Arial" w:eastAsia="Arial" w:hAnsi="Arial"/>
                <w:sz w:val="18"/>
                <w:szCs w:val="18"/>
                <w:b w:val="1"/>
                <w:bCs w:val="1"/>
                <w:color w:val="auto"/>
              </w:rPr>
              <w:t>Re:</w:t>
            </w:r>
          </w:p>
        </w:tc>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Diverse Programming</w:t>
            </w:r>
          </w:p>
        </w:tc>
        <w:tc>
          <w:tcPr>
            <w:tcW w:w="5480" w:type="dxa"/>
            <w:vAlign w:val="bottom"/>
          </w:tcPr>
          <w:p>
            <w:pPr>
              <w:spacing w:after="0"/>
              <w:rPr>
                <w:sz w:val="24"/>
                <w:szCs w:val="24"/>
                <w:color w:val="auto"/>
              </w:rPr>
            </w:pPr>
          </w:p>
        </w:tc>
      </w:tr>
    </w:tbl>
    <w:p>
      <w:pPr>
        <w:spacing w:after="0" w:line="200" w:lineRule="exact"/>
        <w:rPr>
          <w:sz w:val="24"/>
          <w:szCs w:val="24"/>
          <w:color w:val="auto"/>
        </w:rPr>
      </w:pPr>
    </w:p>
    <w:p>
      <w:pPr>
        <w:spacing w:after="0" w:line="299" w:lineRule="exact"/>
        <w:rPr>
          <w:sz w:val="24"/>
          <w:szCs w:val="24"/>
          <w:color w:val="auto"/>
        </w:rPr>
      </w:pPr>
    </w:p>
    <w:p>
      <w:pPr>
        <w:ind w:right="20"/>
        <w:spacing w:after="0" w:line="257" w:lineRule="auto"/>
        <w:rPr>
          <w:sz w:val="20"/>
          <w:szCs w:val="20"/>
          <w:color w:val="auto"/>
        </w:rPr>
      </w:pPr>
      <w:r>
        <w:rPr>
          <w:rFonts w:ascii="Arial" w:cs="Arial" w:eastAsia="Arial" w:hAnsi="Arial"/>
          <w:sz w:val="18"/>
          <w:szCs w:val="18"/>
          <w:color w:val="auto"/>
        </w:rPr>
        <w:t>I am writing in response to your letter to Rob Marcus and Brian Roberts. At the outset, let me say that we appreciate and share the concerns expressed by all of you. It is critical that diverse voices continue to have access to the markets they seek to serve. And we appreciate your acknowledgment of the significant commitments Comcast and Time Warner Cable have made to the carriage of diverse programming. As we have discussed with many of you over the past few years, our commitment to independent and diverse voices remains best in class in the industry, which is one of the reasons why our transaction with Time Warner Cable will be of significant benefit to the Hispanic community.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jc w:val="both"/>
        <w:ind w:right="360"/>
        <w:spacing w:after="0" w:line="264" w:lineRule="auto"/>
        <w:rPr>
          <w:sz w:val="20"/>
          <w:szCs w:val="20"/>
          <w:color w:val="auto"/>
        </w:rPr>
      </w:pPr>
      <w:r>
        <w:rPr>
          <w:rFonts w:ascii="Arial" w:cs="Arial" w:eastAsia="Arial" w:hAnsi="Arial"/>
          <w:sz w:val="18"/>
          <w:szCs w:val="18"/>
          <w:color w:val="auto"/>
        </w:rPr>
        <w:t>At Comcast, we are strong supporters of independent content, including channels owned by minorities. We carry 160 independent networks aimed at the diversity of audiences we serve across the country. We agree that carrying independent and minority-owned programming is the right thing to do for our customers and our company.</w:t>
      </w:r>
    </w:p>
    <w:p>
      <w:pPr>
        <w:spacing w:after="0" w:line="2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And that’s exactly what we already do with programming aimed at and owned by Hispanics. We distribute more than 60 Latino networks in both Spanish and English. We offer the greatest programming choices in linear, digital, and on-demand platforms. We launched two new independent networks (El Rey and Baby First Americas) with majority Latino ownership and Latino management – launches that would not have occurred without our distribution commitments.</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also have launched the Xfinity Latino Entertainment Channel (the first-of-its-kind interactive channel that promotes curated, Latino-relevant content, and features “how-to” and “did you know” videos designed to improve the customer experience with our products and services), the celebrated Xfinity Freeview Latino event (a two week all-access pass to thousands of hours of the best Latino programming on Xfinity On Demand – and this year’s edition will feature even more Latino programming), and our Xfinity Latino website (Xfinity.com/Latino), which features almost 9,000 choices and 2,500 hours of movies and shows online free to Xfinity Latino customers. We are also very proud of our recent efforts around the World Cup (including live broadcasts and On Demand carriage of every World Cup game in Spanish).</w:t>
      </w:r>
    </w:p>
    <w:p>
      <w:pPr>
        <w:spacing w:after="0" w:line="19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are similarly proud of our commitment to Latino voices at NBCUniversal. Emmy Award-winning journalist and Telemundo anchor José Díaz-Balart has joined MSNBC’s weekday line-up, anchoring MSNBC’s 10 a.m. hour live from Miami, Florida. And the new NBCNews.com features a new vertical focused on original reporting and analysis relevant to the Latino community (</w:t>
      </w:r>
      <w:r>
        <w:rPr>
          <w:rFonts w:ascii="Arial" w:cs="Arial" w:eastAsia="Arial" w:hAnsi="Arial"/>
          <w:sz w:val="17"/>
          <w:szCs w:val="17"/>
          <w:u w:val="single" w:color="auto"/>
          <w:color w:val="auto"/>
        </w:rPr>
        <w:t>www.nbcnews.com/news/latino</w:t>
      </w:r>
      <w:r>
        <w:rPr>
          <w:rFonts w:ascii="Arial" w:cs="Arial" w:eastAsia="Arial" w:hAnsi="Arial"/>
          <w:sz w:val="17"/>
          <w:szCs w:val="17"/>
          <w:color w:val="auto"/>
        </w:rPr>
        <w:t>), benefiting our Latino news coverage with greater exposure to the broader NBCNews.com audience and the more significant promotion of the NBCNews.com site. We’ve continued to invest in high quality programming for Telemundo, including securing the exclusive Spanish language rights to the next two World Cups.</w:t>
      </w:r>
    </w:p>
    <w:p>
      <w:pPr>
        <w:spacing w:after="0" w:line="200"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Our commitment to the Hispanic community is also reflected in our significant diversity record and accomplishments in the supplier diversity, workforce diversity, and community investment spaces. These industry-leading diversity practices, developed and executed with the help of our Joint Diversity Advisory Council, will also be extended throughout the entire Time Warner Cable footprint.</w:t>
      </w:r>
    </w:p>
    <w:p>
      <w:pPr>
        <w:spacing w:after="0" w:line="208"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Since 2011, Comcast has expanded the total distribution of seven Hispanic programming networks by more than 14 million subscribers. This exceeds by more than 40 percent our commitment in the NBCUniversal transaction to expand carriage of three Hispanic networks by 10 million subscribers.</w:t>
      </w:r>
    </w:p>
    <w:p>
      <w:pPr>
        <w:spacing w:after="0" w:line="151" w:lineRule="exact"/>
        <w:rPr>
          <w:sz w:val="20"/>
          <w:szCs w:val="20"/>
          <w:color w:val="auto"/>
        </w:rPr>
      </w:pPr>
    </w:p>
    <w:p>
      <w:pPr>
        <w:jc w:val="both"/>
        <w:ind w:right="500"/>
        <w:spacing w:after="0" w:line="302" w:lineRule="auto"/>
        <w:rPr>
          <w:sz w:val="20"/>
          <w:szCs w:val="20"/>
          <w:color w:val="auto"/>
        </w:rPr>
      </w:pPr>
      <w:r>
        <w:rPr>
          <w:rFonts w:ascii="Arial" w:cs="Arial" w:eastAsia="Arial" w:hAnsi="Arial"/>
          <w:sz w:val="16"/>
          <w:szCs w:val="16"/>
          <w:color w:val="auto"/>
        </w:rPr>
        <w:t>Comcast has had an extraordinary, long-standing commitment to Hispanic programming – we believe the best in the industry -- and we look forward to continuing to work with all of you to pursue these goals. Through the transaction with Time Warner Cable, we are committed to bringing high-quality Hispanic content to millions of additional Americans. My only caveat is that the importance of independent and Hispanic programming, which we are excelling at delivering, should not be confused by parochial business interests seeking more money and distribution for themselves.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David L. Cohen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David L. Cohen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5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This communication does not constitute an offer to sell or the solicitation of an offer to buy any securities or a solicitation of any vote or approval. In connection with the proposed transaction between Comcast Corporation (“Comcast”) and Charter Communications, Inc. (“Charter”), Charter will file with the Securities and Exchange Commission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0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addition, in connection with the proposed transaction between Comcast and Time Warner Cable Inc. (“Time Warner Cable”), on July 24, 2014, Comcast filed with the SEC an amendment to the registration statement on Form S-4 that was originally filed on March 20, 2014,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07"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spacing w:after="0" w:line="268" w:lineRule="auto"/>
        <w:rPr>
          <w:sz w:val="20"/>
          <w:szCs w:val="20"/>
          <w:color w:val="auto"/>
        </w:rPr>
      </w:pPr>
      <w:r>
        <w:rPr>
          <w:rFonts w:ascii="Arial" w:cs="Arial" w:eastAsia="Arial" w:hAnsi="Arial"/>
          <w:sz w:val="17"/>
          <w:szCs w:val="17"/>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its proxy statement for its 2014 annual meeting of stockholders, which was filed with the SEC on April 29, 2014, and its Current Report on Form 8-K, which was filed with the SEC on June 13, 2014. Information about the directors and executive officers of Comcast is set forth in its Annual Report on Form 10-K for the year ended December 31, 2013, which was filed with the SEC on February 12, 2014, its proxy statement for its 2014 annual meeting of stockholders, which was filed with the SEC on April 11, 2014, and its Current Report on Form 8-K, which was filed with the SEC on July 1, 2014. Information about the directors and executive officers of Charter is set forth in its Annual Report on Form 10-K for the year ended December 31, 2013, which was filed with the SEC on February 21, 2014, its proxy statement for its 2014 annual meeting of stockholders, which was filed with the SEC on March 27, 2014, and its Current Report on Form 8-K, which was filed with the SEC on May 9,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of Comcast and Time Warner Cable filed with the SEC and will be contained in the definitive joint proxy statement/prospectus of Comcast and Time Warner Cable and other relevant materials to be filed with the SEC when they become available, and will also be contained in the preliminary proxy statement/prospectus of Charter when it becomes available.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56"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495935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00"/>
      </w:cols>
      <w:pgMar w:left="240" w:top="76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2019-12-16T10:26:50Z</dcterms:created>
  <dcterms:modified xsi:type="dcterms:W3CDTF">2019-12-16T10:26:50Z</dcterms:modified>
</cp:coreProperties>
</file>