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8,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168275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1820" w:type="dxa"/>
        <w:tblCellMar>
          <w:top w:w="0" w:type="dxa"/>
          <w:left w:w="0" w:type="dxa"/>
          <w:bottom w:w="0" w:type="dxa"/>
          <w:right w:w="0" w:type="dxa"/>
        </w:tblCellMar>
      </w:tblPr>
      <w:tr>
        <w:trPr>
          <w:trHeight w:val="218"/>
        </w:trPr>
        <w:tc>
          <w:tcPr>
            <w:tcW w:w="2020" w:type="dxa"/>
            <w:vAlign w:val="bottom"/>
          </w:tcPr>
          <w:p>
            <w:pPr>
              <w:jc w:val="center"/>
              <w:ind w:right="27"/>
              <w:spacing w:after="0"/>
              <w:rPr>
                <w:sz w:val="20"/>
                <w:szCs w:val="20"/>
                <w:color w:val="auto"/>
              </w:rPr>
            </w:pPr>
            <w:r>
              <w:rPr>
                <w:rFonts w:ascii="Arial" w:cs="Arial" w:eastAsia="Arial" w:hAnsi="Arial"/>
                <w:sz w:val="18"/>
                <w:szCs w:val="18"/>
                <w:b w:val="1"/>
                <w:bCs w:val="1"/>
                <w:color w:val="auto"/>
                <w:w w:val="85"/>
              </w:rPr>
              <w:t>Pennsylvania</w:t>
            </w:r>
          </w:p>
        </w:tc>
        <w:tc>
          <w:tcPr>
            <w:tcW w:w="5360" w:type="dxa"/>
            <w:vAlign w:val="bottom"/>
            <w:gridSpan w:val="3"/>
          </w:tcPr>
          <w:p>
            <w:pPr>
              <w:jc w:val="center"/>
              <w:ind w:left="4159"/>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202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00" w:type="dxa"/>
            <w:vAlign w:val="bottom"/>
          </w:tcPr>
          <w:p>
            <w:pPr>
              <w:jc w:val="center"/>
              <w:ind w:left="13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020" w:type="dxa"/>
            <w:vAlign w:val="bottom"/>
          </w:tcPr>
          <w:p>
            <w:pPr>
              <w:jc w:val="center"/>
              <w:ind w:right="27"/>
              <w:spacing w:after="0"/>
              <w:rPr>
                <w:sz w:val="20"/>
                <w:szCs w:val="20"/>
                <w:color w:val="auto"/>
              </w:rPr>
            </w:pPr>
            <w:r>
              <w:rPr>
                <w:rFonts w:ascii="Arial" w:cs="Arial" w:eastAsia="Arial" w:hAnsi="Arial"/>
                <w:sz w:val="14"/>
                <w:szCs w:val="14"/>
                <w:b w:val="1"/>
                <w:bCs w:val="1"/>
                <w:color w:val="auto"/>
                <w:w w:val="87"/>
              </w:rPr>
              <w:t>of incorporation or organization)</w:t>
            </w: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00" w:type="dxa"/>
            <w:vAlign w:val="bottom"/>
          </w:tcPr>
          <w:p>
            <w:pPr>
              <w:jc w:val="center"/>
              <w:ind w:left="1332"/>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6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91"/>
              </w:rPr>
              <w:t>1500 Market Street</w:t>
            </w:r>
          </w:p>
        </w:tc>
      </w:tr>
      <w:tr>
        <w:trPr>
          <w:trHeight w:val="218"/>
        </w:trPr>
        <w:tc>
          <w:tcPr>
            <w:tcW w:w="2020" w:type="dxa"/>
            <w:vAlign w:val="bottom"/>
          </w:tcPr>
          <w:p>
            <w:pPr>
              <w:spacing w:after="0"/>
              <w:rPr>
                <w:sz w:val="18"/>
                <w:szCs w:val="18"/>
                <w:color w:val="auto"/>
              </w:rPr>
            </w:pPr>
          </w:p>
        </w:tc>
        <w:tc>
          <w:tcPr>
            <w:tcW w:w="5360" w:type="dxa"/>
            <w:vAlign w:val="bottom"/>
            <w:gridSpan w:val="3"/>
          </w:tcPr>
          <w:p>
            <w:pPr>
              <w:jc w:val="center"/>
              <w:ind w:right="1552"/>
              <w:spacing w:after="0"/>
              <w:rPr>
                <w:sz w:val="20"/>
                <w:szCs w:val="20"/>
                <w:color w:val="auto"/>
              </w:rPr>
            </w:pPr>
            <w:r>
              <w:rPr>
                <w:rFonts w:ascii="Arial" w:cs="Arial" w:eastAsia="Arial" w:hAnsi="Arial"/>
                <w:sz w:val="18"/>
                <w:szCs w:val="18"/>
                <w:b w:val="1"/>
                <w:bCs w:val="1"/>
                <w:color w:val="auto"/>
                <w:w w:val="88"/>
              </w:rPr>
              <w:t>Philadelphia, PA 19102-2148</w:t>
            </w:r>
          </w:p>
        </w:tc>
      </w:tr>
      <w:tr>
        <w:trPr>
          <w:trHeight w:val="174"/>
        </w:trPr>
        <w:tc>
          <w:tcPr>
            <w:tcW w:w="2020" w:type="dxa"/>
            <w:vAlign w:val="bottom"/>
          </w:tcPr>
          <w:p>
            <w:pPr>
              <w:spacing w:after="0"/>
              <w:rPr>
                <w:sz w:val="15"/>
                <w:szCs w:val="15"/>
                <w:color w:val="auto"/>
              </w:rPr>
            </w:pPr>
          </w:p>
        </w:tc>
        <w:tc>
          <w:tcPr>
            <w:tcW w:w="5360" w:type="dxa"/>
            <w:vAlign w:val="bottom"/>
            <w:gridSpan w:val="3"/>
          </w:tcPr>
          <w:p>
            <w:pPr>
              <w:jc w:val="center"/>
              <w:ind w:right="1532"/>
              <w:spacing w:after="0"/>
              <w:rPr>
                <w:sz w:val="20"/>
                <w:szCs w:val="20"/>
                <w:color w:val="auto"/>
              </w:rPr>
            </w:pPr>
            <w:r>
              <w:rPr>
                <w:rFonts w:ascii="Arial" w:cs="Arial" w:eastAsia="Arial" w:hAnsi="Arial"/>
                <w:sz w:val="14"/>
                <w:szCs w:val="14"/>
                <w:b w:val="1"/>
                <w:bCs w:val="1"/>
                <w:color w:val="auto"/>
                <w:w w:val="85"/>
              </w:rPr>
              <w:t>(Address of principal executive offices)</w:t>
            </w:r>
          </w:p>
        </w:tc>
      </w:tr>
      <w:tr>
        <w:trPr>
          <w:trHeight w:val="391"/>
        </w:trPr>
        <w:tc>
          <w:tcPr>
            <w:tcW w:w="7380" w:type="dxa"/>
            <w:vAlign w:val="bottom"/>
            <w:gridSpan w:val="4"/>
          </w:tcPr>
          <w:p>
            <w:pPr>
              <w:jc w:val="center"/>
              <w:ind w:left="307"/>
              <w:spacing w:after="0"/>
              <w:rPr>
                <w:sz w:val="20"/>
                <w:szCs w:val="20"/>
                <w:color w:val="auto"/>
              </w:rPr>
            </w:pPr>
            <w:r>
              <w:rPr>
                <w:rFonts w:ascii="Arial" w:cs="Arial" w:eastAsia="Arial" w:hAnsi="Arial"/>
                <w:sz w:val="24"/>
                <w:szCs w:val="24"/>
                <w:b w:val="1"/>
                <w:bCs w:val="1"/>
                <w:color w:val="auto"/>
              </w:rPr>
              <w:t>COMCAST CORPORATION 2003 STOCK OPTION PLAN</w:t>
            </w:r>
          </w:p>
        </w:tc>
      </w:tr>
      <w:tr>
        <w:trPr>
          <w:trHeight w:val="299"/>
        </w:trPr>
        <w:tc>
          <w:tcPr>
            <w:tcW w:w="7380" w:type="dxa"/>
            <w:vAlign w:val="bottom"/>
            <w:gridSpan w:val="4"/>
          </w:tcPr>
          <w:p>
            <w:pPr>
              <w:jc w:val="center"/>
              <w:ind w:left="327"/>
              <w:spacing w:after="0"/>
              <w:rPr>
                <w:sz w:val="20"/>
                <w:szCs w:val="20"/>
                <w:color w:val="auto"/>
              </w:rPr>
            </w:pPr>
            <w:r>
              <w:rPr>
                <w:rFonts w:ascii="Arial" w:cs="Arial" w:eastAsia="Arial" w:hAnsi="Arial"/>
                <w:sz w:val="24"/>
                <w:szCs w:val="24"/>
                <w:b w:val="1"/>
                <w:bCs w:val="1"/>
                <w:color w:val="auto"/>
              </w:rPr>
              <w:t>COMCAST CORPORATION 2002 RESTRICTED STOCK PLAN</w:t>
            </w:r>
          </w:p>
        </w:tc>
      </w:tr>
      <w:tr>
        <w:trPr>
          <w:trHeight w:val="174"/>
        </w:trPr>
        <w:tc>
          <w:tcPr>
            <w:tcW w:w="2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60" w:type="dxa"/>
            <w:vAlign w:val="bottom"/>
            <w:gridSpan w:val="2"/>
          </w:tcPr>
          <w:p>
            <w:pPr>
              <w:jc w:val="center"/>
              <w:ind w:right="2452"/>
              <w:spacing w:after="0"/>
              <w:rPr>
                <w:sz w:val="20"/>
                <w:szCs w:val="20"/>
                <w:color w:val="auto"/>
              </w:rPr>
            </w:pPr>
            <w:r>
              <w:rPr>
                <w:rFonts w:ascii="Arial" w:cs="Arial" w:eastAsia="Arial" w:hAnsi="Arial"/>
                <w:sz w:val="14"/>
                <w:szCs w:val="14"/>
                <w:b w:val="1"/>
                <w:bCs w:val="1"/>
                <w:color w:val="auto"/>
                <w:w w:val="88"/>
              </w:rPr>
              <w:t>(Full title of the plan)</w:t>
            </w:r>
          </w:p>
        </w:tc>
      </w:tr>
      <w:tr>
        <w:trPr>
          <w:trHeight w:val="244"/>
        </w:trPr>
        <w:tc>
          <w:tcPr>
            <w:tcW w:w="2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500" w:type="dxa"/>
            <w:vAlign w:val="bottom"/>
          </w:tcPr>
          <w:p>
            <w:pPr>
              <w:spacing w:after="0"/>
              <w:rPr>
                <w:sz w:val="21"/>
                <w:szCs w:val="21"/>
                <w:color w:val="auto"/>
              </w:rPr>
            </w:pPr>
          </w:p>
        </w:tc>
      </w:tr>
      <w:tr>
        <w:trPr>
          <w:trHeight w:val="452"/>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6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92"/>
              </w:rPr>
              <w:t>Arthur R. Block</w:t>
            </w:r>
          </w:p>
        </w:tc>
      </w:tr>
      <w:tr>
        <w:trPr>
          <w:trHeight w:val="216"/>
        </w:trPr>
        <w:tc>
          <w:tcPr>
            <w:tcW w:w="2020" w:type="dxa"/>
            <w:vAlign w:val="bottom"/>
          </w:tcPr>
          <w:p>
            <w:pPr>
              <w:spacing w:after="0"/>
              <w:rPr>
                <w:sz w:val="18"/>
                <w:szCs w:val="18"/>
                <w:color w:val="auto"/>
              </w:rPr>
            </w:pPr>
          </w:p>
        </w:tc>
        <w:tc>
          <w:tcPr>
            <w:tcW w:w="5360" w:type="dxa"/>
            <w:vAlign w:val="bottom"/>
            <w:gridSpan w:val="3"/>
          </w:tcPr>
          <w:p>
            <w:pPr>
              <w:jc w:val="center"/>
              <w:ind w:right="1532"/>
              <w:spacing w:after="0"/>
              <w:rPr>
                <w:sz w:val="20"/>
                <w:szCs w:val="20"/>
                <w:color w:val="auto"/>
              </w:rPr>
            </w:pPr>
            <w:r>
              <w:rPr>
                <w:rFonts w:ascii="Arial" w:cs="Arial" w:eastAsia="Arial" w:hAnsi="Arial"/>
                <w:sz w:val="18"/>
                <w:szCs w:val="18"/>
                <w:b w:val="1"/>
                <w:bCs w:val="1"/>
                <w:color w:val="auto"/>
                <w:w w:val="87"/>
              </w:rPr>
              <w:t>Senior Vice President and General Counsel</w:t>
            </w:r>
          </w:p>
        </w:tc>
      </w:tr>
      <w:tr>
        <w:trPr>
          <w:trHeight w:val="216"/>
        </w:trPr>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60" w:type="dxa"/>
            <w:vAlign w:val="bottom"/>
            <w:gridSpan w:val="2"/>
          </w:tcPr>
          <w:p>
            <w:pPr>
              <w:jc w:val="center"/>
              <w:ind w:right="2432"/>
              <w:spacing w:after="0"/>
              <w:rPr>
                <w:sz w:val="20"/>
                <w:szCs w:val="20"/>
                <w:color w:val="auto"/>
              </w:rPr>
            </w:pPr>
            <w:r>
              <w:rPr>
                <w:rFonts w:ascii="Arial" w:cs="Arial" w:eastAsia="Arial" w:hAnsi="Arial"/>
                <w:sz w:val="18"/>
                <w:szCs w:val="18"/>
                <w:b w:val="1"/>
                <w:bCs w:val="1"/>
                <w:color w:val="auto"/>
                <w:w w:val="89"/>
              </w:rPr>
              <w:t>Comcast Corporation</w:t>
            </w:r>
          </w:p>
        </w:tc>
      </w:tr>
      <w:tr>
        <w:trPr>
          <w:trHeight w:val="216"/>
        </w:trPr>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6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91"/>
              </w:rPr>
              <w:t>1500 Market Street</w:t>
            </w:r>
          </w:p>
        </w:tc>
      </w:tr>
      <w:tr>
        <w:trPr>
          <w:trHeight w:val="218"/>
        </w:trPr>
        <w:tc>
          <w:tcPr>
            <w:tcW w:w="2020" w:type="dxa"/>
            <w:vAlign w:val="bottom"/>
          </w:tcPr>
          <w:p>
            <w:pPr>
              <w:spacing w:after="0"/>
              <w:rPr>
                <w:sz w:val="18"/>
                <w:szCs w:val="18"/>
                <w:color w:val="auto"/>
              </w:rPr>
            </w:pPr>
          </w:p>
        </w:tc>
        <w:tc>
          <w:tcPr>
            <w:tcW w:w="5360" w:type="dxa"/>
            <w:vAlign w:val="bottom"/>
            <w:gridSpan w:val="3"/>
          </w:tcPr>
          <w:p>
            <w:pPr>
              <w:jc w:val="center"/>
              <w:ind w:right="1532"/>
              <w:spacing w:after="0"/>
              <w:rPr>
                <w:sz w:val="20"/>
                <w:szCs w:val="20"/>
                <w:color w:val="auto"/>
              </w:rPr>
            </w:pPr>
            <w:r>
              <w:rPr>
                <w:rFonts w:ascii="Arial" w:cs="Arial" w:eastAsia="Arial" w:hAnsi="Arial"/>
                <w:sz w:val="18"/>
                <w:szCs w:val="18"/>
                <w:b w:val="1"/>
                <w:bCs w:val="1"/>
                <w:color w:val="auto"/>
                <w:w w:val="87"/>
              </w:rPr>
              <w:t>Philadelphia, Pennsylvania 19102-2148</w:t>
            </w:r>
          </w:p>
        </w:tc>
      </w:tr>
      <w:tr>
        <w:trPr>
          <w:trHeight w:val="174"/>
        </w:trPr>
        <w:tc>
          <w:tcPr>
            <w:tcW w:w="2020" w:type="dxa"/>
            <w:vAlign w:val="bottom"/>
          </w:tcPr>
          <w:p>
            <w:pPr>
              <w:spacing w:after="0"/>
              <w:rPr>
                <w:sz w:val="15"/>
                <w:szCs w:val="15"/>
                <w:color w:val="auto"/>
              </w:rPr>
            </w:pPr>
          </w:p>
        </w:tc>
        <w:tc>
          <w:tcPr>
            <w:tcW w:w="5360" w:type="dxa"/>
            <w:vAlign w:val="bottom"/>
            <w:gridSpan w:val="3"/>
          </w:tcPr>
          <w:p>
            <w:pPr>
              <w:jc w:val="center"/>
              <w:ind w:right="1532"/>
              <w:spacing w:after="0"/>
              <w:rPr>
                <w:sz w:val="20"/>
                <w:szCs w:val="20"/>
                <w:color w:val="auto"/>
              </w:rPr>
            </w:pPr>
            <w:r>
              <w:rPr>
                <w:rFonts w:ascii="Arial" w:cs="Arial" w:eastAsia="Arial" w:hAnsi="Arial"/>
                <w:sz w:val="14"/>
                <w:szCs w:val="14"/>
                <w:b w:val="1"/>
                <w:bCs w:val="1"/>
                <w:color w:val="auto"/>
                <w:w w:val="85"/>
              </w:rPr>
              <w:t>(Name and address of agent for service)</w:t>
            </w:r>
          </w:p>
        </w:tc>
      </w:tr>
      <w:tr>
        <w:trPr>
          <w:trHeight w:val="339"/>
        </w:trPr>
        <w:tc>
          <w:tcPr>
            <w:tcW w:w="2020" w:type="dxa"/>
            <w:vAlign w:val="bottom"/>
          </w:tcPr>
          <w:p>
            <w:pPr>
              <w:spacing w:after="0"/>
              <w:rPr>
                <w:sz w:val="24"/>
                <w:szCs w:val="24"/>
                <w:color w:val="auto"/>
              </w:rPr>
            </w:pPr>
          </w:p>
        </w:tc>
        <w:tc>
          <w:tcPr>
            <w:tcW w:w="2860" w:type="dxa"/>
            <w:vAlign w:val="bottom"/>
            <w:gridSpan w:val="2"/>
          </w:tcPr>
          <w:p>
            <w:pPr>
              <w:jc w:val="center"/>
              <w:ind w:left="799"/>
              <w:spacing w:after="0"/>
              <w:rPr>
                <w:sz w:val="20"/>
                <w:szCs w:val="20"/>
                <w:color w:val="auto"/>
              </w:rPr>
            </w:pPr>
            <w:r>
              <w:rPr>
                <w:rFonts w:ascii="Arial" w:cs="Arial" w:eastAsia="Arial" w:hAnsi="Arial"/>
                <w:sz w:val="18"/>
                <w:szCs w:val="18"/>
                <w:b w:val="1"/>
                <w:bCs w:val="1"/>
                <w:color w:val="auto"/>
                <w:w w:val="89"/>
              </w:rPr>
              <w:t>(215) 665-1700</w:t>
            </w:r>
          </w:p>
        </w:tc>
        <w:tc>
          <w:tcPr>
            <w:tcW w:w="2500" w:type="dxa"/>
            <w:vAlign w:val="bottom"/>
          </w:tcPr>
          <w:p>
            <w:pPr>
              <w:spacing w:after="0"/>
              <w:rPr>
                <w:sz w:val="24"/>
                <w:szCs w:val="24"/>
                <w:color w:val="auto"/>
              </w:rPr>
            </w:pPr>
          </w:p>
        </w:tc>
      </w:tr>
      <w:tr>
        <w:trPr>
          <w:trHeight w:val="174"/>
        </w:trPr>
        <w:tc>
          <w:tcPr>
            <w:tcW w:w="2020" w:type="dxa"/>
            <w:vAlign w:val="bottom"/>
          </w:tcPr>
          <w:p>
            <w:pPr>
              <w:spacing w:after="0"/>
              <w:rPr>
                <w:sz w:val="15"/>
                <w:szCs w:val="15"/>
                <w:color w:val="auto"/>
              </w:rPr>
            </w:pPr>
          </w:p>
        </w:tc>
        <w:tc>
          <w:tcPr>
            <w:tcW w:w="5360" w:type="dxa"/>
            <w:vAlign w:val="bottom"/>
            <w:gridSpan w:val="3"/>
          </w:tcPr>
          <w:p>
            <w:pPr>
              <w:jc w:val="center"/>
              <w:ind w:right="1532"/>
              <w:spacing w:after="0"/>
              <w:rPr>
                <w:sz w:val="20"/>
                <w:szCs w:val="20"/>
                <w:color w:val="auto"/>
              </w:rPr>
            </w:pPr>
            <w:r>
              <w:rPr>
                <w:rFonts w:ascii="Arial" w:cs="Arial" w:eastAsia="Arial" w:hAnsi="Arial"/>
                <w:sz w:val="14"/>
                <w:szCs w:val="14"/>
                <w:b w:val="1"/>
                <w:bCs w:val="1"/>
                <w:color w:val="auto"/>
                <w:w w:val="85"/>
              </w:rPr>
              <w:t>(Telephone number, including area code, of agent for service)</w:t>
            </w:r>
          </w:p>
        </w:tc>
      </w:tr>
      <w:tr>
        <w:trPr>
          <w:trHeight w:val="163"/>
        </w:trPr>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500" w:type="dxa"/>
            <w:vAlign w:val="bottom"/>
          </w:tcPr>
          <w:p>
            <w:pPr>
              <w:spacing w:after="0"/>
              <w:rPr>
                <w:sz w:val="14"/>
                <w:szCs w:val="14"/>
                <w:color w:val="auto"/>
              </w:rPr>
            </w:pPr>
          </w:p>
        </w:tc>
      </w:tr>
      <w:tr>
        <w:trPr>
          <w:trHeight w:val="532"/>
        </w:trPr>
        <w:tc>
          <w:tcPr>
            <w:tcW w:w="2020" w:type="dxa"/>
            <w:vAlign w:val="bottom"/>
          </w:tcPr>
          <w:p>
            <w:pPr>
              <w:spacing w:after="0"/>
              <w:rPr>
                <w:sz w:val="24"/>
                <w:szCs w:val="24"/>
                <w:color w:val="auto"/>
              </w:rPr>
            </w:pPr>
          </w:p>
        </w:tc>
        <w:tc>
          <w:tcPr>
            <w:tcW w:w="5360" w:type="dxa"/>
            <w:vAlign w:val="bottom"/>
            <w:gridSpan w:val="3"/>
          </w:tcPr>
          <w:p>
            <w:pPr>
              <w:jc w:val="center"/>
              <w:ind w:right="1552"/>
              <w:spacing w:after="0"/>
              <w:rPr>
                <w:sz w:val="20"/>
                <w:szCs w:val="20"/>
                <w:color w:val="auto"/>
              </w:rPr>
            </w:pPr>
            <w:r>
              <w:rPr>
                <w:rFonts w:ascii="Arial" w:cs="Arial" w:eastAsia="Arial" w:hAnsi="Arial"/>
                <w:sz w:val="18"/>
                <w:szCs w:val="18"/>
                <w:b w:val="1"/>
                <w:bCs w:val="1"/>
                <w:color w:val="auto"/>
                <w:w w:val="99"/>
              </w:rPr>
              <w:t>CALCULATION OF REGISTRATION FEE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182"/>
              <w:spacing w:after="0"/>
              <w:rPr>
                <w:sz w:val="20"/>
                <w:szCs w:val="20"/>
                <w:color w:val="auto"/>
              </w:rPr>
            </w:pPr>
            <w:r>
              <w:rPr>
                <w:rFonts w:ascii="Arial" w:cs="Arial" w:eastAsia="Arial" w:hAnsi="Arial"/>
                <w:sz w:val="14"/>
                <w:szCs w:val="14"/>
                <w:b w:val="1"/>
                <w:bCs w:val="1"/>
                <w:color w:val="auto"/>
                <w:w w:val="83"/>
              </w:rPr>
              <w:t>Proposed</w:t>
            </w:r>
          </w:p>
        </w:tc>
        <w:tc>
          <w:tcPr>
            <w:tcW w:w="260" w:type="dxa"/>
            <w:vAlign w:val="bottom"/>
          </w:tcPr>
          <w:p>
            <w:pPr>
              <w:spacing w:after="0"/>
              <w:rPr>
                <w:sz w:val="14"/>
                <w:szCs w:val="14"/>
                <w:color w:val="auto"/>
              </w:rPr>
            </w:pPr>
          </w:p>
        </w:tc>
        <w:tc>
          <w:tcPr>
            <w:tcW w:w="1180" w:type="dxa"/>
            <w:vAlign w:val="bottom"/>
          </w:tcPr>
          <w:p>
            <w:pPr>
              <w:jc w:val="center"/>
              <w:ind w:right="202"/>
              <w:spacing w:after="0"/>
              <w:rPr>
                <w:sz w:val="20"/>
                <w:szCs w:val="20"/>
                <w:color w:val="auto"/>
              </w:rPr>
            </w:pPr>
            <w:r>
              <w:rPr>
                <w:rFonts w:ascii="Arial" w:cs="Arial" w:eastAsia="Arial" w:hAnsi="Arial"/>
                <w:sz w:val="14"/>
                <w:szCs w:val="14"/>
                <w:b w:val="1"/>
                <w:bCs w:val="1"/>
                <w:color w:val="auto"/>
                <w:w w:val="83"/>
              </w:rPr>
              <w:t>Proposed</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9"/>
        </w:trPr>
        <w:tc>
          <w:tcPr>
            <w:tcW w:w="5300" w:type="dxa"/>
            <w:vAlign w:val="bottom"/>
          </w:tcPr>
          <w:p>
            <w:pPr>
              <w:spacing w:after="0"/>
              <w:rPr>
                <w:sz w:val="12"/>
                <w:szCs w:val="12"/>
                <w:color w:val="auto"/>
              </w:rPr>
            </w:pPr>
          </w:p>
        </w:tc>
        <w:tc>
          <w:tcPr>
            <w:tcW w:w="2620" w:type="dxa"/>
            <w:vAlign w:val="bottom"/>
          </w:tcPr>
          <w:p>
            <w:pPr>
              <w:jc w:val="center"/>
              <w:ind w:left="822"/>
              <w:spacing w:after="0" w:line="149"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2"/>
                <w:szCs w:val="12"/>
                <w:color w:val="auto"/>
              </w:rPr>
            </w:pPr>
          </w:p>
        </w:tc>
        <w:tc>
          <w:tcPr>
            <w:tcW w:w="9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2"/>
              </w:rPr>
              <w:t>Maximum</w:t>
            </w:r>
          </w:p>
        </w:tc>
        <w:tc>
          <w:tcPr>
            <w:tcW w:w="260" w:type="dxa"/>
            <w:vAlign w:val="bottom"/>
          </w:tcPr>
          <w:p>
            <w:pPr>
              <w:spacing w:after="0"/>
              <w:rPr>
                <w:sz w:val="12"/>
                <w:szCs w:val="12"/>
                <w:color w:val="auto"/>
              </w:rPr>
            </w:pPr>
          </w:p>
        </w:tc>
        <w:tc>
          <w:tcPr>
            <w:tcW w:w="118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2"/>
              </w:rPr>
              <w:t>Maximum</w:t>
            </w:r>
          </w:p>
        </w:tc>
        <w:tc>
          <w:tcPr>
            <w:tcW w:w="8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w w:val="91"/>
              </w:rPr>
              <w:t>Amount of</w:t>
            </w:r>
          </w:p>
        </w:tc>
      </w:tr>
      <w:tr>
        <w:trPr>
          <w:trHeight w:val="149"/>
        </w:trPr>
        <w:tc>
          <w:tcPr>
            <w:tcW w:w="5300" w:type="dxa"/>
            <w:vAlign w:val="bottom"/>
          </w:tcPr>
          <w:p>
            <w:pPr>
              <w:spacing w:after="0"/>
              <w:rPr>
                <w:sz w:val="12"/>
                <w:szCs w:val="12"/>
                <w:color w:val="auto"/>
              </w:rPr>
            </w:pPr>
          </w:p>
        </w:tc>
        <w:tc>
          <w:tcPr>
            <w:tcW w:w="2620" w:type="dxa"/>
            <w:vAlign w:val="bottom"/>
          </w:tcPr>
          <w:p>
            <w:pPr>
              <w:jc w:val="center"/>
              <w:ind w:left="822"/>
              <w:spacing w:after="0" w:line="149" w:lineRule="exact"/>
              <w:rPr>
                <w:sz w:val="20"/>
                <w:szCs w:val="20"/>
                <w:color w:val="auto"/>
              </w:rPr>
            </w:pPr>
            <w:r>
              <w:rPr>
                <w:rFonts w:ascii="Arial" w:cs="Arial" w:eastAsia="Arial" w:hAnsi="Arial"/>
                <w:sz w:val="14"/>
                <w:szCs w:val="14"/>
                <w:b w:val="1"/>
                <w:bCs w:val="1"/>
                <w:color w:val="auto"/>
                <w:w w:val="83"/>
              </w:rPr>
              <w:t>to be</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260" w:type="dxa"/>
            <w:vAlign w:val="bottom"/>
          </w:tcPr>
          <w:p>
            <w:pPr>
              <w:spacing w:after="0"/>
              <w:rPr>
                <w:sz w:val="12"/>
                <w:szCs w:val="12"/>
                <w:color w:val="auto"/>
              </w:rPr>
            </w:pPr>
          </w:p>
        </w:tc>
        <w:tc>
          <w:tcPr>
            <w:tcW w:w="118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3"/>
              </w:rPr>
              <w:t>Aggregate</w:t>
            </w: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w w:val="85"/>
              </w:rPr>
              <w:t>Registration</w:t>
            </w:r>
          </w:p>
        </w:tc>
      </w:tr>
      <w:tr>
        <w:trPr>
          <w:trHeight w:val="174"/>
        </w:trPr>
        <w:tc>
          <w:tcPr>
            <w:tcW w:w="5300" w:type="dxa"/>
            <w:vAlign w:val="bottom"/>
          </w:tcPr>
          <w:p>
            <w:pPr>
              <w:ind w:left="2080"/>
              <w:spacing w:after="0"/>
              <w:rPr>
                <w:sz w:val="20"/>
                <w:szCs w:val="20"/>
                <w:color w:val="auto"/>
              </w:rPr>
            </w:pPr>
            <w:r>
              <w:rPr>
                <w:rFonts w:ascii="Arial" w:cs="Arial" w:eastAsia="Arial" w:hAnsi="Arial"/>
                <w:sz w:val="14"/>
                <w:szCs w:val="14"/>
                <w:b w:val="1"/>
                <w:bCs w:val="1"/>
                <w:color w:val="auto"/>
              </w:rPr>
              <w:t>Title of securities to be registered</w:t>
            </w:r>
          </w:p>
        </w:tc>
        <w:tc>
          <w:tcPr>
            <w:tcW w:w="2620" w:type="dxa"/>
            <w:vAlign w:val="bottom"/>
          </w:tcPr>
          <w:p>
            <w:pPr>
              <w:jc w:val="center"/>
              <w:ind w:left="822"/>
              <w:spacing w:after="0"/>
              <w:rPr>
                <w:sz w:val="20"/>
                <w:szCs w:val="20"/>
                <w:color w:val="auto"/>
              </w:rPr>
            </w:pPr>
            <w:r>
              <w:rPr>
                <w:rFonts w:ascii="Arial" w:cs="Arial" w:eastAsia="Arial" w:hAnsi="Arial"/>
                <w:sz w:val="14"/>
                <w:szCs w:val="14"/>
                <w:b w:val="1"/>
                <w:bCs w:val="1"/>
                <w:color w:val="auto"/>
                <w:w w:val="86"/>
              </w:rPr>
              <w:t>Registered(1)(2)</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Per Share (3)</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Offering Price(3)</w:t>
            </w:r>
          </w:p>
        </w:tc>
        <w:tc>
          <w:tcPr>
            <w:tcW w:w="28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Fee(3)</w:t>
            </w:r>
          </w:p>
        </w:tc>
      </w:tr>
      <w:tr>
        <w:trPr>
          <w:trHeight w:val="95"/>
        </w:trPr>
        <w:tc>
          <w:tcPr>
            <w:tcW w:w="530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309"/>
        </w:trPr>
        <w:tc>
          <w:tcPr>
            <w:tcW w:w="5300" w:type="dxa"/>
            <w:vAlign w:val="bottom"/>
          </w:tcPr>
          <w:p>
            <w:pPr>
              <w:ind w:left="20"/>
              <w:spacing w:after="0"/>
              <w:rPr>
                <w:sz w:val="20"/>
                <w:szCs w:val="20"/>
                <w:color w:val="auto"/>
              </w:rPr>
            </w:pPr>
            <w:r>
              <w:rPr>
                <w:rFonts w:ascii="Arial" w:cs="Arial" w:eastAsia="Arial" w:hAnsi="Arial"/>
                <w:sz w:val="18"/>
                <w:szCs w:val="18"/>
                <w:color w:val="auto"/>
              </w:rPr>
              <w:t>Class A Common Stock, par value $0.01 per share</w:t>
            </w:r>
          </w:p>
        </w:tc>
        <w:tc>
          <w:tcPr>
            <w:tcW w:w="2620" w:type="dxa"/>
            <w:vAlign w:val="bottom"/>
          </w:tcPr>
          <w:p>
            <w:pPr>
              <w:jc w:val="right"/>
              <w:ind w:right="102"/>
              <w:spacing w:after="0"/>
              <w:rPr>
                <w:sz w:val="20"/>
                <w:szCs w:val="20"/>
                <w:color w:val="auto"/>
              </w:rPr>
            </w:pPr>
            <w:r>
              <w:rPr>
                <w:rFonts w:ascii="Arial" w:cs="Arial" w:eastAsia="Arial" w:hAnsi="Arial"/>
                <w:sz w:val="18"/>
                <w:szCs w:val="18"/>
                <w:color w:val="auto"/>
              </w:rPr>
              <w:t>60,491,125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2"/>
              <w:spacing w:after="0"/>
              <w:rPr>
                <w:sz w:val="20"/>
                <w:szCs w:val="20"/>
                <w:color w:val="auto"/>
              </w:rPr>
            </w:pPr>
            <w:r>
              <w:rPr>
                <w:rFonts w:ascii="Arial" w:cs="Arial" w:eastAsia="Arial" w:hAnsi="Arial"/>
                <w:sz w:val="18"/>
                <w:szCs w:val="18"/>
                <w:color w:val="auto"/>
              </w:rPr>
              <w:t>29.01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2"/>
              <w:spacing w:after="0"/>
              <w:rPr>
                <w:sz w:val="20"/>
                <w:szCs w:val="20"/>
                <w:color w:val="auto"/>
              </w:rPr>
            </w:pPr>
            <w:r>
              <w:rPr>
                <w:rFonts w:ascii="Arial" w:cs="Arial" w:eastAsia="Arial" w:hAnsi="Arial"/>
                <w:sz w:val="18"/>
                <w:szCs w:val="18"/>
                <w:color w:val="auto"/>
                <w:w w:val="85"/>
              </w:rPr>
              <w:t>1,754,847,536</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141,967</w:t>
            </w:r>
          </w:p>
        </w:tc>
      </w:tr>
      <w:tr>
        <w:trPr>
          <w:trHeight w:val="222"/>
        </w:trPr>
        <w:tc>
          <w:tcPr>
            <w:tcW w:w="5300" w:type="dxa"/>
            <w:vAlign w:val="bottom"/>
          </w:tcPr>
          <w:p>
            <w:pPr>
              <w:spacing w:after="0"/>
              <w:rPr>
                <w:sz w:val="19"/>
                <w:szCs w:val="19"/>
                <w:color w:val="auto"/>
              </w:rPr>
            </w:pPr>
          </w:p>
        </w:tc>
        <w:tc>
          <w:tcPr>
            <w:tcW w:w="2620" w:type="dxa"/>
            <w:vAlign w:val="bottom"/>
          </w:tcPr>
          <w:p>
            <w:pPr>
              <w:jc w:val="right"/>
              <w:ind w:right="102"/>
              <w:spacing w:after="0"/>
              <w:rPr>
                <w:sz w:val="20"/>
                <w:szCs w:val="20"/>
                <w:color w:val="auto"/>
              </w:rPr>
            </w:pPr>
            <w:r>
              <w:rPr>
                <w:rFonts w:ascii="Arial" w:cs="Arial" w:eastAsia="Arial" w:hAnsi="Arial"/>
                <w:sz w:val="18"/>
                <w:szCs w:val="18"/>
                <w:color w:val="auto"/>
              </w:rPr>
              <w:t>10,508,875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2"/>
              <w:spacing w:after="0"/>
              <w:rPr>
                <w:sz w:val="20"/>
                <w:szCs w:val="20"/>
                <w:color w:val="auto"/>
              </w:rPr>
            </w:pPr>
            <w:r>
              <w:rPr>
                <w:rFonts w:ascii="Arial" w:cs="Arial" w:eastAsia="Arial" w:hAnsi="Arial"/>
                <w:sz w:val="18"/>
                <w:szCs w:val="18"/>
                <w:color w:val="auto"/>
              </w:rPr>
              <w:t>27.40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2"/>
              <w:spacing w:after="0"/>
              <w:rPr>
                <w:sz w:val="20"/>
                <w:szCs w:val="20"/>
                <w:color w:val="auto"/>
              </w:rPr>
            </w:pPr>
            <w:r>
              <w:rPr>
                <w:rFonts w:ascii="Arial" w:cs="Arial" w:eastAsia="Arial" w:hAnsi="Arial"/>
                <w:sz w:val="18"/>
                <w:szCs w:val="18"/>
                <w:color w:val="auto"/>
                <w:w w:val="97"/>
              </w:rPr>
              <w:t>287,943,175</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23,295</w:t>
            </w:r>
          </w:p>
        </w:tc>
      </w:tr>
      <w:tr>
        <w:trPr>
          <w:trHeight w:val="110"/>
        </w:trPr>
        <w:tc>
          <w:tcPr>
            <w:tcW w:w="530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r>
      <w:tr>
        <w:trPr>
          <w:trHeight w:val="316"/>
        </w:trPr>
        <w:tc>
          <w:tcPr>
            <w:tcW w:w="5300" w:type="dxa"/>
            <w:vAlign w:val="bottom"/>
          </w:tcPr>
          <w:p>
            <w:pPr>
              <w:ind w:left="260"/>
              <w:spacing w:after="0"/>
              <w:rPr>
                <w:sz w:val="20"/>
                <w:szCs w:val="20"/>
                <w:color w:val="auto"/>
              </w:rPr>
            </w:pPr>
            <w:r>
              <w:rPr>
                <w:rFonts w:ascii="Arial" w:cs="Arial" w:eastAsia="Arial" w:hAnsi="Arial"/>
                <w:sz w:val="18"/>
                <w:szCs w:val="18"/>
                <w:color w:val="auto"/>
              </w:rPr>
              <w:t>TOTAL</w:t>
            </w:r>
          </w:p>
        </w:tc>
        <w:tc>
          <w:tcPr>
            <w:tcW w:w="2620" w:type="dxa"/>
            <w:vAlign w:val="bottom"/>
          </w:tcPr>
          <w:p>
            <w:pPr>
              <w:jc w:val="right"/>
              <w:ind w:right="102"/>
              <w:spacing w:after="0"/>
              <w:rPr>
                <w:sz w:val="20"/>
                <w:szCs w:val="20"/>
                <w:color w:val="auto"/>
              </w:rPr>
            </w:pPr>
            <w:r>
              <w:rPr>
                <w:rFonts w:ascii="Arial" w:cs="Arial" w:eastAsia="Arial" w:hAnsi="Arial"/>
                <w:sz w:val="18"/>
                <w:szCs w:val="18"/>
                <w:color w:val="auto"/>
              </w:rPr>
              <w:t>71,000,000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2"/>
              <w:spacing w:after="0"/>
              <w:rPr>
                <w:sz w:val="20"/>
                <w:szCs w:val="20"/>
                <w:color w:val="auto"/>
              </w:rPr>
            </w:pPr>
            <w:r>
              <w:rPr>
                <w:rFonts w:ascii="Arial" w:cs="Arial" w:eastAsia="Arial" w:hAnsi="Arial"/>
                <w:sz w:val="18"/>
                <w:szCs w:val="18"/>
                <w:color w:val="auto"/>
                <w:w w:val="85"/>
              </w:rPr>
              <w:t>2,042,790,711</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165,262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0" w:lineRule="exact"/>
        <w:rPr>
          <w:sz w:val="24"/>
          <w:szCs w:val="24"/>
          <w:color w:val="auto"/>
        </w:rPr>
      </w:pPr>
    </w:p>
    <w:p>
      <w:pPr>
        <w:ind w:left="460" w:right="20" w:hanging="452"/>
        <w:spacing w:after="0" w:line="301"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This registration statement (the “Registration Statement”) registers the issuance of 70,000,000 shares of the Class A Common Stock (the “Common Stock”) of Comcast Corporation (the “Registrant”), par value $0.01, which are issuable pursuant to the Comcast Corporation 2003 Stock Option Plan (the “Stock Option Plan”) and 1,000,000 additional shares of Common Stock which are issuable pursuant to the Comcast Corporation 2002 Restricted Stock Plan, as amended and restated (the “Restricted Stock Plan” and, together with the Stock Option Plan, the “Plans”). This registration statement also registers the issuance of deferral elections relating to shares of Common Stock issued under the Restricted Stock Plan. In addition, this Registration Statement registers an indeterminate number of rights (the “Rights”) to purchase Series A Participating Cumulative Preferred Stock, par value $0.01 per share, pursuant to the terms of a certain Rights Agreement dated as of November 18, 2002 between the Registrant and EquiServe Trust Company, N.A., as Rights Agent.</w:t>
      </w:r>
    </w:p>
    <w:p>
      <w:pPr>
        <w:spacing w:after="0" w:line="4" w:lineRule="exact"/>
        <w:rPr>
          <w:rFonts w:ascii="Arial" w:cs="Arial" w:eastAsia="Arial" w:hAnsi="Arial"/>
          <w:sz w:val="15"/>
          <w:szCs w:val="15"/>
          <w:color w:val="auto"/>
        </w:rPr>
      </w:pPr>
    </w:p>
    <w:p>
      <w:pPr>
        <w:ind w:left="460" w:right="2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shall also be deemed covered hereby such additional shares as may result from anti-dilution adjustments under the Plans and which may hereinafter be offered or issued to prevent dilution resulting from stock splits, stock dividends, recapitalizations or certain other capital adjustments.</w:t>
      </w:r>
    </w:p>
    <w:p>
      <w:pPr>
        <w:spacing w:after="0" w:line="1" w:lineRule="exact"/>
        <w:rPr>
          <w:rFonts w:ascii="Arial" w:cs="Arial" w:eastAsia="Arial" w:hAnsi="Arial"/>
          <w:sz w:val="18"/>
          <w:szCs w:val="18"/>
          <w:color w:val="auto"/>
        </w:rPr>
      </w:pPr>
    </w:p>
    <w:p>
      <w:pPr>
        <w:jc w:val="both"/>
        <w:ind w:left="460" w:right="32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paragraph (h) of Rule 457 solely for the purpose of calculating the registration fee on the basis of: (i) the weighted average of the option exercise price with respect to outstanding options to purchase 10,508,875 shares and (ii) the average of the high and low sales prices of shares of Class A Common Stock on the Nasdaq National Market on April 1, 2003 with respect to the 60,491,125 shares subject to future grants under the Stock Option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931"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8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document(s) containing the information specified in Part I of Form S-8 will be sent or given to participants in the Plans as specified by Rule 428(b)(1) of the Securities Act of 1933. Such documents are not being filed with the Securities and Exchange Commission (the “Commission”) but constitute, along with the documents incorporated by reference into this Registration Statement, a prospectus that meets the requirements of Section 10(a) of the Securities Act of 1933.</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8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Registrant will furnish without charge to each person to whom the prospectus is delivered, upon written or oral request of such person, a copy of any and all of the documents incorporated by reference, other than exhibits to such documents (unless such exhibits are specifically incorporated by reference to the information that is incorporated). Requests should be directed to Comcast Corporation, 1500 Market Street, Philadelphia, Pennsylvania 19102; Attention: Arthur R. Block, Esq.; telephone number (215) 665-1700.</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Pursuant to General Instruction E of Form S-8, this registration statement on Form S-8 relates, in part, to the registration of an additional 1,000,000 shares of the Registrant’s Class A Common Stock, par value $0.01 per share, which are securities of the same class and relate to the same employee benefit plan, the Comcast Corporation 2002 Restricted Stock Plan, as amended and restated, as those shares registered in the Registrant’s registration statements on Form S-8 and Form S-8 POS, previously filed with the Commission on November 19, 2002 and December 4, 2002 (Registration No. 333-101295) and December 4, 2002 (Registration No. 333-101645), which are hereby incorporated by reference.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documents, as filed with the Commission by Comcast Corporation (the “Registrant” or “Company”), are incorporated by reference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and made a part hereof:</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ind w:left="1140" w:hanging="237"/>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Annual Report on Form 10-K for the fiscal year ended December 31, 2002, as filed with the Commission.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Current Reports on Form 8-K filed with the Commission on March 6, 2003, February 5, 2003 and January 10, 2003.</w:t>
      </w:r>
    </w:p>
    <w:p>
      <w:pPr>
        <w:spacing w:after="0" w:line="99" w:lineRule="exact"/>
        <w:rPr>
          <w:rFonts w:ascii="Arial" w:cs="Arial" w:eastAsia="Arial" w:hAnsi="Arial"/>
          <w:sz w:val="16"/>
          <w:szCs w:val="16"/>
          <w:color w:val="auto"/>
        </w:rPr>
      </w:pPr>
    </w:p>
    <w:p>
      <w:pPr>
        <w:ind w:left="460" w:right="60" w:firstLine="443"/>
        <w:spacing w:after="0" w:line="306" w:lineRule="auto"/>
        <w:tabs>
          <w:tab w:leader="none" w:pos="1137"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Registrant’s Common Stock included in the Registrant’s registration statement on pages XV-10 through XV-17 of Form S-4, as amended (Reg. No. 333-82460) filed with the Commission on May 11, 2002, including any amendments or reports filed for the purpose of updating such description in which there is described the terms, rights and provisions applicable to the Registrant’s Common Stock.</w:t>
      </w:r>
    </w:p>
    <w:p>
      <w:pPr>
        <w:spacing w:after="0" w:line="9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All documents filed by the Company pursuant to Sections 13(a), 13(c), 14 and 15(d) of the Exchange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8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against expenses actually and reasonably incurred, is mandatory to the extent that the director, officer, employee or agent has been successful on the merits or otherwise in defense of any action or proceeding relating to third-party or derivative and corporate actions or in defense of any claim, issue or matter therein.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28" w:right="259" w:bottom="1440" w:gutter="0" w:footer="0" w:header="0"/>
        </w:sectPr>
      </w:pPr>
    </w:p>
    <w:bookmarkStart w:id="3" w:name="page4"/>
    <w:bookmarkEnd w:id="3"/>
    <w:p>
      <w:pPr>
        <w:ind w:right="34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1742 provides for indemnification in derivative and corporate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7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Section 1744 provides that, unless ordered by a court, any indemnification under Section 1741 or 1742 shall be made by the corporation only as authorized in the specific case upon a determination that the representative met the applicable standard of conduct set forth in those sections and such determination shall be made: (1) by the board of directors by majority vote of a quorum of directors not parties to the action or proceeding; (2) if a quorum is not obtainable and a majority of disinterested directors so directs, by independent legal counsel in a written opinion; or (3) by the shareholders.</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 Advancement of expenses must be authorized by the board of directors.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Section 1746 also provides that a corporation may create a fund of any nature, which may, but need not be, under the control of a trustee, or otherwise secure or insure in any manner its indemnification obligations.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Section 1747 grants a corporation the power to purchase and maintain insurance on behalf of any person who is or was a representative of the corporation or is or was serving at the request of the corporation as a representative of another corporation, partnership, joint venture, trust or other enterprise, against any liability incurred by him in any such capacity, whether or not the corporation would have the power to indemnify him against that liability under this Subchapter of the BCL.</w:t>
      </w:r>
    </w:p>
    <w:p>
      <w:pPr>
        <w:spacing w:after="0" w:line="13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Sections 1748 and 1749 extend the indemnification and advancement of expenses provisions contained in Sections 1741 through 1750 of the BCL to constituent corporations absorbed in a consolidation, merger or division, as well as the surviving or new corporations surviving or resulting therefrom and to representatives serving as fiduciaries of employee benefit plans.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Section 1750 provides that the indemnification and advancement of expenses provided by, or granted pursuant to, Sections 1741 through 1750 of the BCL shall, unless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28" w:right="239" w:bottom="1440" w:gutter="0" w:footer="0" w:header="0"/>
        </w:sectPr>
      </w:pPr>
    </w:p>
    <w:bookmarkStart w:id="4" w:name="page5"/>
    <w:bookmarkEnd w:id="4"/>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provided when authorized or ratified, continue as to a person who has ceased to be a representative of the corporation and shall inure to the benefit of the heirs and personal representatives of such person.</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7.02 of the Registrant’s By-laws provides that the Registrant will indemnify any director or officer of the Registrant to the fullest extent permitted by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 at the request or for the benefit of the Registrant in any capacity for another corporation or other enterprise. No indemnification pursuant to Section 7.02 may be made, however, in any case where the act or failure to act giving rise to the claim for indemnification is determined by a court to have constituted willful misconduct or recklessness.</w:t>
      </w:r>
    </w:p>
    <w:p>
      <w:pPr>
        <w:spacing w:after="0" w:line="13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Section 7.02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7.02 provides that, to the extent that an indemnified person has been successful on the merits or otherwise in defense of any Proceeding or in defense of any claim, issue or matter therein, the Registrant shall indemnify such person against expenses actually and reasonably incurred by such person in connection therewith. Section 7.02 also 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By-laws or otherwise. Furthermore, Section 7.02 states that the Registrant may create a fund of any nature or otherwise may secure in any manner its indemnification obligations, whether arising under the By-laws or otherwise. Indemnification pursuant to Section 7.02 shall continue as to an indemnified person who has ceased to be a director or officer and shall inure to the benefit of his heirs, executors and administrators. The rights to indemnification and to the advancement of expenses provided in or pursuant to Article 7 of the By-laws are not exclusive of any other rights that any person may have or acquire under any provision of the By-Laws or otherwise.</w:t>
      </w:r>
    </w:p>
    <w:p>
      <w:pPr>
        <w:spacing w:after="0" w:line="11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Section 7.03 of the Registrant’s By-laws states that the provisions of the By-laws relating to indemnification constitute a contract between the Registrant and each of its directors and officers which may be modified as to any director and officer only with that person’s consent or as provided in Section 7.03. Furthermore, any repeal or amendment of the indemnification provisions of the By-laws adverse to any director or officer will apply only on a prospective basis. In addition, no repeal or amendment of the By-laws may affect the indemnification provisions of the By-laws so as either to reduce the limitation of directors’ liability or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Exemption from Registration Claimed.</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60"/>
        <w:spacing w:after="0"/>
        <w:tabs>
          <w:tab w:leader="none" w:pos="11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60325</wp:posOffset>
            </wp:positionV>
            <wp:extent cx="394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60325</wp:posOffset>
            </wp:positionV>
            <wp:extent cx="3346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56"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600" w:type="dxa"/>
            <w:vAlign w:val="bottom"/>
          </w:tcPr>
          <w:p>
            <w:pPr>
              <w:jc w:val="right"/>
              <w:ind w:right="212"/>
              <w:spacing w:after="0"/>
              <w:rPr>
                <w:sz w:val="20"/>
                <w:szCs w:val="20"/>
                <w:color w:val="auto"/>
              </w:rPr>
            </w:pPr>
            <w:r>
              <w:rPr>
                <w:rFonts w:ascii="Arial" w:cs="Arial" w:eastAsia="Arial" w:hAnsi="Arial"/>
                <w:sz w:val="18"/>
                <w:szCs w:val="18"/>
                <w:color w:val="auto"/>
              </w:rPr>
              <w:t>4.1</w:t>
            </w:r>
          </w:p>
        </w:tc>
        <w:tc>
          <w:tcPr>
            <w:tcW w:w="10220" w:type="dxa"/>
            <w:vAlign w:val="bottom"/>
          </w:tcPr>
          <w:p>
            <w:pPr>
              <w:ind w:left="280"/>
              <w:spacing w:after="0"/>
              <w:rPr>
                <w:sz w:val="20"/>
                <w:szCs w:val="20"/>
                <w:color w:val="auto"/>
              </w:rPr>
            </w:pPr>
            <w:r>
              <w:rPr>
                <w:rFonts w:ascii="Arial" w:cs="Arial" w:eastAsia="Arial" w:hAnsi="Arial"/>
                <w:sz w:val="18"/>
                <w:szCs w:val="18"/>
                <w:color w:val="auto"/>
                <w:w w:val="87"/>
              </w:rPr>
              <w:t>Comcast Corporation 2002 Restricted Stock Plan, as amended and restated, effective February 26, 2003 (incorporated by reference to Exhibit</w:t>
            </w:r>
          </w:p>
        </w:tc>
      </w:tr>
      <w:tr>
        <w:trPr>
          <w:trHeight w:val="222"/>
        </w:trPr>
        <w:tc>
          <w:tcPr>
            <w:tcW w:w="600" w:type="dxa"/>
            <w:vAlign w:val="bottom"/>
          </w:tcPr>
          <w:p>
            <w:pPr>
              <w:spacing w:after="0"/>
              <w:rPr>
                <w:sz w:val="19"/>
                <w:szCs w:val="19"/>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10.6 to our Annual Report on Form 10-K filed on March 20, 2003).</w:t>
            </w:r>
          </w:p>
        </w:tc>
      </w:tr>
      <w:tr>
        <w:trPr>
          <w:trHeight w:val="284"/>
        </w:trPr>
        <w:tc>
          <w:tcPr>
            <w:tcW w:w="600" w:type="dxa"/>
            <w:vAlign w:val="bottom"/>
          </w:tcPr>
          <w:p>
            <w:pPr>
              <w:jc w:val="right"/>
              <w:ind w:right="212"/>
              <w:spacing w:after="0"/>
              <w:rPr>
                <w:sz w:val="20"/>
                <w:szCs w:val="20"/>
                <w:color w:val="auto"/>
              </w:rPr>
            </w:pPr>
            <w:r>
              <w:rPr>
                <w:rFonts w:ascii="Arial" w:cs="Arial" w:eastAsia="Arial" w:hAnsi="Arial"/>
                <w:sz w:val="18"/>
                <w:szCs w:val="18"/>
                <w:color w:val="auto"/>
              </w:rPr>
              <w:t>5.1</w:t>
            </w:r>
          </w:p>
        </w:tc>
        <w:tc>
          <w:tcPr>
            <w:tcW w:w="10220" w:type="dxa"/>
            <w:vAlign w:val="bottom"/>
          </w:tcPr>
          <w:p>
            <w:pPr>
              <w:ind w:left="280"/>
              <w:spacing w:after="0"/>
              <w:rPr>
                <w:sz w:val="20"/>
                <w:szCs w:val="20"/>
                <w:color w:val="auto"/>
              </w:rPr>
            </w:pPr>
            <w:r>
              <w:rPr>
                <w:rFonts w:ascii="Arial" w:cs="Arial" w:eastAsia="Arial" w:hAnsi="Arial"/>
                <w:sz w:val="18"/>
                <w:szCs w:val="18"/>
                <w:color w:val="auto"/>
              </w:rPr>
              <w:t>Opinion of Pepper Hamilton LLP.</w:t>
            </w:r>
          </w:p>
        </w:tc>
      </w:tr>
      <w:tr>
        <w:trPr>
          <w:trHeight w:val="284"/>
        </w:trPr>
        <w:tc>
          <w:tcPr>
            <w:tcW w:w="600" w:type="dxa"/>
            <w:vAlign w:val="bottom"/>
          </w:tcPr>
          <w:p>
            <w:pPr>
              <w:jc w:val="right"/>
              <w:ind w:right="212"/>
              <w:spacing w:after="0"/>
              <w:rPr>
                <w:sz w:val="20"/>
                <w:szCs w:val="20"/>
                <w:color w:val="auto"/>
              </w:rPr>
            </w:pPr>
            <w:r>
              <w:rPr>
                <w:rFonts w:ascii="Arial" w:cs="Arial" w:eastAsia="Arial" w:hAnsi="Arial"/>
                <w:sz w:val="18"/>
                <w:szCs w:val="18"/>
                <w:color w:val="auto"/>
              </w:rPr>
              <w:t>5.2</w:t>
            </w:r>
          </w:p>
        </w:tc>
        <w:tc>
          <w:tcPr>
            <w:tcW w:w="10220" w:type="dxa"/>
            <w:vAlign w:val="bottom"/>
          </w:tcPr>
          <w:p>
            <w:pPr>
              <w:ind w:left="280"/>
              <w:spacing w:after="0"/>
              <w:rPr>
                <w:sz w:val="20"/>
                <w:szCs w:val="20"/>
                <w:color w:val="auto"/>
              </w:rPr>
            </w:pPr>
            <w:r>
              <w:rPr>
                <w:rFonts w:ascii="Arial" w:cs="Arial" w:eastAsia="Arial" w:hAnsi="Arial"/>
                <w:sz w:val="18"/>
                <w:szCs w:val="18"/>
                <w:color w:val="auto"/>
              </w:rPr>
              <w:t>Opinion of Pepper Hamilton LLP.</w:t>
            </w:r>
          </w:p>
        </w:tc>
      </w:tr>
      <w:tr>
        <w:trPr>
          <w:trHeight w:val="284"/>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23.1</w:t>
            </w:r>
          </w:p>
        </w:tc>
        <w:tc>
          <w:tcPr>
            <w:tcW w:w="10220" w:type="dxa"/>
            <w:vAlign w:val="bottom"/>
          </w:tcPr>
          <w:p>
            <w:pPr>
              <w:ind w:left="280"/>
              <w:spacing w:after="0"/>
              <w:rPr>
                <w:sz w:val="20"/>
                <w:szCs w:val="20"/>
                <w:color w:val="auto"/>
              </w:rPr>
            </w:pPr>
            <w:r>
              <w:rPr>
                <w:rFonts w:ascii="Arial" w:cs="Arial" w:eastAsia="Arial" w:hAnsi="Arial"/>
                <w:sz w:val="18"/>
                <w:szCs w:val="18"/>
                <w:color w:val="auto"/>
              </w:rPr>
              <w:t>Consent of Deloitte &amp; Touche LLP.</w:t>
            </w:r>
          </w:p>
        </w:tc>
      </w:tr>
      <w:tr>
        <w:trPr>
          <w:trHeight w:val="284"/>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23.2</w:t>
            </w:r>
          </w:p>
        </w:tc>
        <w:tc>
          <w:tcPr>
            <w:tcW w:w="10220" w:type="dxa"/>
            <w:vAlign w:val="bottom"/>
          </w:tcPr>
          <w:p>
            <w:pPr>
              <w:ind w:left="280"/>
              <w:spacing w:after="0"/>
              <w:rPr>
                <w:sz w:val="20"/>
                <w:szCs w:val="20"/>
                <w:color w:val="auto"/>
              </w:rPr>
            </w:pPr>
            <w:r>
              <w:rPr>
                <w:rFonts w:ascii="Arial" w:cs="Arial" w:eastAsia="Arial" w:hAnsi="Arial"/>
                <w:sz w:val="18"/>
                <w:szCs w:val="18"/>
                <w:color w:val="auto"/>
              </w:rPr>
              <w:t>Consent of Pepper Hamilton LLP (included in Exhibit 5.1 hereto).</w:t>
            </w:r>
          </w:p>
        </w:tc>
      </w:tr>
      <w:tr>
        <w:trPr>
          <w:trHeight w:val="284"/>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24.1</w:t>
            </w:r>
          </w:p>
        </w:tc>
        <w:tc>
          <w:tcPr>
            <w:tcW w:w="10220" w:type="dxa"/>
            <w:vAlign w:val="bottom"/>
          </w:tcPr>
          <w:p>
            <w:pPr>
              <w:ind w:left="28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undersigned Registrant hereby undertakes:</w:t>
      </w:r>
    </w:p>
    <w:p>
      <w:pPr>
        <w:spacing w:after="0" w:line="158" w:lineRule="exact"/>
        <w:rPr>
          <w:sz w:val="20"/>
          <w:szCs w:val="20"/>
          <w:color w:val="auto"/>
        </w:rPr>
      </w:pPr>
    </w:p>
    <w:p>
      <w:pPr>
        <w:ind w:right="80" w:firstLine="1492"/>
        <w:spacing w:after="0" w:line="268" w:lineRule="auto"/>
        <w:tabs>
          <w:tab w:leader="none" w:pos="17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pursuant to this Registration Statement, a post-effective amendment to this Registration Statement:</w:t>
      </w:r>
    </w:p>
    <w:p>
      <w:pPr>
        <w:spacing w:after="0" w:line="118" w:lineRule="exact"/>
        <w:rPr>
          <w:rFonts w:ascii="Arial" w:cs="Arial" w:eastAsia="Arial" w:hAnsi="Arial"/>
          <w:sz w:val="18"/>
          <w:szCs w:val="18"/>
          <w:color w:val="auto"/>
        </w:rPr>
      </w:pPr>
    </w:p>
    <w:p>
      <w:pPr>
        <w:ind w:left="2160" w:hanging="212"/>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57" w:lineRule="exact"/>
        <w:rPr>
          <w:rFonts w:ascii="Arial" w:cs="Arial" w:eastAsia="Arial" w:hAnsi="Arial"/>
          <w:sz w:val="18"/>
          <w:szCs w:val="18"/>
          <w:color w:val="auto"/>
        </w:rPr>
      </w:pPr>
    </w:p>
    <w:p>
      <w:pPr>
        <w:ind w:right="40" w:firstLine="1948"/>
        <w:spacing w:after="0" w:line="291" w:lineRule="auto"/>
        <w:tabs>
          <w:tab w:leader="none" w:pos="2198"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aggregate, represent a fundamental change in the information set forth in this Registration Statement. Notwithstanding the foregoing, any increase or decrease in volume of securities offered (if the total dollar value of securities offered would not exceed that which is registered) and any deviation from the low or high end of the estimated maximum range may be reflected in the form of prospectus filed with the Commission pursuant to Rule 424(b) if, in the aggregate, the changes in volume and price represent no more than 20 percent change in the maximum aggregate offering price set forth in “Calculation of Registration Fee” table in the effective registration statement;</w:t>
      </w:r>
    </w:p>
    <w:p>
      <w:pPr>
        <w:spacing w:after="0" w:line="106" w:lineRule="exact"/>
        <w:rPr>
          <w:rFonts w:ascii="Arial" w:cs="Arial" w:eastAsia="Arial" w:hAnsi="Arial"/>
          <w:sz w:val="16"/>
          <w:szCs w:val="16"/>
          <w:color w:val="auto"/>
        </w:rPr>
      </w:pPr>
    </w:p>
    <w:p>
      <w:pPr>
        <w:ind w:firstLine="1948"/>
        <w:spacing w:after="0" w:line="268" w:lineRule="auto"/>
        <w:tabs>
          <w:tab w:leader="none" w:pos="2247"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 Act of 1933;</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22" w:right="259" w:bottom="144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however</w:t>
      </w:r>
      <w:r>
        <w:rPr>
          <w:rFonts w:ascii="Arial" w:cs="Arial" w:eastAsia="Arial" w:hAnsi="Arial"/>
          <w:sz w:val="18"/>
          <w:szCs w:val="18"/>
          <w:color w:val="auto"/>
        </w:rPr>
        <w:t>, that paragraphs (i) and (ii) above do not apply if the information required to be included in a post-effective amendment by those paragraphs is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periodic reports filed by the Registrant pursuant to Section 13 or 15(d) of the Securities Exchange Act of 1934 that are incorporated by reference in this Registration Statement.</w:t>
      </w:r>
    </w:p>
    <w:p>
      <w:pPr>
        <w:spacing w:after="0" w:line="127" w:lineRule="exact"/>
        <w:rPr>
          <w:sz w:val="20"/>
          <w:szCs w:val="20"/>
          <w:color w:val="auto"/>
        </w:rPr>
      </w:pPr>
    </w:p>
    <w:p>
      <w:pPr>
        <w:ind w:right="80" w:firstLine="1492"/>
        <w:spacing w:after="0" w:line="259" w:lineRule="auto"/>
        <w:tabs>
          <w:tab w:leader="none" w:pos="17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Arial" w:cs="Arial" w:eastAsia="Arial" w:hAnsi="Arial"/>
          <w:sz w:val="18"/>
          <w:szCs w:val="18"/>
          <w:color w:val="auto"/>
        </w:rPr>
      </w:pPr>
    </w:p>
    <w:p>
      <w:pPr>
        <w:ind w:right="220" w:firstLine="1492"/>
        <w:spacing w:after="0" w:line="268" w:lineRule="auto"/>
        <w:tabs>
          <w:tab w:leader="none" w:pos="17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8" w:right="25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Philadelphia, Pennsylvania, on April 8, 2003.</w:t>
      </w:r>
    </w:p>
    <w:p>
      <w:pPr>
        <w:spacing w:after="0" w:line="34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OMCAST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80010</wp:posOffset>
            </wp:positionV>
            <wp:extent cx="2470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4"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Lawrence J. Salva</w:t>
      </w:r>
    </w:p>
    <w:p>
      <w:pPr>
        <w:ind w:left="7540"/>
        <w:spacing w:after="0" w:line="223" w:lineRule="auto"/>
        <w:rPr>
          <w:sz w:val="20"/>
          <w:szCs w:val="20"/>
          <w:color w:val="auto"/>
        </w:rPr>
      </w:pPr>
      <w:r>
        <w:rPr>
          <w:rFonts w:ascii="Arial" w:cs="Arial" w:eastAsia="Arial" w:hAnsi="Arial"/>
          <w:sz w:val="14"/>
          <w:szCs w:val="14"/>
          <w:b w:val="1"/>
          <w:bCs w:val="1"/>
          <w:color w:val="auto"/>
        </w:rPr>
        <w:t>Senior Vice President and Controller</w:t>
      </w:r>
    </w:p>
    <w:p>
      <w:pPr>
        <w:ind w:left="7540"/>
        <w:spacing w:after="0"/>
        <w:rPr>
          <w:sz w:val="20"/>
          <w:szCs w:val="20"/>
          <w:color w:val="auto"/>
        </w:rPr>
      </w:pPr>
      <w:r>
        <w:rPr>
          <w:rFonts w:ascii="Arial" w:cs="Arial" w:eastAsia="Arial" w:hAnsi="Arial"/>
          <w:sz w:val="14"/>
          <w:szCs w:val="14"/>
          <w:b w:val="1"/>
          <w:bCs w:val="1"/>
          <w:color w:val="auto"/>
        </w:rPr>
        <w:t>(Principal Accounting Officer)</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KNOW ALL MEN BY THESE PRESENTS, that each individual whose signature appears below constitutes and appoints David L. Cohen, Lawrence S. Smith, Arthur R. Block and Lawrence J. Salva, and each or any of them, his/her true and lawful attorney-in-fact and agent, with full power of substitution and resubstitution, for him/her and in his/her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he/she might or could do in person, hereby ratifying and confirming all that said attorneys-in-fact and agents, or any of them, or their, his/her substitutes or substitute, may lawfully do or cause to be done by virtue hereof.</w:t>
      </w:r>
    </w:p>
    <w:p>
      <w:pPr>
        <w:spacing w:after="0" w:line="9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14" w:lineRule="exact"/>
        <w:rPr>
          <w:sz w:val="20"/>
          <w:szCs w:val="20"/>
          <w:color w:val="auto"/>
        </w:rPr>
      </w:pPr>
    </w:p>
    <w:p>
      <w:pPr>
        <w:ind w:left="2080"/>
        <w:spacing w:after="0"/>
        <w:tabs>
          <w:tab w:leader="none" w:pos="7220" w:val="left"/>
          <w:tab w:leader="none" w:pos="105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68580</wp:posOffset>
            </wp:positionV>
            <wp:extent cx="4800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68580</wp:posOffset>
            </wp:positionV>
            <wp:extent cx="231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68580</wp:posOffset>
            </wp:positionV>
            <wp:extent cx="240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/s/ Ralph J. Roberts</w:t>
            </w:r>
          </w:p>
        </w:tc>
        <w:tc>
          <w:tcPr>
            <w:tcW w:w="5120" w:type="dxa"/>
            <w:vAlign w:val="bottom"/>
          </w:tcPr>
          <w:p>
            <w:pPr>
              <w:ind w:left="340"/>
              <w:spacing w:after="0"/>
              <w:rPr>
                <w:sz w:val="20"/>
                <w:szCs w:val="20"/>
                <w:color w:val="auto"/>
              </w:rPr>
            </w:pPr>
            <w:r>
              <w:rPr>
                <w:rFonts w:ascii="Arial" w:cs="Arial" w:eastAsia="Arial" w:hAnsi="Arial"/>
                <w:sz w:val="18"/>
                <w:szCs w:val="18"/>
                <w:color w:val="auto"/>
                <w:w w:val="93"/>
              </w:rPr>
              <w:t>Chairman of the Executive and Finance Committee of the Board</w:t>
            </w:r>
          </w:p>
        </w:tc>
        <w:tc>
          <w:tcPr>
            <w:tcW w:w="1180" w:type="dxa"/>
            <w:vAlign w:val="bottom"/>
          </w:tcPr>
          <w:p>
            <w:pPr>
              <w:ind w:left="24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6"/>
        </w:trPr>
        <w:tc>
          <w:tcPr>
            <w:tcW w:w="4700" w:type="dxa"/>
            <w:vAlign w:val="bottom"/>
            <w:tcBorders>
              <w:bottom w:val="single" w:sz="8" w:color="auto"/>
            </w:tcBorders>
          </w:tcPr>
          <w:p>
            <w:pPr>
              <w:spacing w:after="0"/>
              <w:rPr>
                <w:sz w:val="10"/>
                <w:szCs w:val="10"/>
                <w:color w:val="auto"/>
              </w:rPr>
            </w:pPr>
          </w:p>
        </w:tc>
        <w:tc>
          <w:tcPr>
            <w:tcW w:w="5120" w:type="dxa"/>
            <w:vAlign w:val="bottom"/>
            <w:vMerge w:val="restart"/>
          </w:tcPr>
          <w:p>
            <w:pPr>
              <w:ind w:left="340"/>
              <w:spacing w:after="0"/>
              <w:rPr>
                <w:sz w:val="20"/>
                <w:szCs w:val="20"/>
                <w:color w:val="auto"/>
              </w:rPr>
            </w:pPr>
            <w:r>
              <w:rPr>
                <w:rFonts w:ascii="Arial" w:cs="Arial" w:eastAsia="Arial" w:hAnsi="Arial"/>
                <w:sz w:val="18"/>
                <w:szCs w:val="18"/>
                <w:color w:val="auto"/>
              </w:rPr>
              <w:t>of Directors; Director</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Ralph J. Roberts</w:t>
            </w:r>
          </w:p>
        </w:tc>
        <w:tc>
          <w:tcPr>
            <w:tcW w:w="512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5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4700" w:type="dxa"/>
            <w:vAlign w:val="bottom"/>
          </w:tcPr>
          <w:p>
            <w:pPr>
              <w:ind w:left="20"/>
              <w:spacing w:after="0"/>
              <w:rPr>
                <w:sz w:val="20"/>
                <w:szCs w:val="20"/>
                <w:color w:val="auto"/>
              </w:rPr>
            </w:pPr>
            <w:r>
              <w:rPr>
                <w:rFonts w:ascii="Arial" w:cs="Arial" w:eastAsia="Arial" w:hAnsi="Arial"/>
                <w:sz w:val="18"/>
                <w:szCs w:val="18"/>
                <w:color w:val="auto"/>
              </w:rPr>
              <w:t>/s/ C. Michael Armstrong</w:t>
            </w:r>
          </w:p>
        </w:tc>
        <w:tc>
          <w:tcPr>
            <w:tcW w:w="5120" w:type="dxa"/>
            <w:vAlign w:val="bottom"/>
          </w:tcPr>
          <w:p>
            <w:pPr>
              <w:ind w:left="340"/>
              <w:spacing w:after="0"/>
              <w:rPr>
                <w:sz w:val="20"/>
                <w:szCs w:val="20"/>
                <w:color w:val="auto"/>
              </w:rPr>
            </w:pPr>
            <w:r>
              <w:rPr>
                <w:rFonts w:ascii="Arial" w:cs="Arial" w:eastAsia="Arial" w:hAnsi="Arial"/>
                <w:sz w:val="18"/>
                <w:szCs w:val="18"/>
                <w:color w:val="auto"/>
              </w:rPr>
              <w:t>Chairman of the Board of Directors; Director</w:t>
            </w:r>
          </w:p>
        </w:tc>
        <w:tc>
          <w:tcPr>
            <w:tcW w:w="1180" w:type="dxa"/>
            <w:vAlign w:val="bottom"/>
          </w:tcPr>
          <w:p>
            <w:pPr>
              <w:ind w:left="24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5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0"/>
                <w:szCs w:val="20"/>
                <w:color w:val="auto"/>
              </w:rPr>
            </w:pPr>
            <w:r>
              <w:rPr>
                <w:rFonts w:ascii="Arial" w:cs="Arial" w:eastAsia="Arial" w:hAnsi="Arial"/>
                <w:sz w:val="14"/>
                <w:szCs w:val="14"/>
                <w:b w:val="1"/>
                <w:bCs w:val="1"/>
                <w:color w:val="auto"/>
              </w:rPr>
              <w:t>C. Michael Armstrong</w:t>
            </w:r>
          </w:p>
        </w:tc>
        <w:tc>
          <w:tcPr>
            <w:tcW w:w="5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4700" w:type="dxa"/>
            <w:vAlign w:val="bottom"/>
          </w:tcPr>
          <w:p>
            <w:pPr>
              <w:ind w:left="20"/>
              <w:spacing w:after="0"/>
              <w:rPr>
                <w:sz w:val="20"/>
                <w:szCs w:val="20"/>
                <w:color w:val="auto"/>
              </w:rPr>
            </w:pPr>
            <w:r>
              <w:rPr>
                <w:rFonts w:ascii="Arial" w:cs="Arial" w:eastAsia="Arial" w:hAnsi="Arial"/>
                <w:sz w:val="18"/>
                <w:szCs w:val="18"/>
                <w:color w:val="auto"/>
              </w:rPr>
              <w:t>/s/ Brian L. Roberts</w:t>
            </w:r>
          </w:p>
        </w:tc>
        <w:tc>
          <w:tcPr>
            <w:tcW w:w="5120" w:type="dxa"/>
            <w:vAlign w:val="bottom"/>
          </w:tcPr>
          <w:p>
            <w:pPr>
              <w:ind w:left="340"/>
              <w:spacing w:after="0"/>
              <w:rPr>
                <w:sz w:val="20"/>
                <w:szCs w:val="20"/>
                <w:color w:val="auto"/>
              </w:rPr>
            </w:pPr>
            <w:r>
              <w:rPr>
                <w:rFonts w:ascii="Arial" w:cs="Arial" w:eastAsia="Arial" w:hAnsi="Arial"/>
                <w:sz w:val="18"/>
                <w:szCs w:val="18"/>
                <w:color w:val="auto"/>
              </w:rPr>
              <w:t>President and Chief Executive Officer; Director</w:t>
            </w:r>
          </w:p>
        </w:tc>
        <w:tc>
          <w:tcPr>
            <w:tcW w:w="1180" w:type="dxa"/>
            <w:vAlign w:val="bottom"/>
          </w:tcPr>
          <w:p>
            <w:pPr>
              <w:ind w:left="24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6"/>
        </w:trPr>
        <w:tc>
          <w:tcPr>
            <w:tcW w:w="4700" w:type="dxa"/>
            <w:vAlign w:val="bottom"/>
            <w:tcBorders>
              <w:bottom w:val="single" w:sz="8" w:color="auto"/>
            </w:tcBorders>
          </w:tcPr>
          <w:p>
            <w:pPr>
              <w:spacing w:after="0"/>
              <w:rPr>
                <w:sz w:val="10"/>
                <w:szCs w:val="10"/>
                <w:color w:val="auto"/>
              </w:rPr>
            </w:pPr>
          </w:p>
        </w:tc>
        <w:tc>
          <w:tcPr>
            <w:tcW w:w="5120" w:type="dxa"/>
            <w:vAlign w:val="bottom"/>
            <w:vMerge w:val="restart"/>
          </w:tcPr>
          <w:p>
            <w:pPr>
              <w:ind w:left="340"/>
              <w:spacing w:after="0"/>
              <w:rPr>
                <w:sz w:val="20"/>
                <w:szCs w:val="20"/>
                <w:color w:val="auto"/>
              </w:rPr>
            </w:pPr>
            <w:r>
              <w:rPr>
                <w:rFonts w:ascii="Arial" w:cs="Arial" w:eastAsia="Arial" w:hAnsi="Arial"/>
                <w:sz w:val="18"/>
                <w:szCs w:val="18"/>
                <w:color w:val="auto"/>
              </w:rPr>
              <w:t>(Principal Executive Officer)</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Brian L. Roberts</w:t>
            </w:r>
          </w:p>
        </w:tc>
        <w:tc>
          <w:tcPr>
            <w:tcW w:w="512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5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4700" w:type="dxa"/>
            <w:vAlign w:val="bottom"/>
          </w:tcPr>
          <w:p>
            <w:pPr>
              <w:ind w:left="20"/>
              <w:spacing w:after="0"/>
              <w:rPr>
                <w:sz w:val="20"/>
                <w:szCs w:val="20"/>
                <w:color w:val="auto"/>
              </w:rPr>
            </w:pPr>
            <w:r>
              <w:rPr>
                <w:rFonts w:ascii="Arial" w:cs="Arial" w:eastAsia="Arial" w:hAnsi="Arial"/>
                <w:sz w:val="18"/>
                <w:szCs w:val="18"/>
                <w:color w:val="auto"/>
              </w:rPr>
              <w:t>/s/ Julian A. Brodsky</w:t>
            </w:r>
          </w:p>
        </w:tc>
        <w:tc>
          <w:tcPr>
            <w:tcW w:w="5120" w:type="dxa"/>
            <w:vAlign w:val="bottom"/>
          </w:tcPr>
          <w:p>
            <w:pPr>
              <w:ind w:left="340"/>
              <w:spacing w:after="0"/>
              <w:rPr>
                <w:sz w:val="20"/>
                <w:szCs w:val="20"/>
                <w:color w:val="auto"/>
              </w:rPr>
            </w:pPr>
            <w:r>
              <w:rPr>
                <w:rFonts w:ascii="Arial" w:cs="Arial" w:eastAsia="Arial" w:hAnsi="Arial"/>
                <w:sz w:val="18"/>
                <w:szCs w:val="18"/>
                <w:color w:val="auto"/>
              </w:rPr>
              <w:t>Vice Chairman; Director</w:t>
            </w:r>
          </w:p>
        </w:tc>
        <w:tc>
          <w:tcPr>
            <w:tcW w:w="1180" w:type="dxa"/>
            <w:vAlign w:val="bottom"/>
          </w:tcPr>
          <w:p>
            <w:pPr>
              <w:ind w:left="24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5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0"/>
                <w:szCs w:val="20"/>
                <w:color w:val="auto"/>
              </w:rPr>
            </w:pPr>
            <w:r>
              <w:rPr>
                <w:rFonts w:ascii="Arial" w:cs="Arial" w:eastAsia="Arial" w:hAnsi="Arial"/>
                <w:sz w:val="14"/>
                <w:szCs w:val="14"/>
                <w:b w:val="1"/>
                <w:bCs w:val="1"/>
                <w:color w:val="auto"/>
              </w:rPr>
              <w:t>Julian A. Brodsky</w:t>
            </w:r>
          </w:p>
        </w:tc>
        <w:tc>
          <w:tcPr>
            <w:tcW w:w="5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4700" w:type="dxa"/>
            <w:vAlign w:val="bottom"/>
          </w:tcPr>
          <w:p>
            <w:pPr>
              <w:ind w:left="20"/>
              <w:spacing w:after="0"/>
              <w:rPr>
                <w:sz w:val="20"/>
                <w:szCs w:val="20"/>
                <w:color w:val="auto"/>
              </w:rPr>
            </w:pPr>
            <w:r>
              <w:rPr>
                <w:rFonts w:ascii="Arial" w:cs="Arial" w:eastAsia="Arial" w:hAnsi="Arial"/>
                <w:sz w:val="18"/>
                <w:szCs w:val="18"/>
                <w:color w:val="auto"/>
              </w:rPr>
              <w:t>/s/ Lawrence S. Smith</w:t>
            </w:r>
          </w:p>
        </w:tc>
        <w:tc>
          <w:tcPr>
            <w:tcW w:w="5120" w:type="dxa"/>
            <w:vAlign w:val="bottom"/>
          </w:tcPr>
          <w:p>
            <w:pPr>
              <w:ind w:left="340"/>
              <w:spacing w:after="0"/>
              <w:rPr>
                <w:sz w:val="20"/>
                <w:szCs w:val="20"/>
                <w:color w:val="auto"/>
              </w:rPr>
            </w:pPr>
            <w:r>
              <w:rPr>
                <w:rFonts w:ascii="Arial" w:cs="Arial" w:eastAsia="Arial" w:hAnsi="Arial"/>
                <w:sz w:val="18"/>
                <w:szCs w:val="18"/>
                <w:color w:val="auto"/>
              </w:rPr>
              <w:t>Executive Vice President</w:t>
            </w:r>
          </w:p>
        </w:tc>
        <w:tc>
          <w:tcPr>
            <w:tcW w:w="1180" w:type="dxa"/>
            <w:vAlign w:val="bottom"/>
          </w:tcPr>
          <w:p>
            <w:pPr>
              <w:ind w:left="24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6"/>
        </w:trPr>
        <w:tc>
          <w:tcPr>
            <w:tcW w:w="4700" w:type="dxa"/>
            <w:vAlign w:val="bottom"/>
            <w:tcBorders>
              <w:bottom w:val="single" w:sz="8" w:color="auto"/>
            </w:tcBorders>
          </w:tcPr>
          <w:p>
            <w:pPr>
              <w:spacing w:after="0"/>
              <w:rPr>
                <w:sz w:val="10"/>
                <w:szCs w:val="10"/>
                <w:color w:val="auto"/>
              </w:rPr>
            </w:pPr>
          </w:p>
        </w:tc>
        <w:tc>
          <w:tcPr>
            <w:tcW w:w="5120" w:type="dxa"/>
            <w:vAlign w:val="bottom"/>
            <w:vMerge w:val="restart"/>
          </w:tcPr>
          <w:p>
            <w:pPr>
              <w:ind w:left="340"/>
              <w:spacing w:after="0"/>
              <w:rPr>
                <w:sz w:val="20"/>
                <w:szCs w:val="20"/>
                <w:color w:val="auto"/>
              </w:rPr>
            </w:pPr>
            <w:r>
              <w:rPr>
                <w:rFonts w:ascii="Arial" w:cs="Arial" w:eastAsia="Arial" w:hAnsi="Arial"/>
                <w:sz w:val="18"/>
                <w:szCs w:val="18"/>
                <w:color w:val="auto"/>
              </w:rPr>
              <w:t>(Co-Principal Financial Officer)</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Lawrence S. Smith</w:t>
            </w:r>
          </w:p>
        </w:tc>
        <w:tc>
          <w:tcPr>
            <w:tcW w:w="512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5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700" w:type="dxa"/>
            <w:vAlign w:val="bottom"/>
          </w:tcPr>
          <w:p>
            <w:pPr>
              <w:spacing w:after="0"/>
              <w:rPr>
                <w:sz w:val="24"/>
                <w:szCs w:val="24"/>
                <w:color w:val="auto"/>
              </w:rPr>
            </w:pPr>
          </w:p>
        </w:tc>
        <w:tc>
          <w:tcPr>
            <w:tcW w:w="5120" w:type="dxa"/>
            <w:vAlign w:val="bottom"/>
          </w:tcPr>
          <w:p>
            <w:pPr>
              <w:ind w:left="920"/>
              <w:spacing w:after="0"/>
              <w:rPr>
                <w:sz w:val="20"/>
                <w:szCs w:val="20"/>
                <w:color w:val="auto"/>
              </w:rPr>
            </w:pPr>
            <w:r>
              <w:rPr>
                <w:rFonts w:ascii="Arial" w:cs="Arial" w:eastAsia="Arial" w:hAnsi="Arial"/>
                <w:sz w:val="18"/>
                <w:szCs w:val="18"/>
                <w:color w:val="auto"/>
              </w:rPr>
              <w:t>-8-</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22" w:right="3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/s/ John R. Alchin</w:t>
            </w:r>
          </w:p>
        </w:tc>
        <w:tc>
          <w:tcPr>
            <w:tcW w:w="5060" w:type="dxa"/>
            <w:vAlign w:val="bottom"/>
          </w:tcPr>
          <w:p>
            <w:pPr>
              <w:ind w:left="340"/>
              <w:spacing w:after="0"/>
              <w:rPr>
                <w:sz w:val="20"/>
                <w:szCs w:val="20"/>
                <w:color w:val="auto"/>
              </w:rPr>
            </w:pPr>
            <w:r>
              <w:rPr>
                <w:rFonts w:ascii="Arial" w:cs="Arial" w:eastAsia="Arial" w:hAnsi="Arial"/>
                <w:sz w:val="18"/>
                <w:szCs w:val="18"/>
                <w:color w:val="auto"/>
                <w:w w:val="99"/>
              </w:rPr>
              <w:t>Executive Vice President; Treasurer (Co-Principal Financial</w:t>
            </w:r>
          </w:p>
        </w:tc>
        <w:tc>
          <w:tcPr>
            <w:tcW w:w="1440" w:type="dxa"/>
            <w:vAlign w:val="bottom"/>
          </w:tcPr>
          <w:p>
            <w:pPr>
              <w:ind w:left="50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6"/>
        </w:trPr>
        <w:tc>
          <w:tcPr>
            <w:tcW w:w="4700" w:type="dxa"/>
            <w:vAlign w:val="bottom"/>
            <w:tcBorders>
              <w:bottom w:val="single" w:sz="8" w:color="auto"/>
            </w:tcBorders>
          </w:tcPr>
          <w:p>
            <w:pPr>
              <w:spacing w:after="0"/>
              <w:rPr>
                <w:sz w:val="10"/>
                <w:szCs w:val="10"/>
                <w:color w:val="auto"/>
              </w:rPr>
            </w:pPr>
          </w:p>
        </w:tc>
        <w:tc>
          <w:tcPr>
            <w:tcW w:w="5060" w:type="dxa"/>
            <w:vAlign w:val="bottom"/>
            <w:vMerge w:val="restart"/>
          </w:tcPr>
          <w:p>
            <w:pPr>
              <w:ind w:left="440"/>
              <w:spacing w:after="0"/>
              <w:rPr>
                <w:sz w:val="20"/>
                <w:szCs w:val="20"/>
                <w:color w:val="auto"/>
              </w:rPr>
            </w:pPr>
            <w:r>
              <w:rPr>
                <w:rFonts w:ascii="Arial" w:cs="Arial" w:eastAsia="Arial" w:hAnsi="Arial"/>
                <w:sz w:val="18"/>
                <w:szCs w:val="18"/>
                <w:color w:val="auto"/>
              </w:rPr>
              <w:t>Officer)</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John R. Alchin</w:t>
            </w:r>
          </w:p>
        </w:tc>
        <w:tc>
          <w:tcPr>
            <w:tcW w:w="50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5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4700" w:type="dxa"/>
            <w:vAlign w:val="bottom"/>
          </w:tcPr>
          <w:p>
            <w:pPr>
              <w:ind w:left="20"/>
              <w:spacing w:after="0"/>
              <w:rPr>
                <w:sz w:val="20"/>
                <w:szCs w:val="20"/>
                <w:color w:val="auto"/>
              </w:rPr>
            </w:pPr>
            <w:r>
              <w:rPr>
                <w:rFonts w:ascii="Arial" w:cs="Arial" w:eastAsia="Arial" w:hAnsi="Arial"/>
                <w:sz w:val="18"/>
                <w:szCs w:val="18"/>
                <w:color w:val="auto"/>
              </w:rPr>
              <w:t>/s/ Lawrence J. Salva</w:t>
            </w:r>
          </w:p>
        </w:tc>
        <w:tc>
          <w:tcPr>
            <w:tcW w:w="5060" w:type="dxa"/>
            <w:vAlign w:val="bottom"/>
          </w:tcPr>
          <w:p>
            <w:pPr>
              <w:ind w:left="340"/>
              <w:spacing w:after="0"/>
              <w:rPr>
                <w:sz w:val="20"/>
                <w:szCs w:val="20"/>
                <w:color w:val="auto"/>
              </w:rPr>
            </w:pPr>
            <w:r>
              <w:rPr>
                <w:rFonts w:ascii="Arial" w:cs="Arial" w:eastAsia="Arial" w:hAnsi="Arial"/>
                <w:sz w:val="18"/>
                <w:szCs w:val="18"/>
                <w:color w:val="auto"/>
              </w:rPr>
              <w:t>Senior Vice President and Controller</w:t>
            </w:r>
          </w:p>
        </w:tc>
        <w:tc>
          <w:tcPr>
            <w:tcW w:w="1440" w:type="dxa"/>
            <w:vAlign w:val="bottom"/>
          </w:tcPr>
          <w:p>
            <w:pPr>
              <w:ind w:left="50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6"/>
        </w:trPr>
        <w:tc>
          <w:tcPr>
            <w:tcW w:w="4700" w:type="dxa"/>
            <w:vAlign w:val="bottom"/>
            <w:tcBorders>
              <w:bottom w:val="single" w:sz="8" w:color="auto"/>
            </w:tcBorders>
          </w:tcPr>
          <w:p>
            <w:pPr>
              <w:spacing w:after="0"/>
              <w:rPr>
                <w:sz w:val="10"/>
                <w:szCs w:val="10"/>
                <w:color w:val="auto"/>
              </w:rPr>
            </w:pPr>
          </w:p>
        </w:tc>
        <w:tc>
          <w:tcPr>
            <w:tcW w:w="5060" w:type="dxa"/>
            <w:vAlign w:val="bottom"/>
            <w:vMerge w:val="restart"/>
          </w:tcPr>
          <w:p>
            <w:pPr>
              <w:ind w:left="340"/>
              <w:spacing w:after="0"/>
              <w:rPr>
                <w:sz w:val="20"/>
                <w:szCs w:val="20"/>
                <w:color w:val="auto"/>
              </w:rPr>
            </w:pPr>
            <w:r>
              <w:rPr>
                <w:rFonts w:ascii="Arial" w:cs="Arial" w:eastAsia="Arial" w:hAnsi="Arial"/>
                <w:sz w:val="18"/>
                <w:szCs w:val="18"/>
                <w:color w:val="auto"/>
              </w:rPr>
              <w:t>(Principal Accounting Officer)</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Lawrence J. Salva</w:t>
            </w:r>
          </w:p>
        </w:tc>
        <w:tc>
          <w:tcPr>
            <w:tcW w:w="50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5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4700" w:type="dxa"/>
            <w:vAlign w:val="bottom"/>
          </w:tcPr>
          <w:p>
            <w:pPr>
              <w:ind w:left="20"/>
              <w:spacing w:after="0"/>
              <w:rPr>
                <w:sz w:val="20"/>
                <w:szCs w:val="20"/>
                <w:color w:val="auto"/>
              </w:rPr>
            </w:pPr>
            <w:r>
              <w:rPr>
                <w:rFonts w:ascii="Arial" w:cs="Arial" w:eastAsia="Arial" w:hAnsi="Arial"/>
                <w:sz w:val="18"/>
                <w:szCs w:val="18"/>
                <w:color w:val="auto"/>
              </w:rPr>
              <w:t>/s/ S. Decker Anstrom</w:t>
            </w:r>
          </w:p>
        </w:tc>
        <w:tc>
          <w:tcPr>
            <w:tcW w:w="50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50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50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0"/>
                <w:szCs w:val="20"/>
                <w:color w:val="auto"/>
              </w:rPr>
            </w:pPr>
            <w:r>
              <w:rPr>
                <w:rFonts w:ascii="Arial" w:cs="Arial" w:eastAsia="Arial" w:hAnsi="Arial"/>
                <w:sz w:val="14"/>
                <w:szCs w:val="14"/>
                <w:b w:val="1"/>
                <w:bCs w:val="1"/>
                <w:color w:val="auto"/>
              </w:rPr>
              <w:t>S. Decker Anstrom</w:t>
            </w:r>
          </w:p>
        </w:tc>
        <w:tc>
          <w:tcPr>
            <w:tcW w:w="5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00" w:type="dxa"/>
            <w:vAlign w:val="bottom"/>
          </w:tcPr>
          <w:p>
            <w:pPr>
              <w:ind w:left="20"/>
              <w:spacing w:after="0"/>
              <w:rPr>
                <w:sz w:val="20"/>
                <w:szCs w:val="20"/>
                <w:color w:val="auto"/>
              </w:rPr>
            </w:pPr>
            <w:r>
              <w:rPr>
                <w:rFonts w:ascii="Arial" w:cs="Arial" w:eastAsia="Arial" w:hAnsi="Arial"/>
                <w:sz w:val="18"/>
                <w:szCs w:val="18"/>
                <w:color w:val="auto"/>
              </w:rPr>
              <w:t>/s/ Kenneth J. Bacon</w:t>
            </w:r>
          </w:p>
        </w:tc>
        <w:tc>
          <w:tcPr>
            <w:tcW w:w="50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50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50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0"/>
                <w:szCs w:val="20"/>
                <w:color w:val="auto"/>
              </w:rPr>
            </w:pPr>
            <w:r>
              <w:rPr>
                <w:rFonts w:ascii="Arial" w:cs="Arial" w:eastAsia="Arial" w:hAnsi="Arial"/>
                <w:sz w:val="14"/>
                <w:szCs w:val="14"/>
                <w:b w:val="1"/>
                <w:bCs w:val="1"/>
                <w:color w:val="auto"/>
              </w:rPr>
              <w:t>Kenneth J. Bacon</w:t>
            </w:r>
          </w:p>
        </w:tc>
        <w:tc>
          <w:tcPr>
            <w:tcW w:w="5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00" w:type="dxa"/>
            <w:vAlign w:val="bottom"/>
          </w:tcPr>
          <w:p>
            <w:pPr>
              <w:ind w:left="20"/>
              <w:spacing w:after="0"/>
              <w:rPr>
                <w:sz w:val="20"/>
                <w:szCs w:val="20"/>
                <w:color w:val="auto"/>
              </w:rPr>
            </w:pPr>
            <w:r>
              <w:rPr>
                <w:rFonts w:ascii="Arial" w:cs="Arial" w:eastAsia="Arial" w:hAnsi="Arial"/>
                <w:sz w:val="18"/>
                <w:szCs w:val="18"/>
                <w:color w:val="auto"/>
              </w:rPr>
              <w:t>/s/ Sheldon M. Bonovitz</w:t>
            </w:r>
          </w:p>
        </w:tc>
        <w:tc>
          <w:tcPr>
            <w:tcW w:w="50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50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50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0"/>
                <w:szCs w:val="20"/>
                <w:color w:val="auto"/>
              </w:rPr>
            </w:pPr>
            <w:r>
              <w:rPr>
                <w:rFonts w:ascii="Arial" w:cs="Arial" w:eastAsia="Arial" w:hAnsi="Arial"/>
                <w:sz w:val="14"/>
                <w:szCs w:val="14"/>
                <w:b w:val="1"/>
                <w:bCs w:val="1"/>
                <w:color w:val="auto"/>
              </w:rPr>
              <w:t>Sheldon M. Bonovitz</w:t>
            </w:r>
          </w:p>
        </w:tc>
        <w:tc>
          <w:tcPr>
            <w:tcW w:w="5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00" w:type="dxa"/>
            <w:vAlign w:val="bottom"/>
          </w:tcPr>
          <w:p>
            <w:pPr>
              <w:ind w:left="20"/>
              <w:spacing w:after="0"/>
              <w:rPr>
                <w:sz w:val="20"/>
                <w:szCs w:val="20"/>
                <w:color w:val="auto"/>
              </w:rPr>
            </w:pPr>
            <w:r>
              <w:rPr>
                <w:rFonts w:ascii="Arial" w:cs="Arial" w:eastAsia="Arial" w:hAnsi="Arial"/>
                <w:sz w:val="18"/>
                <w:szCs w:val="18"/>
                <w:color w:val="auto"/>
              </w:rPr>
              <w:t>/s/ Joseph L. Castle, II</w:t>
            </w:r>
          </w:p>
        </w:tc>
        <w:tc>
          <w:tcPr>
            <w:tcW w:w="50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50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50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0"/>
                <w:szCs w:val="20"/>
                <w:color w:val="auto"/>
              </w:rPr>
            </w:pPr>
            <w:r>
              <w:rPr>
                <w:rFonts w:ascii="Arial" w:cs="Arial" w:eastAsia="Arial" w:hAnsi="Arial"/>
                <w:sz w:val="14"/>
                <w:szCs w:val="14"/>
                <w:b w:val="1"/>
                <w:bCs w:val="1"/>
                <w:color w:val="auto"/>
              </w:rPr>
              <w:t>Joseph L. Castle, II</w:t>
            </w:r>
          </w:p>
        </w:tc>
        <w:tc>
          <w:tcPr>
            <w:tcW w:w="5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00" w:type="dxa"/>
            <w:vAlign w:val="bottom"/>
          </w:tcPr>
          <w:p>
            <w:pPr>
              <w:ind w:left="20"/>
              <w:spacing w:after="0"/>
              <w:rPr>
                <w:sz w:val="20"/>
                <w:szCs w:val="20"/>
                <w:color w:val="auto"/>
              </w:rPr>
            </w:pPr>
            <w:r>
              <w:rPr>
                <w:rFonts w:ascii="Arial" w:cs="Arial" w:eastAsia="Arial" w:hAnsi="Arial"/>
                <w:sz w:val="18"/>
                <w:szCs w:val="18"/>
                <w:color w:val="auto"/>
              </w:rPr>
              <w:t>/s/ J. Michael Cook</w:t>
            </w:r>
          </w:p>
        </w:tc>
        <w:tc>
          <w:tcPr>
            <w:tcW w:w="50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50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50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0"/>
                <w:szCs w:val="20"/>
                <w:color w:val="auto"/>
              </w:rPr>
            </w:pPr>
            <w:r>
              <w:rPr>
                <w:rFonts w:ascii="Arial" w:cs="Arial" w:eastAsia="Arial" w:hAnsi="Arial"/>
                <w:sz w:val="14"/>
                <w:szCs w:val="14"/>
                <w:b w:val="1"/>
                <w:bCs w:val="1"/>
                <w:color w:val="auto"/>
              </w:rPr>
              <w:t>J. Michael Cook</w:t>
            </w:r>
          </w:p>
        </w:tc>
        <w:tc>
          <w:tcPr>
            <w:tcW w:w="5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00" w:type="dxa"/>
            <w:vAlign w:val="bottom"/>
          </w:tcPr>
          <w:p>
            <w:pPr>
              <w:ind w:left="20"/>
              <w:spacing w:after="0"/>
              <w:rPr>
                <w:sz w:val="20"/>
                <w:szCs w:val="20"/>
                <w:color w:val="auto"/>
              </w:rPr>
            </w:pPr>
            <w:r>
              <w:rPr>
                <w:rFonts w:ascii="Arial" w:cs="Arial" w:eastAsia="Arial" w:hAnsi="Arial"/>
                <w:sz w:val="18"/>
                <w:szCs w:val="18"/>
                <w:color w:val="auto"/>
              </w:rPr>
              <w:t>/s/ Dr. Judith Rodin</w:t>
            </w:r>
          </w:p>
        </w:tc>
        <w:tc>
          <w:tcPr>
            <w:tcW w:w="50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50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50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0"/>
                <w:szCs w:val="20"/>
                <w:color w:val="auto"/>
              </w:rPr>
            </w:pPr>
            <w:r>
              <w:rPr>
                <w:rFonts w:ascii="Arial" w:cs="Arial" w:eastAsia="Arial" w:hAnsi="Arial"/>
                <w:sz w:val="14"/>
                <w:szCs w:val="14"/>
                <w:b w:val="1"/>
                <w:bCs w:val="1"/>
                <w:color w:val="auto"/>
              </w:rPr>
              <w:t>Dr. Judith Rodin</w:t>
            </w:r>
          </w:p>
        </w:tc>
        <w:tc>
          <w:tcPr>
            <w:tcW w:w="5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00" w:type="dxa"/>
            <w:vAlign w:val="bottom"/>
          </w:tcPr>
          <w:p>
            <w:pPr>
              <w:ind w:left="20"/>
              <w:spacing w:after="0"/>
              <w:rPr>
                <w:sz w:val="20"/>
                <w:szCs w:val="20"/>
                <w:color w:val="auto"/>
              </w:rPr>
            </w:pPr>
            <w:r>
              <w:rPr>
                <w:rFonts w:ascii="Arial" w:cs="Arial" w:eastAsia="Arial" w:hAnsi="Arial"/>
                <w:sz w:val="18"/>
                <w:szCs w:val="18"/>
                <w:color w:val="auto"/>
              </w:rPr>
              <w:t>/s/ Louis A. Simpson</w:t>
            </w:r>
          </w:p>
        </w:tc>
        <w:tc>
          <w:tcPr>
            <w:tcW w:w="50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50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50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0"/>
                <w:szCs w:val="20"/>
                <w:color w:val="auto"/>
              </w:rPr>
            </w:pPr>
            <w:r>
              <w:rPr>
                <w:rFonts w:ascii="Arial" w:cs="Arial" w:eastAsia="Arial" w:hAnsi="Arial"/>
                <w:sz w:val="14"/>
                <w:szCs w:val="14"/>
                <w:b w:val="1"/>
                <w:bCs w:val="1"/>
                <w:color w:val="auto"/>
              </w:rPr>
              <w:t>Louis A. Simpson</w:t>
            </w:r>
          </w:p>
        </w:tc>
        <w:tc>
          <w:tcPr>
            <w:tcW w:w="5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700" w:type="dxa"/>
            <w:vAlign w:val="bottom"/>
          </w:tcPr>
          <w:p>
            <w:pPr>
              <w:spacing w:after="0"/>
              <w:rPr>
                <w:sz w:val="20"/>
                <w:szCs w:val="20"/>
                <w:color w:val="auto"/>
              </w:rPr>
            </w:pPr>
            <w:r>
              <w:rPr>
                <w:rFonts w:ascii="Arial" w:cs="Arial" w:eastAsia="Arial" w:hAnsi="Arial"/>
                <w:sz w:val="18"/>
                <w:szCs w:val="18"/>
                <w:color w:val="auto"/>
              </w:rPr>
              <w:t>/s/ Michael I. Sovern</w:t>
            </w:r>
          </w:p>
        </w:tc>
        <w:tc>
          <w:tcPr>
            <w:tcW w:w="50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500"/>
              <w:spacing w:after="0"/>
              <w:rPr>
                <w:sz w:val="20"/>
                <w:szCs w:val="20"/>
                <w:color w:val="auto"/>
              </w:rPr>
            </w:pPr>
            <w:r>
              <w:rPr>
                <w:rFonts w:ascii="Arial" w:cs="Arial" w:eastAsia="Arial" w:hAnsi="Arial"/>
                <w:sz w:val="18"/>
                <w:szCs w:val="18"/>
                <w:color w:val="auto"/>
                <w:w w:val="90"/>
              </w:rPr>
              <w:t>April 8, 2003</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50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0"/>
                <w:szCs w:val="20"/>
                <w:color w:val="auto"/>
              </w:rPr>
            </w:pPr>
            <w:r>
              <w:rPr>
                <w:rFonts w:ascii="Arial" w:cs="Arial" w:eastAsia="Arial" w:hAnsi="Arial"/>
                <w:sz w:val="14"/>
                <w:szCs w:val="14"/>
                <w:b w:val="1"/>
                <w:bCs w:val="1"/>
                <w:color w:val="auto"/>
              </w:rPr>
              <w:t>Michael I. Sovern</w:t>
            </w:r>
          </w:p>
        </w:tc>
        <w:tc>
          <w:tcPr>
            <w:tcW w:w="5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4700" w:type="dxa"/>
            <w:vAlign w:val="bottom"/>
          </w:tcPr>
          <w:p>
            <w:pPr>
              <w:spacing w:after="0"/>
              <w:rPr>
                <w:sz w:val="24"/>
                <w:szCs w:val="24"/>
                <w:color w:val="auto"/>
              </w:rPr>
            </w:pPr>
          </w:p>
        </w:tc>
        <w:tc>
          <w:tcPr>
            <w:tcW w:w="5060" w:type="dxa"/>
            <w:vAlign w:val="bottom"/>
          </w:tcPr>
          <w:p>
            <w:pPr>
              <w:ind w:left="920"/>
              <w:spacing w:after="0"/>
              <w:rPr>
                <w:sz w:val="20"/>
                <w:szCs w:val="20"/>
                <w:color w:val="auto"/>
              </w:rPr>
            </w:pPr>
            <w:r>
              <w:rPr>
                <w:rFonts w:ascii="Arial" w:cs="Arial" w:eastAsia="Arial" w:hAnsi="Arial"/>
                <w:sz w:val="18"/>
                <w:szCs w:val="18"/>
                <w:color w:val="auto"/>
              </w:rPr>
              <w:t>-9-</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644" w:right="45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20" w:type="dxa"/>
            <w:vAlign w:val="bottom"/>
          </w:tcPr>
          <w:p>
            <w:pPr>
              <w:jc w:val="center"/>
              <w:ind w:right="1512"/>
              <w:spacing w:after="0"/>
              <w:rPr>
                <w:sz w:val="20"/>
                <w:szCs w:val="20"/>
                <w:color w:val="auto"/>
              </w:rPr>
            </w:pPr>
            <w:r>
              <w:rPr>
                <w:rFonts w:ascii="Arial" w:cs="Arial" w:eastAsia="Arial" w:hAnsi="Arial"/>
                <w:sz w:val="18"/>
                <w:szCs w:val="18"/>
                <w:b w:val="1"/>
                <w:bCs w:val="1"/>
                <w:color w:val="auto"/>
              </w:rPr>
              <w:t>INDEX TO EXHIBITS</w:t>
            </w:r>
          </w:p>
        </w:tc>
      </w:tr>
      <w:tr>
        <w:trPr>
          <w:trHeight w:val="286"/>
        </w:trPr>
        <w:tc>
          <w:tcPr>
            <w:tcW w:w="620" w:type="dxa"/>
            <w:vAlign w:val="bottom"/>
          </w:tcPr>
          <w:p>
            <w:pPr>
              <w:jc w:val="right"/>
              <w:ind w:right="17"/>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174"/>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10360" w:type="dxa"/>
            <w:vAlign w:val="bottom"/>
            <w:gridSpan w:val="3"/>
          </w:tcPr>
          <w:p>
            <w:pPr>
              <w:ind w:left="420"/>
              <w:spacing w:after="0"/>
              <w:rPr>
                <w:sz w:val="20"/>
                <w:szCs w:val="20"/>
                <w:color w:val="auto"/>
              </w:rPr>
            </w:pPr>
            <w:r>
              <w:rPr>
                <w:rFonts w:ascii="Arial" w:cs="Arial" w:eastAsia="Arial" w:hAnsi="Arial"/>
                <w:sz w:val="14"/>
                <w:szCs w:val="14"/>
                <w:b w:val="1"/>
                <w:bCs w:val="1"/>
                <w:color w:val="auto"/>
              </w:rPr>
              <w:t>Document</w:t>
            </w:r>
          </w:p>
        </w:tc>
      </w:tr>
      <w:tr>
        <w:trPr>
          <w:trHeight w:val="95"/>
        </w:trPr>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9120" w:type="dxa"/>
            <w:vAlign w:val="bottom"/>
          </w:tcPr>
          <w:p>
            <w:pPr>
              <w:spacing w:after="0"/>
              <w:rPr>
                <w:sz w:val="8"/>
                <w:szCs w:val="8"/>
                <w:color w:val="auto"/>
              </w:rPr>
            </w:pPr>
          </w:p>
        </w:tc>
      </w:tr>
      <w:tr>
        <w:trPr>
          <w:trHeight w:val="377"/>
        </w:trPr>
        <w:tc>
          <w:tcPr>
            <w:tcW w:w="620" w:type="dxa"/>
            <w:vAlign w:val="bottom"/>
          </w:tcPr>
          <w:p>
            <w:pPr>
              <w:jc w:val="right"/>
              <w:ind w:right="77"/>
              <w:spacing w:after="0"/>
              <w:rPr>
                <w:sz w:val="20"/>
                <w:szCs w:val="20"/>
                <w:color w:val="auto"/>
              </w:rPr>
            </w:pPr>
            <w:r>
              <w:rPr>
                <w:rFonts w:ascii="Arial" w:cs="Arial" w:eastAsia="Arial" w:hAnsi="Arial"/>
                <w:sz w:val="18"/>
                <w:szCs w:val="18"/>
                <w:color w:val="auto"/>
              </w:rPr>
              <w:t>4.1</w:t>
            </w:r>
          </w:p>
        </w:tc>
        <w:tc>
          <w:tcPr>
            <w:tcW w:w="10360" w:type="dxa"/>
            <w:vAlign w:val="bottom"/>
            <w:gridSpan w:val="3"/>
          </w:tcPr>
          <w:p>
            <w:pPr>
              <w:ind w:left="420"/>
              <w:spacing w:after="0"/>
              <w:rPr>
                <w:sz w:val="20"/>
                <w:szCs w:val="20"/>
                <w:color w:val="auto"/>
              </w:rPr>
            </w:pPr>
            <w:r>
              <w:rPr>
                <w:rFonts w:ascii="Arial" w:cs="Arial" w:eastAsia="Arial" w:hAnsi="Arial"/>
                <w:sz w:val="18"/>
                <w:szCs w:val="18"/>
                <w:color w:val="auto"/>
                <w:w w:val="87"/>
              </w:rPr>
              <w:t>Comcast Corporation 2002 Restricted Stock Plan, as amended and restated, effective February 26, 2003 (incorporated by reference to Exhibit</w:t>
            </w:r>
          </w:p>
        </w:tc>
      </w:tr>
      <w:tr>
        <w:trPr>
          <w:trHeight w:val="222"/>
        </w:trPr>
        <w:tc>
          <w:tcPr>
            <w:tcW w:w="620" w:type="dxa"/>
            <w:vAlign w:val="bottom"/>
          </w:tcPr>
          <w:p>
            <w:pPr>
              <w:spacing w:after="0"/>
              <w:rPr>
                <w:sz w:val="19"/>
                <w:szCs w:val="19"/>
                <w:color w:val="auto"/>
              </w:rPr>
            </w:pPr>
          </w:p>
        </w:tc>
        <w:tc>
          <w:tcPr>
            <w:tcW w:w="10360" w:type="dxa"/>
            <w:vAlign w:val="bottom"/>
            <w:gridSpan w:val="3"/>
          </w:tcPr>
          <w:p>
            <w:pPr>
              <w:ind w:left="420"/>
              <w:spacing w:after="0"/>
              <w:rPr>
                <w:sz w:val="20"/>
                <w:szCs w:val="20"/>
                <w:color w:val="auto"/>
              </w:rPr>
            </w:pPr>
            <w:r>
              <w:rPr>
                <w:rFonts w:ascii="Arial" w:cs="Arial" w:eastAsia="Arial" w:hAnsi="Arial"/>
                <w:sz w:val="18"/>
                <w:szCs w:val="18"/>
                <w:color w:val="auto"/>
              </w:rPr>
              <w:t>10.6 to our Annual Report on Form 10-K filed on March 20, 2003).</w:t>
            </w:r>
          </w:p>
        </w:tc>
      </w:tr>
      <w:tr>
        <w:trPr>
          <w:trHeight w:val="284"/>
        </w:trPr>
        <w:tc>
          <w:tcPr>
            <w:tcW w:w="620" w:type="dxa"/>
            <w:vAlign w:val="bottom"/>
          </w:tcPr>
          <w:p>
            <w:pPr>
              <w:jc w:val="right"/>
              <w:ind w:right="77"/>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Opinion of Pepper Hamilton LLP.</w:t>
            </w:r>
          </w:p>
        </w:tc>
      </w:tr>
      <w:tr>
        <w:trPr>
          <w:trHeight w:val="284"/>
        </w:trPr>
        <w:tc>
          <w:tcPr>
            <w:tcW w:w="620" w:type="dxa"/>
            <w:vAlign w:val="bottom"/>
          </w:tcPr>
          <w:p>
            <w:pPr>
              <w:jc w:val="right"/>
              <w:ind w:right="77"/>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Opinion of Pepper Hamilton LLP.</w:t>
            </w:r>
          </w:p>
        </w:tc>
      </w:tr>
      <w:tr>
        <w:trPr>
          <w:trHeight w:val="284"/>
        </w:trPr>
        <w:tc>
          <w:tcPr>
            <w:tcW w:w="620" w:type="dxa"/>
            <w:vAlign w:val="bottom"/>
          </w:tcPr>
          <w:p>
            <w:pPr>
              <w:jc w:val="right"/>
              <w:ind w:right="77"/>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284"/>
        </w:trPr>
        <w:tc>
          <w:tcPr>
            <w:tcW w:w="620" w:type="dxa"/>
            <w:vAlign w:val="bottom"/>
          </w:tcPr>
          <w:p>
            <w:pPr>
              <w:jc w:val="right"/>
              <w:ind w:right="77"/>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Consent of Pepper Hamilton LLP (included in Exhibit 5.1 hereto).</w:t>
            </w:r>
          </w:p>
        </w:tc>
      </w:tr>
      <w:tr>
        <w:trPr>
          <w:trHeight w:val="284"/>
        </w:trPr>
        <w:tc>
          <w:tcPr>
            <w:tcW w:w="620" w:type="dxa"/>
            <w:vAlign w:val="bottom"/>
          </w:tcPr>
          <w:p>
            <w:pPr>
              <w:jc w:val="right"/>
              <w:ind w:right="77"/>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365"/>
        </w:trPr>
        <w:tc>
          <w:tcPr>
            <w:tcW w:w="620" w:type="dxa"/>
            <w:vAlign w:val="bottom"/>
          </w:tcPr>
          <w:p>
            <w:pPr>
              <w:spacing w:after="0"/>
              <w:rPr>
                <w:sz w:val="24"/>
                <w:szCs w:val="24"/>
                <w:color w:val="auto"/>
              </w:rPr>
            </w:pPr>
          </w:p>
        </w:tc>
        <w:tc>
          <w:tcPr>
            <w:tcW w:w="10360" w:type="dxa"/>
            <w:vAlign w:val="bottom"/>
            <w:gridSpan w:val="3"/>
          </w:tcPr>
          <w:p>
            <w:pPr>
              <w:jc w:val="right"/>
              <w:ind w:right="5132"/>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0980"/>
          </w:cols>
          <w:pgMar w:left="340" w:top="422" w:right="5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5.1</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 215.981.4750</w:t>
      </w:r>
    </w:p>
    <w:p>
      <w:pPr>
        <w:spacing w:after="0" w:line="15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April 8,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 19102-2148</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Comcast Corporation</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Registration Statement on Form S-8</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is made to a Registration Statement on Form S-8 of Comcast Corporation (the “Company”) which is being filed with the Securities and Exchange Commission on the date hereof (the “Registration Statement”). Capitalized terms not otherwise defined herein shall have the meanings ascribed to them in the Registration Statement.</w:t>
      </w:r>
    </w:p>
    <w:p>
      <w:pPr>
        <w:spacing w:after="0" w:line="12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Registration Statement covers 71,000,000 shares of the Company’s Class A Common Stock, par value $0.01 per share (the “Shares”), which may be issued pursuant to the Comcast Corporation 2003 Stock Option Plan, effective February 26, 2003, and the Comcast Corporation 2002 Restricted Stock Plan, as amended and restated, effective February 26, 2003 (collectively, the “Plans”).</w:t>
      </w:r>
    </w:p>
    <w:p>
      <w:pPr>
        <w:spacing w:after="0" w:line="12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have examined the Registration Statement, including the exhibits thereto, the Company’s Articles of Incorporation, as amended, the Company’s By-laws, the Plans and such documents as we have deemed appropriate in rendering this opinion. In our examination, we have assumed the genuineness of all signatures, the authenticity of all documents submitted to us as originals and the authenticity of all documents submitted to us as copies of originals.</w:t>
      </w:r>
    </w:p>
    <w:p>
      <w:pPr>
        <w:spacing w:after="0" w:line="9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Based on the foregoing, we are of the opinion that the Shares, when issued and paid for in accordance with the terms of the Plans, will be validly issued, fully paid and non-assessable.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w:t>
      </w:r>
    </w:p>
    <w:p>
      <w:pPr>
        <w:sectPr>
          <w:pgSz w:w="11900" w:h="16838" w:orient="portrait"/>
          <w:cols w:equalWidth="0" w:num="1">
            <w:col w:w="11420"/>
          </w:cols>
          <w:pgMar w:left="240" w:top="274" w:right="239" w:bottom="1440" w:gutter="0" w:footer="0" w:header="0"/>
        </w:sectPr>
      </w:pPr>
    </w:p>
    <w:bookmarkStart w:id="11" w:name="page12"/>
    <w:bookmarkEnd w:id="11"/>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hereby consent to the filing of this opinion as an exhibit to the Registration Statement. In giving this consent, we do not thereby admit that we come within the category of persons whose consent is required under Section 7 of the Securities Act of 1933, as amended, or the rules or regulations of the Securities and Exchange Commission thereunder.</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200"/>
          </w:cols>
          <w:pgMar w:left="240" w:top="428" w:right="45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5.2</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 215.981.4750</w:t>
      </w:r>
    </w:p>
    <w:p>
      <w:pPr>
        <w:spacing w:after="0" w:line="15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April 8,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 19102-2148</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Comcast Corporation</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Restricted Stock Plan</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served as special counsel to Comcast Corporation, a Pennsylvania Corporation (the “Company”), in connection with the registration by the Company of shares of Class A Common Stock, par value $0.01 (the “Shares”) which may be issued by the Company pursuant to the Company’s 2002 Restricted Stock Plan (the “Restricted Stock Plan”) and the filing of a registration statement on Form S-8 relating to the Shares (the “Registration Statement”). Unless otherwise defined herein, capitalized terms used herein shall have the meanings assigned to them in the Registration Statement.</w:t>
      </w:r>
    </w:p>
    <w:p>
      <w:pPr>
        <w:spacing w:after="0" w:line="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such special counsel, we have made such legal and factual examination and inquiries as we have deemed necessary or appropriate for purposes of this opinion and have made such additional assumptions as are set forth below.</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Restricted Stock Plan states that the Restricted Stock Plan permits eligible employees to defer the receipt of compensation otherwise payable to such eligible employees in accordance with the terms of the Restricted Stock Plan. The Restricted Stock Plan is unfunded and the provisions relating to the deferral of receipt of Shares are maintained primarily for the purpose of providing deferred compensation to a select group of management or highly compensated employees. For the purpose of this opinion, we have assumed that (1) the Restricted Stock Plan was duly adopted by the Company on December 19, 1990 and amended and restated, effective as of February 26, 2003 in its current form and (2) the Restricted Stock Plan provisions relating to deferral of the receipt of Shares are maintained primarily for the purpose of providing the opportunity to defer the receipt of shares upon the vesting of restricted stock to a select group of management or highly compensated employees.</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By its express term, the Restricted Stock Plan potentially results in a deferral of income by employees for periods extending to the termination of covered employment or beyond. Accordingly, the Restricted Stock Plan is an “employee pension benefit plan” described in section 3(3) of the Employee Retirement Income Security Act of 1974, as amended</w:t>
      </w:r>
    </w:p>
    <w:p>
      <w:pPr>
        <w:sectPr>
          <w:pgSz w:w="11900" w:h="16838" w:orient="portrait"/>
          <w:cols w:equalWidth="0" w:num="1">
            <w:col w:w="11420"/>
          </w:cols>
          <w:pgMar w:left="240" w:top="274" w:right="239" w:bottom="1440" w:gutter="0" w:footer="0" w:header="0"/>
        </w:sectPr>
      </w:pPr>
    </w:p>
    <w:bookmarkStart w:id="13" w:name="page14"/>
    <w:bookmarkEnd w:id="1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(“ERISA”). However, as the Restricted Stock Plan is unfunded and maintained primarily for the purpose of providing deferred compensation to a select group of management or highly compensated employees, the Restricted Stock Plan is subject to parts 1 and 5 of Title I of ERISA, but not to any other provisions of ERISA.</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Restricted Stock Plan is not designed or operated with the purpose of satisfying the requirements for qualification under section 401(a) of the Internal Revenue Code of 1986, as amended.</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Parts 1 and 5 of Title 1 of ERISA do not impose any specific written requirements on non-qualified deferred compensation arrangements such as the Restricted Stock Plan as a condition to compliance with the applicable provisions of ERISA. Further, the operation of the Restricted Stock Plan pursuant to the written provisions of the Restricted Stock Plan will not cause the Restricted Stock Plan to fail to comply with parts 1 or 5 of Title 5 of ERISA.</w:t>
      </w:r>
    </w:p>
    <w:p>
      <w:pPr>
        <w:spacing w:after="0" w:line="9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the basis of the foregoing, we are of the opinion that the provisions of the written document constituting the Restricted Stock Plan comply with the requirements of ERISA pertaining to such provisions.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380"/>
          </w:cols>
          <w:pgMar w:left="240" w:top="428" w:right="2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16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consent to the incorporation by reference in this Registration Statement of Comcast Corporation on Form S-8 of our reports dated March 17, 2003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appearing in the Annual Report on Form 10-K of Comcast Corporation for the year ended December 31, 2002.</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7, 2003</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lvl w:ilvl="1">
      <w:lvlJc w:val="left"/>
      <w:lvlText w:val="(%2)"/>
      <w:numFmt w:val="lowerRoman"/>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2019-12-15T06:54:07Z</dcterms:created>
  <dcterms:modified xsi:type="dcterms:W3CDTF">2019-12-15T06:54:07Z</dcterms:modified>
</cp:coreProperties>
</file>