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ind w:left="4440"/>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ind w:left="3740"/>
        <w:spacing w:after="0"/>
        <w:rPr>
          <w:sz w:val="20"/>
          <w:szCs w:val="20"/>
          <w:color w:val="auto"/>
        </w:rPr>
      </w:pPr>
      <w:r>
        <w:rPr>
          <w:rFonts w:ascii="Arial" w:cs="Arial" w:eastAsia="Arial" w:hAnsi="Arial"/>
          <w:sz w:val="25"/>
          <w:szCs w:val="25"/>
          <w:b w:val="1"/>
          <w:bCs w:val="1"/>
          <w:color w:val="auto"/>
        </w:rPr>
        <w:t>Pursuant to Section 13 or 15(d) of</w:t>
      </w:r>
    </w:p>
    <w:p>
      <w:pPr>
        <w:spacing w:after="0" w:line="10" w:lineRule="exact"/>
        <w:rPr>
          <w:sz w:val="24"/>
          <w:szCs w:val="24"/>
          <w:color w:val="auto"/>
        </w:rPr>
      </w:pPr>
    </w:p>
    <w:tbl>
      <w:tblPr>
        <w:tblLayout w:type="fixed"/>
        <w:tblInd w:w="820" w:type="dxa"/>
        <w:tblCellMar>
          <w:top w:w="0" w:type="dxa"/>
          <w:left w:w="0" w:type="dxa"/>
          <w:bottom w:w="0" w:type="dxa"/>
          <w:right w:w="0" w:type="dxa"/>
        </w:tblCellMar>
      </w:tblPr>
      <w:tr>
        <w:trPr>
          <w:trHeight w:val="328"/>
        </w:trPr>
        <w:tc>
          <w:tcPr>
            <w:tcW w:w="2160" w:type="dxa"/>
            <w:vAlign w:val="bottom"/>
          </w:tcPr>
          <w:p>
            <w:pPr>
              <w:spacing w:after="0"/>
              <w:rPr>
                <w:sz w:val="24"/>
                <w:szCs w:val="24"/>
                <w:color w:val="auto"/>
              </w:rPr>
            </w:pPr>
          </w:p>
        </w:tc>
        <w:tc>
          <w:tcPr>
            <w:tcW w:w="7720" w:type="dxa"/>
            <w:vAlign w:val="bottom"/>
          </w:tcPr>
          <w:p>
            <w:pPr>
              <w:jc w:val="center"/>
              <w:ind w:right="2334"/>
              <w:spacing w:after="0"/>
              <w:rPr>
                <w:sz w:val="20"/>
                <w:szCs w:val="20"/>
                <w:color w:val="auto"/>
              </w:rPr>
            </w:pPr>
            <w:r>
              <w:rPr>
                <w:rFonts w:ascii="Arial" w:cs="Arial" w:eastAsia="Arial" w:hAnsi="Arial"/>
                <w:sz w:val="25"/>
                <w:szCs w:val="25"/>
                <w:b w:val="1"/>
                <w:bCs w:val="1"/>
                <w:color w:val="auto"/>
                <w:w w:val="89"/>
              </w:rPr>
              <w:t>the Securities Exchange Act of 1934</w:t>
            </w:r>
          </w:p>
        </w:tc>
      </w:tr>
      <w:tr>
        <w:trPr>
          <w:trHeight w:val="476"/>
        </w:trPr>
        <w:tc>
          <w:tcPr>
            <w:tcW w:w="2160" w:type="dxa"/>
            <w:vAlign w:val="bottom"/>
          </w:tcPr>
          <w:p>
            <w:pPr>
              <w:spacing w:after="0"/>
              <w:rPr>
                <w:sz w:val="24"/>
                <w:szCs w:val="24"/>
                <w:color w:val="auto"/>
              </w:rPr>
            </w:pPr>
          </w:p>
        </w:tc>
        <w:tc>
          <w:tcPr>
            <w:tcW w:w="7720" w:type="dxa"/>
            <w:vAlign w:val="bottom"/>
          </w:tcPr>
          <w:p>
            <w:pPr>
              <w:jc w:val="center"/>
              <w:ind w:right="2314"/>
              <w:spacing w:after="0"/>
              <w:rPr>
                <w:sz w:val="20"/>
                <w:szCs w:val="20"/>
                <w:color w:val="auto"/>
              </w:rPr>
            </w:pPr>
            <w:r>
              <w:rPr>
                <w:rFonts w:ascii="Arial" w:cs="Arial" w:eastAsia="Arial" w:hAnsi="Arial"/>
                <w:sz w:val="18"/>
                <w:szCs w:val="18"/>
                <w:b w:val="1"/>
                <w:bCs w:val="1"/>
                <w:color w:val="auto"/>
                <w:w w:val="90"/>
              </w:rPr>
              <w:t>Date of report (Date of earliest event reported): December 20, 2022</w:t>
            </w:r>
          </w:p>
        </w:tc>
      </w:tr>
      <w:tr>
        <w:trPr>
          <w:trHeight w:val="697"/>
        </w:trPr>
        <w:tc>
          <w:tcPr>
            <w:tcW w:w="2160" w:type="dxa"/>
            <w:vAlign w:val="bottom"/>
          </w:tcPr>
          <w:p>
            <w:pPr>
              <w:spacing w:after="0"/>
              <w:rPr>
                <w:sz w:val="24"/>
                <w:szCs w:val="24"/>
                <w:color w:val="auto"/>
              </w:rPr>
            </w:pPr>
          </w:p>
        </w:tc>
        <w:tc>
          <w:tcPr>
            <w:tcW w:w="7720" w:type="dxa"/>
            <w:vAlign w:val="bottom"/>
          </w:tcPr>
          <w:p>
            <w:pPr>
              <w:jc w:val="center"/>
              <w:ind w:right="2314"/>
              <w:spacing w:after="0"/>
              <w:rPr>
                <w:sz w:val="20"/>
                <w:szCs w:val="20"/>
                <w:color w:val="auto"/>
              </w:rPr>
            </w:pPr>
            <w:r>
              <w:rPr>
                <w:rFonts w:ascii="Arial" w:cs="Arial" w:eastAsia="Arial" w:hAnsi="Arial"/>
                <w:sz w:val="43"/>
                <w:szCs w:val="43"/>
                <w:b w:val="1"/>
                <w:bCs w:val="1"/>
                <w:color w:val="auto"/>
                <w:w w:val="91"/>
              </w:rPr>
              <w:t>Comcast Corporation</w:t>
            </w:r>
          </w:p>
        </w:tc>
      </w:tr>
      <w:tr>
        <w:trPr>
          <w:trHeight w:val="234"/>
        </w:trPr>
        <w:tc>
          <w:tcPr>
            <w:tcW w:w="2160" w:type="dxa"/>
            <w:vAlign w:val="bottom"/>
          </w:tcPr>
          <w:p>
            <w:pPr>
              <w:spacing w:after="0"/>
              <w:rPr>
                <w:sz w:val="20"/>
                <w:szCs w:val="20"/>
                <w:color w:val="auto"/>
              </w:rPr>
            </w:pPr>
          </w:p>
        </w:tc>
        <w:tc>
          <w:tcPr>
            <w:tcW w:w="7720" w:type="dxa"/>
            <w:vAlign w:val="bottom"/>
          </w:tcPr>
          <w:p>
            <w:pPr>
              <w:jc w:val="center"/>
              <w:ind w:right="2334"/>
              <w:spacing w:after="0"/>
              <w:rPr>
                <w:sz w:val="20"/>
                <w:szCs w:val="20"/>
                <w:color w:val="auto"/>
              </w:rPr>
            </w:pPr>
            <w:r>
              <w:rPr>
                <w:rFonts w:ascii="Arial" w:cs="Arial" w:eastAsia="Arial" w:hAnsi="Arial"/>
                <w:sz w:val="18"/>
                <w:szCs w:val="18"/>
                <w:b w:val="1"/>
                <w:bCs w:val="1"/>
                <w:color w:val="auto"/>
                <w:w w:val="91"/>
              </w:rPr>
              <w:t>(Exact Name of Registrant as Specified in Charter)</w:t>
            </w:r>
          </w:p>
        </w:tc>
      </w:tr>
      <w:tr>
        <w:trPr>
          <w:trHeight w:val="414"/>
        </w:trPr>
        <w:tc>
          <w:tcPr>
            <w:tcW w:w="2160" w:type="dxa"/>
            <w:vAlign w:val="bottom"/>
          </w:tcPr>
          <w:p>
            <w:pPr>
              <w:spacing w:after="0"/>
              <w:rPr>
                <w:sz w:val="24"/>
                <w:szCs w:val="24"/>
                <w:color w:val="auto"/>
              </w:rPr>
            </w:pPr>
          </w:p>
        </w:tc>
        <w:tc>
          <w:tcPr>
            <w:tcW w:w="7720" w:type="dxa"/>
            <w:vAlign w:val="bottom"/>
          </w:tcPr>
          <w:p>
            <w:pPr>
              <w:jc w:val="center"/>
              <w:ind w:right="2314"/>
              <w:spacing w:after="0"/>
              <w:rPr>
                <w:sz w:val="20"/>
                <w:szCs w:val="20"/>
                <w:color w:val="auto"/>
              </w:rPr>
            </w:pPr>
            <w:r>
              <w:rPr>
                <w:rFonts w:ascii="Arial" w:cs="Arial" w:eastAsia="Arial" w:hAnsi="Arial"/>
                <w:sz w:val="18"/>
                <w:szCs w:val="18"/>
                <w:b w:val="1"/>
                <w:bCs w:val="1"/>
                <w:color w:val="auto"/>
                <w:w w:val="88"/>
              </w:rPr>
              <w:t>Pennsylvania</w:t>
            </w:r>
          </w:p>
        </w:tc>
      </w:tr>
      <w:tr>
        <w:trPr>
          <w:trHeight w:val="234"/>
        </w:trPr>
        <w:tc>
          <w:tcPr>
            <w:tcW w:w="2160" w:type="dxa"/>
            <w:vAlign w:val="bottom"/>
          </w:tcPr>
          <w:p>
            <w:pPr>
              <w:spacing w:after="0"/>
              <w:rPr>
                <w:sz w:val="20"/>
                <w:szCs w:val="20"/>
                <w:color w:val="auto"/>
              </w:rPr>
            </w:pPr>
          </w:p>
        </w:tc>
        <w:tc>
          <w:tcPr>
            <w:tcW w:w="7720" w:type="dxa"/>
            <w:vAlign w:val="bottom"/>
          </w:tcPr>
          <w:p>
            <w:pPr>
              <w:jc w:val="center"/>
              <w:ind w:right="2314"/>
              <w:spacing w:after="0"/>
              <w:rPr>
                <w:sz w:val="20"/>
                <w:szCs w:val="20"/>
                <w:color w:val="auto"/>
              </w:rPr>
            </w:pPr>
            <w:r>
              <w:rPr>
                <w:rFonts w:ascii="Arial" w:cs="Arial" w:eastAsia="Arial" w:hAnsi="Arial"/>
                <w:sz w:val="18"/>
                <w:szCs w:val="18"/>
                <w:b w:val="1"/>
                <w:bCs w:val="1"/>
                <w:color w:val="auto"/>
                <w:w w:val="91"/>
              </w:rPr>
              <w:t>(State or other jurisdiction of incorporation)</w:t>
            </w:r>
          </w:p>
        </w:tc>
      </w:tr>
      <w:tr>
        <w:trPr>
          <w:trHeight w:val="414"/>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001-32871</w:t>
            </w:r>
          </w:p>
        </w:tc>
        <w:tc>
          <w:tcPr>
            <w:tcW w:w="7720" w:type="dxa"/>
            <w:vAlign w:val="bottom"/>
          </w:tcPr>
          <w:p>
            <w:pPr>
              <w:jc w:val="center"/>
              <w:ind w:left="4994"/>
              <w:spacing w:after="0"/>
              <w:rPr>
                <w:sz w:val="20"/>
                <w:szCs w:val="20"/>
                <w:color w:val="auto"/>
              </w:rPr>
            </w:pPr>
            <w:r>
              <w:rPr>
                <w:rFonts w:ascii="Arial" w:cs="Arial" w:eastAsia="Arial" w:hAnsi="Arial"/>
                <w:sz w:val="18"/>
                <w:szCs w:val="18"/>
                <w:b w:val="1"/>
                <w:bCs w:val="1"/>
                <w:color w:val="auto"/>
                <w:w w:val="89"/>
              </w:rPr>
              <w:t>27-0000798</w:t>
            </w:r>
          </w:p>
        </w:tc>
      </w:tr>
      <w:tr>
        <w:trPr>
          <w:trHeight w:val="234"/>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(Commission File Number)</w:t>
            </w:r>
          </w:p>
        </w:tc>
        <w:tc>
          <w:tcPr>
            <w:tcW w:w="7720" w:type="dxa"/>
            <w:vAlign w:val="bottom"/>
          </w:tcPr>
          <w:p>
            <w:pPr>
              <w:jc w:val="center"/>
              <w:ind w:left="4994"/>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41"/>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One Comcast Center</w:t>
            </w:r>
          </w:p>
        </w:tc>
        <w:tc>
          <w:tcPr>
            <w:tcW w:w="7720" w:type="dxa"/>
            <w:vAlign w:val="bottom"/>
          </w:tcPr>
          <w:p>
            <w:pPr>
              <w:jc w:val="center"/>
              <w:ind w:left="4994"/>
              <w:spacing w:after="0"/>
              <w:rPr>
                <w:sz w:val="20"/>
                <w:szCs w:val="20"/>
                <w:color w:val="auto"/>
              </w:rPr>
            </w:pPr>
            <w:r>
              <w:rPr>
                <w:rFonts w:ascii="Arial" w:cs="Arial" w:eastAsia="Arial" w:hAnsi="Arial"/>
                <w:sz w:val="18"/>
                <w:szCs w:val="18"/>
                <w:b w:val="1"/>
                <w:bCs w:val="1"/>
                <w:color w:val="auto"/>
                <w:w w:val="89"/>
              </w:rPr>
              <w:t>19103-2838</w:t>
            </w:r>
          </w:p>
        </w:tc>
      </w:tr>
      <w:tr>
        <w:trPr>
          <w:trHeight w:val="234"/>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Philadelphia, PA</w:t>
            </w:r>
          </w:p>
        </w:tc>
        <w:tc>
          <w:tcPr>
            <w:tcW w:w="7720" w:type="dxa"/>
            <w:vAlign w:val="bottom"/>
          </w:tcPr>
          <w:p>
            <w:pPr>
              <w:jc w:val="center"/>
              <w:ind w:left="4994"/>
              <w:spacing w:after="0"/>
              <w:rPr>
                <w:sz w:val="20"/>
                <w:szCs w:val="20"/>
                <w:color w:val="auto"/>
              </w:rPr>
            </w:pPr>
            <w:r>
              <w:rPr>
                <w:rFonts w:ascii="Arial" w:cs="Arial" w:eastAsia="Arial" w:hAnsi="Arial"/>
                <w:sz w:val="18"/>
                <w:szCs w:val="18"/>
                <w:b w:val="1"/>
                <w:bCs w:val="1"/>
                <w:color w:val="auto"/>
                <w:w w:val="92"/>
              </w:rPr>
              <w:t>(Zip Code)</w:t>
            </w:r>
          </w:p>
        </w:tc>
      </w:tr>
    </w:tbl>
    <w:p>
      <w:pPr>
        <w:ind w:left="32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238"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509"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$0.01 par value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CMCSA</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 Notes due 2026</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CMCS26</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0.250% Notes due 2027</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CMCS27</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1.500% Notes due 2029</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CMCS29</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0.250% Notes due 2029</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CMCS29A</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0.750% Notes due 2032</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CMCS32</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1.875% Notes due 2036</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CMCS36</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1.250% Notes due 2040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CMCS40</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5.50% Notes due 2029</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CCGBP29</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 Exchangeable Subordinated Debentures due 2029</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CCZ</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035" w:right="339" w:bottom="0" w:gutter="0" w:footer="0" w:header="0"/>
        </w:sectPr>
      </w:pPr>
    </w:p>
    <w:bookmarkStart w:id="1" w:name="page2"/>
    <w:bookmarkEnd w:id="1"/>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Effective December 20, 2022, the Board of Directors of Comcast Corporation (the “Company”) adopted amendments to its Amended and Restated Bylaws (the “Bylaws”) to enhance the procedures and disclosure requirements in connection with shareholder nominations of directors and the proposal of other business for consideration at shareholder meetings, including with respect to Rule 14a-19 under the Securities Exchange Act of 1934, as amended (“Exchange Act”). Specifically, the amendments would require, among other things: (1) a shareholder to provide notice to the Company, within specified timeframes, that includes, with respect to the shareholder, any beneficial owner(s) of shares on whose behalf a proposal or nomination is made, and any of their respective affiliates or associates, (x) certain information relating to equity ownership and derivative positions, any performance-related fees that may be received based on an increase or decrease in the Company’s stock price or in any derivative securities and (y) a description of any plans, agreements or understandings with third parties that may be material to the shareholder’s solicitation of proxies and would be required to be disclosed pursuant to the Exchange Act; (2) any shareholder submitting a nomination notice to represent compliance with Rule 14a-19 under the Exchange Act; and (3) each shareholder nominee to complete a director questionnaire or any other questionnaire the Company determines is necessary or advisable to assess the nominee’s qualifications, and to provide other information the Company may reasonably request. The amendments also clarify the authority of the presiding officer at a shareholder meeting and include certain other modifications and updates regarding the advance notice bylaws and other provisions regulating the conduct of meetings, as well as changes intended to provide clarity and consistency.</w:t>
      </w:r>
    </w:p>
    <w:p>
      <w:pPr>
        <w:spacing w:after="0" w:line="17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foregoing description of the amendments to the Bylaws is a summary and is qualified in its entirety by reference to the full text of the Bylaws, a copy of which is attached as Exhibit 3.1 hereto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240" w:type="dxa"/>
            <w:vAlign w:val="bottom"/>
          </w:tcPr>
          <w:p>
            <w:pPr>
              <w:spacing w:after="0"/>
              <w:rPr>
                <w:sz w:val="20"/>
                <w:szCs w:val="20"/>
                <w:color w:val="auto"/>
              </w:rPr>
            </w:pPr>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p>
        </w:tc>
        <w:tc>
          <w:tcPr>
            <w:tcW w:w="90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0000EE"/>
              </w:rPr>
              <w:t>Amended and Restated Bylaws of the Company, effective December 20, 2022.</w:t>
            </w:r>
          </w:p>
        </w:tc>
      </w:tr>
      <w:tr>
        <w:trPr>
          <w:trHeight w:val="20"/>
        </w:trPr>
        <w:tc>
          <w:tcPr>
            <w:tcW w:w="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60" w:type="dxa"/>
            <w:vAlign w:val="bottom"/>
            <w:shd w:val="clear" w:color="auto" w:fill="0000EE"/>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453"/>
        </w:trPr>
        <w:tc>
          <w:tcPr>
            <w:tcW w:w="1140" w:type="dxa"/>
            <w:vAlign w:val="bottom"/>
            <w:gridSpan w:val="2"/>
          </w:tcPr>
          <w:p>
            <w:pPr>
              <w:spacing w:after="0"/>
              <w:rPr>
                <w:sz w:val="20"/>
                <w:szCs w:val="20"/>
                <w:color w:val="auto"/>
              </w:rPr>
            </w:pPr>
            <w:r>
              <w:rPr>
                <w:rFonts w:ascii="Arial" w:cs="Arial" w:eastAsia="Arial" w:hAnsi="Arial"/>
                <w:sz w:val="18"/>
                <w:szCs w:val="18"/>
                <w:color w:val="auto"/>
              </w:rPr>
              <w:t>104</w:t>
            </w:r>
          </w:p>
        </w:tc>
        <w:tc>
          <w:tcPr>
            <w:tcW w:w="101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53"/>
        </w:trPr>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420" w:type="dxa"/>
            <w:vAlign w:val="bottom"/>
            <w:gridSpan w:val="2"/>
          </w:tcPr>
          <w:p>
            <w:pPr>
              <w:ind w:left="182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820" w:type="dxa"/>
            <w:vAlign w:val="bottom"/>
          </w:tcPr>
          <w:p>
            <w:pPr>
              <w:spacing w:after="0"/>
              <w:rPr>
                <w:sz w:val="20"/>
                <w:szCs w:val="20"/>
                <w:color w:val="auto"/>
              </w:rPr>
            </w:pPr>
            <w:r>
              <w:rPr>
                <w:rFonts w:ascii="Arial" w:cs="Arial" w:eastAsia="Arial" w:hAnsi="Arial"/>
                <w:sz w:val="18"/>
                <w:szCs w:val="18"/>
                <w:color w:val="auto"/>
              </w:rPr>
              <w:t>Date:  December 23, 2022</w:t>
            </w: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Wideman</w:t>
            </w:r>
          </w:p>
        </w:tc>
      </w:tr>
      <w:tr>
        <w:trPr>
          <w:trHeight w:val="195"/>
        </w:trPr>
        <w:tc>
          <w:tcPr>
            <w:tcW w:w="3820" w:type="dxa"/>
            <w:vAlign w:val="bottom"/>
          </w:tcPr>
          <w:p>
            <w:pPr>
              <w:spacing w:after="0"/>
              <w:rPr>
                <w:sz w:val="16"/>
                <w:szCs w:val="16"/>
                <w:color w:val="auto"/>
              </w:rPr>
            </w:pPr>
          </w:p>
        </w:tc>
        <w:tc>
          <w:tcPr>
            <w:tcW w:w="2380" w:type="dxa"/>
            <w:vAlign w:val="bottom"/>
          </w:tcPr>
          <w:p>
            <w:pPr>
              <w:ind w:left="182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Elizabeth Wideman</w:t>
            </w:r>
          </w:p>
        </w:tc>
      </w:tr>
      <w:tr>
        <w:trPr>
          <w:trHeight w:val="216"/>
        </w:trPr>
        <w:tc>
          <w:tcPr>
            <w:tcW w:w="3820" w:type="dxa"/>
            <w:vAlign w:val="bottom"/>
          </w:tcPr>
          <w:p>
            <w:pPr>
              <w:spacing w:after="0"/>
              <w:rPr>
                <w:sz w:val="18"/>
                <w:szCs w:val="18"/>
                <w:color w:val="auto"/>
              </w:rPr>
            </w:pPr>
          </w:p>
        </w:tc>
        <w:tc>
          <w:tcPr>
            <w:tcW w:w="2380" w:type="dxa"/>
            <w:vAlign w:val="bottom"/>
          </w:tcPr>
          <w:p>
            <w:pPr>
              <w:ind w:left="18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w w:val="91"/>
              </w:rPr>
              <w:t>Senior Vice President, Senior Deputy General Counsel and Assistant</w:t>
            </w:r>
          </w:p>
        </w:tc>
      </w:tr>
      <w:tr>
        <w:trPr>
          <w:trHeight w:val="230"/>
        </w:trPr>
        <w:tc>
          <w:tcPr>
            <w:tcW w:w="38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Secretary</w:t>
            </w:r>
          </w:p>
        </w:tc>
      </w:tr>
      <w:tr>
        <w:trPr>
          <w:trHeight w:val="553"/>
        </w:trPr>
        <w:tc>
          <w:tcPr>
            <w:tcW w:w="38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20,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Registered Office.</w:t>
      </w:r>
      <w:r>
        <w:rPr>
          <w:rFonts w:ascii="Arial" w:cs="Arial" w:eastAsia="Arial" w:hAnsi="Arial"/>
          <w:sz w:val="18"/>
          <w:szCs w:val="18"/>
          <w:color w:val="auto"/>
        </w:rPr>
        <w:t xml:space="preserve"> The registered office of the Comcast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shall be located within the Commonwealth of Pennsylvania at such place as the Board of Directors (hereinafter referred to as the “</w:t>
      </w:r>
      <w:r>
        <w:rPr>
          <w:rFonts w:ascii="Arial" w:cs="Arial" w:eastAsia="Arial" w:hAnsi="Arial"/>
          <w:sz w:val="18"/>
          <w:szCs w:val="18"/>
          <w:b w:val="1"/>
          <w:bCs w:val="1"/>
          <w:color w:val="auto"/>
        </w:rPr>
        <w:t>Board of Directors</w:t>
      </w:r>
      <w:r>
        <w:rPr>
          <w:rFonts w:ascii="Arial" w:cs="Arial" w:eastAsia="Arial" w:hAnsi="Arial"/>
          <w:sz w:val="18"/>
          <w:szCs w:val="18"/>
          <w:color w:val="auto"/>
        </w:rPr>
        <w:t>” or the “</w:t>
      </w:r>
      <w:r>
        <w:rPr>
          <w:rFonts w:ascii="Arial" w:cs="Arial" w:eastAsia="Arial" w:hAnsi="Arial"/>
          <w:sz w:val="18"/>
          <w:szCs w:val="18"/>
          <w:b w:val="1"/>
          <w:bCs w:val="1"/>
          <w:color w:val="auto"/>
        </w:rPr>
        <w:t>Board</w:t>
      </w:r>
      <w:r>
        <w:rPr>
          <w:rFonts w:ascii="Arial" w:cs="Arial" w:eastAsia="Arial" w:hAnsi="Arial"/>
          <w:sz w:val="18"/>
          <w:szCs w:val="18"/>
          <w:color w:val="auto"/>
        </w:rPr>
        <w:t>”) shall determine from time to time.</w:t>
      </w:r>
    </w:p>
    <w:p>
      <w:pPr>
        <w:spacing w:after="0" w:line="180"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Offices.</w:t>
      </w:r>
      <w:r>
        <w:rPr>
          <w:rFonts w:ascii="Arial" w:cs="Arial" w:eastAsia="Arial" w:hAnsi="Arial"/>
          <w:sz w:val="18"/>
          <w:szCs w:val="18"/>
          <w:color w:val="auto"/>
        </w:rPr>
        <w:t xml:space="preserve"> The Corporation may also have offices at such other places, within or without the Commonwealth of Pennsylvania, as the Board of Directors may determine from time to time.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SHAREHOLDERS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Place of Meetings of Shareholders.</w:t>
      </w:r>
      <w:r>
        <w:rPr>
          <w:rFonts w:ascii="Arial" w:cs="Arial" w:eastAsia="Arial" w:hAnsi="Arial"/>
          <w:sz w:val="16"/>
          <w:szCs w:val="16"/>
          <w:color w:val="auto"/>
        </w:rPr>
        <w:t xml:space="preserve">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pose questions to the Directors, make appropriate motions and comment on the business of the meeting, the meeting need not be held at a particular geographic location.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Annual Meetings of Shareholders.</w:t>
      </w:r>
    </w:p>
    <w:p>
      <w:pPr>
        <w:spacing w:after="0" w:line="225" w:lineRule="exact"/>
        <w:rPr>
          <w:sz w:val="20"/>
          <w:szCs w:val="20"/>
          <w:color w:val="auto"/>
        </w:rPr>
      </w:pPr>
    </w:p>
    <w:p>
      <w:pPr>
        <w:ind w:right="100" w:firstLine="1304"/>
        <w:spacing w:after="0" w:line="259" w:lineRule="auto"/>
        <w:tabs>
          <w:tab w:leader="none" w:pos="1807"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w:t>
      </w:r>
      <w:r>
        <w:rPr>
          <w:rFonts w:ascii="Arial" w:cs="Arial" w:eastAsia="Arial" w:hAnsi="Arial"/>
          <w:sz w:val="18"/>
          <w:szCs w:val="18"/>
          <w:b w:val="1"/>
          <w:bCs w:val="1"/>
          <w:color w:val="auto"/>
        </w:rPr>
        <w:t>Holiday</w:t>
      </w:r>
      <w:r>
        <w:rPr>
          <w:rFonts w:ascii="Arial" w:cs="Arial" w:eastAsia="Arial" w:hAnsi="Arial"/>
          <w:sz w:val="18"/>
          <w:szCs w:val="18"/>
          <w:color w:val="auto"/>
        </w:rPr>
        <w:t>”), and if such day is a Holiday, then such meeting shall be held on the next business day at such time.</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right="220" w:firstLine="1304"/>
        <w:spacing w:after="0" w:line="277" w:lineRule="auto"/>
        <w:tabs>
          <w:tab w:leader="none" w:pos="1821"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Election of Directors. At each annual meeting, Directors shall be elected to serve for the ensuing year and until their successors shall have been selected and qualified or until their earlier death, resignation or removal.</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Special Meetings of Shareholders.</w:t>
      </w:r>
      <w:r>
        <w:rPr>
          <w:rFonts w:ascii="Arial" w:cs="Arial" w:eastAsia="Arial" w:hAnsi="Arial"/>
          <w:sz w:val="18"/>
          <w:szCs w:val="18"/>
          <w:color w:val="auto"/>
        </w:rPr>
        <w:t xml:space="preserve">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187"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i w:val="1"/>
          <w:iCs w:val="1"/>
          <w:color w:val="auto"/>
        </w:rPr>
        <w:t>Notices of Meetings of Shareholders</w:t>
      </w:r>
      <w:r>
        <w:rPr>
          <w:rFonts w:ascii="Arial" w:cs="Arial" w:eastAsia="Arial" w:hAnsi="Arial"/>
          <w:sz w:val="17"/>
          <w:szCs w:val="17"/>
          <w:color w:val="auto"/>
        </w:rPr>
        <w:t>. Notice complying with Article‎ 6 of these Bylaws of every meeting of the shareholders shall be given to each shareholder of record entitled to vote at the meeting at least: (a) 10 days prior to the day named for a meeting that will consider a transaction under Chapter 3 of Title 15 of the Pennsylvania Consolidated Statutes or Chapter 19 of the Pennsylvania Business Corporation Law of 1988, as amended (the “</w:t>
      </w:r>
      <w:r>
        <w:rPr>
          <w:rFonts w:ascii="Arial" w:cs="Arial" w:eastAsia="Arial" w:hAnsi="Arial"/>
          <w:sz w:val="17"/>
          <w:szCs w:val="17"/>
          <w:b w:val="1"/>
          <w:bCs w:val="1"/>
          <w:color w:val="auto"/>
        </w:rPr>
        <w:t>Pennsylvania BCL</w:t>
      </w:r>
      <w:r>
        <w:rPr>
          <w:rFonts w:ascii="Arial" w:cs="Arial" w:eastAsia="Arial" w:hAnsi="Arial"/>
          <w:sz w:val="17"/>
          <w:szCs w:val="17"/>
          <w:color w:val="auto"/>
        </w:rPr>
        <w:t>”) or (b) five days prior to the day named for the meeting in any other case.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Quorum of and Action by Shareholders</w:t>
      </w:r>
      <w:r>
        <w:rPr>
          <w:rFonts w:ascii="Arial" w:cs="Arial" w:eastAsia="Arial" w:hAnsi="Arial"/>
          <w:sz w:val="18"/>
          <w:szCs w:val="18"/>
          <w:color w:val="auto"/>
        </w:rPr>
        <w:t>.</w:t>
      </w:r>
    </w:p>
    <w:p>
      <w:pPr>
        <w:spacing w:after="0" w:line="225" w:lineRule="exact"/>
        <w:rPr>
          <w:sz w:val="20"/>
          <w:szCs w:val="20"/>
          <w:color w:val="auto"/>
        </w:rPr>
      </w:pPr>
    </w:p>
    <w:p>
      <w:pPr>
        <w:ind w:left="1820" w:hanging="516"/>
        <w:spacing w:after="0"/>
        <w:tabs>
          <w:tab w:leader="none" w:pos="1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General Rule. A meeting of shareholders duly called shall not be organized for the transaction of business unless a quorum is</w:t>
      </w:r>
    </w:p>
    <w:p>
      <w:pPr>
        <w:spacing w:after="0" w:line="46" w:lineRule="exact"/>
        <w:rPr>
          <w:rFonts w:ascii="Arial" w:cs="Arial" w:eastAsia="Arial" w:hAnsi="Arial"/>
          <w:sz w:val="16"/>
          <w:szCs w:val="16"/>
          <w:color w:val="auto"/>
        </w:rPr>
      </w:pPr>
    </w:p>
    <w:p>
      <w:pPr>
        <w:spacing w:after="0" w:line="270" w:lineRule="auto"/>
        <w:rPr>
          <w:rFonts w:ascii="Arial" w:cs="Arial" w:eastAsia="Arial" w:hAnsi="Arial"/>
          <w:sz w:val="16"/>
          <w:szCs w:val="16"/>
          <w:color w:val="auto"/>
        </w:rPr>
      </w:pPr>
      <w:r>
        <w:rPr>
          <w:rFonts w:ascii="Arial" w:cs="Arial" w:eastAsia="Arial" w:hAnsi="Arial"/>
          <w:sz w:val="17"/>
          <w:szCs w:val="17"/>
          <w:color w:val="auto"/>
        </w:rPr>
        <w:t>present as to at least one of the matters to be considered. Except as provided in subsections (c),‎ (d)‎ and (e)‎ of this Section‎ 2.05, the presence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178" w:lineRule="exact"/>
        <w:rPr>
          <w:rFonts w:ascii="Arial" w:cs="Arial" w:eastAsia="Arial" w:hAnsi="Arial"/>
          <w:sz w:val="16"/>
          <w:szCs w:val="16"/>
          <w:color w:val="auto"/>
        </w:rPr>
      </w:pPr>
    </w:p>
    <w:p>
      <w:pPr>
        <w:ind w:right="60" w:firstLine="1304"/>
        <w:spacing w:after="0" w:line="296" w:lineRule="auto"/>
        <w:tabs>
          <w:tab w:leader="none" w:pos="1811"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the required shareholder vote be reduced below that provided above.</w:t>
      </w:r>
    </w:p>
    <w:p>
      <w:pPr>
        <w:spacing w:after="0" w:line="161" w:lineRule="exact"/>
        <w:rPr>
          <w:rFonts w:ascii="Arial" w:cs="Arial" w:eastAsia="Arial" w:hAnsi="Arial"/>
          <w:sz w:val="16"/>
          <w:szCs w:val="16"/>
          <w:color w:val="auto"/>
        </w:rPr>
      </w:pPr>
    </w:p>
    <w:p>
      <w:pPr>
        <w:ind w:right="620" w:firstLine="1304"/>
        <w:spacing w:after="0" w:line="277" w:lineRule="auto"/>
        <w:tabs>
          <w:tab w:leader="none" w:pos="1811"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Continuing Quorum. The shareholders present at a duly organized meeting can continue to do business until adjournment, notwithstanding the withdrawal of enough shareholders to leave less than a quorum.</w:t>
      </w:r>
    </w:p>
    <w:p>
      <w:pPr>
        <w:spacing w:after="0" w:line="170" w:lineRule="exact"/>
        <w:rPr>
          <w:rFonts w:ascii="Arial" w:cs="Arial" w:eastAsia="Arial" w:hAnsi="Arial"/>
          <w:sz w:val="18"/>
          <w:szCs w:val="18"/>
          <w:color w:val="auto"/>
        </w:rPr>
      </w:pPr>
    </w:p>
    <w:p>
      <w:pPr>
        <w:ind w:right="160" w:firstLine="1304"/>
        <w:spacing w:after="0" w:line="277" w:lineRule="auto"/>
        <w:tabs>
          <w:tab w:leader="none" w:pos="1821"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Directors at Adjourned Meetings. Those shareholders entitled to vote who attend a meeting at which Directors are to be elected that has been previously</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 w:name="page7"/>
    <w:bookmarkEnd w:id="6"/>
    <w:p>
      <w:pPr>
        <w:ind w:right="180"/>
        <w:spacing w:after="0" w:line="277" w:lineRule="auto"/>
        <w:rPr>
          <w:sz w:val="20"/>
          <w:szCs w:val="20"/>
          <w:color w:val="auto"/>
        </w:rPr>
      </w:pPr>
      <w:r>
        <w:rPr>
          <w:rFonts w:ascii="Arial" w:cs="Arial" w:eastAsia="Arial" w:hAnsi="Arial"/>
          <w:sz w:val="18"/>
          <w:szCs w:val="18"/>
          <w:color w:val="auto"/>
        </w:rPr>
        <w:t>adjourned for lack of a quorum with respect thereto, although less than a quorum as fixed in subsection (a),‎ shall nevertheless constitute a quorum for the purpose of electing Directors at such reconvened meeting.</w:t>
      </w:r>
    </w:p>
    <w:p>
      <w:pPr>
        <w:spacing w:after="0" w:line="170" w:lineRule="exact"/>
        <w:rPr>
          <w:sz w:val="20"/>
          <w:szCs w:val="20"/>
          <w:color w:val="auto"/>
        </w:rPr>
      </w:pPr>
    </w:p>
    <w:p>
      <w:pPr>
        <w:ind w:right="100" w:firstLine="1304"/>
        <w:spacing w:after="0" w:line="257" w:lineRule="auto"/>
        <w:tabs>
          <w:tab w:leader="none" w:pos="1811"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of Other Business at Adjourned Meetings. Those shareholders entitled to vote who attend a meeting at which a matter other than the election of Directors is to be acted upon, that has been previously adjourned for one or more periods aggregating at least 15 days because of an absence of a quorum with respect thereto, although less than a quorum as fixed in subsection (a),‎ shall nevertheless constitute a quorum for the purpose of acting upon such matter if the notice states that those shareholders who attend the adjourned meeting shall nevertheless constitute a quorum for the purpose of acting upon such matter.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Adjournments.</w:t>
      </w:r>
    </w:p>
    <w:p>
      <w:pPr>
        <w:spacing w:after="0" w:line="225" w:lineRule="exact"/>
        <w:rPr>
          <w:sz w:val="20"/>
          <w:szCs w:val="20"/>
          <w:color w:val="auto"/>
        </w:rPr>
      </w:pPr>
    </w:p>
    <w:p>
      <w:pPr>
        <w:ind w:right="40" w:firstLine="1304"/>
        <w:spacing w:after="0" w:line="277" w:lineRule="auto"/>
        <w:tabs>
          <w:tab w:leader="none" w:pos="1811"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70" w:lineRule="exact"/>
        <w:rPr>
          <w:rFonts w:ascii="Arial" w:cs="Arial" w:eastAsia="Arial" w:hAnsi="Arial"/>
          <w:sz w:val="18"/>
          <w:szCs w:val="18"/>
          <w:color w:val="auto"/>
        </w:rPr>
      </w:pPr>
    </w:p>
    <w:p>
      <w:pPr>
        <w:jc w:val="both"/>
        <w:ind w:right="160" w:firstLine="1304"/>
        <w:spacing w:after="0" w:line="291" w:lineRule="auto"/>
        <w:tabs>
          <w:tab w:leader="none" w:pos="1821" w:val="left"/>
        </w:tabs>
        <w:numPr>
          <w:ilvl w:val="0"/>
          <w:numId w:val="6"/>
        </w:numPr>
        <w:rPr>
          <w:rFonts w:ascii="Arial" w:cs="Arial" w:eastAsia="Arial" w:hAnsi="Arial"/>
          <w:sz w:val="16"/>
          <w:szCs w:val="16"/>
          <w:color w:val="auto"/>
        </w:rPr>
      </w:pPr>
      <w:r>
        <w:rPr>
          <w:rFonts w:ascii="Arial" w:cs="Arial" w:eastAsia="Arial" w:hAnsi="Arial"/>
          <w:sz w:val="16"/>
          <w:szCs w:val="16"/>
          <w:color w:val="auto"/>
        </w:rPr>
        <w:t>Lack of Quorum. Without limiting the generality of Section‎ 2.06(c), if a meeting cannot be organized because a quorum has not attended, those shareholders present may, except as otherwise provided in the Pennsylvania BCL, adjourn the meeting to such time and place as they may</w:t>
      </w: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determine. To the extent, as set forth in Section‎ 2.05(a), that a quorum was not present with respect to consideration of and action on a particular matter at a duly called and organized meeting, consideration of and action on such matter may be adjourned to such date, time and place as those shareholders present may determine, and the balance of the matters to be considered at such meeting for which a quorum was present may be considered and acted upon at the initial meeting.</w:t>
      </w:r>
    </w:p>
    <w:p>
      <w:pPr>
        <w:spacing w:after="0" w:line="192" w:lineRule="exact"/>
        <w:rPr>
          <w:rFonts w:ascii="Arial" w:cs="Arial" w:eastAsia="Arial" w:hAnsi="Arial"/>
          <w:sz w:val="16"/>
          <w:szCs w:val="16"/>
          <w:color w:val="auto"/>
        </w:rPr>
      </w:pPr>
    </w:p>
    <w:p>
      <w:pPr>
        <w:ind w:right="100" w:firstLine="1304"/>
        <w:spacing w:after="0" w:line="259" w:lineRule="auto"/>
        <w:tabs>
          <w:tab w:leader="none" w:pos="1811"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or the Pennsylvania BCL requires notice of the business to be transacted and such notice has not been previously given.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Voting List, Voting and Proxies.</w:t>
      </w:r>
    </w:p>
    <w:p>
      <w:pPr>
        <w:spacing w:after="0" w:line="225" w:lineRule="exact"/>
        <w:rPr>
          <w:sz w:val="20"/>
          <w:szCs w:val="20"/>
          <w:color w:val="auto"/>
        </w:rPr>
      </w:pPr>
    </w:p>
    <w:p>
      <w:pPr>
        <w:jc w:val="both"/>
        <w:ind w:firstLine="1304"/>
        <w:spacing w:after="0" w:line="275" w:lineRule="auto"/>
        <w:tabs>
          <w:tab w:leader="none" w:pos="1807" w:val="left"/>
        </w:tabs>
        <w:numPr>
          <w:ilvl w:val="0"/>
          <w:numId w:val="7"/>
        </w:numPr>
        <w:rPr>
          <w:rFonts w:ascii="Arial" w:cs="Arial" w:eastAsia="Arial" w:hAnsi="Arial"/>
          <w:sz w:val="17"/>
          <w:szCs w:val="17"/>
          <w:color w:val="auto"/>
        </w:rPr>
      </w:pPr>
      <w:r>
        <w:rPr>
          <w:rFonts w:ascii="Arial" w:cs="Arial" w:eastAsia="Arial" w:hAnsi="Arial"/>
          <w:sz w:val="17"/>
          <w:szCs w:val="17"/>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the Corporation shall not be required to produce the list at a meeting of shareholders for which a judge or judges of election are appointed but instead shall furnish the list to the judge or judges of election.</w:t>
      </w:r>
    </w:p>
    <w:p>
      <w:pPr>
        <w:spacing w:after="0" w:line="176" w:lineRule="exact"/>
        <w:rPr>
          <w:rFonts w:ascii="Arial" w:cs="Arial" w:eastAsia="Arial" w:hAnsi="Arial"/>
          <w:sz w:val="17"/>
          <w:szCs w:val="17"/>
          <w:color w:val="auto"/>
        </w:rPr>
      </w:pPr>
    </w:p>
    <w:p>
      <w:pPr>
        <w:ind w:right="40" w:firstLine="1304"/>
        <w:spacing w:after="0" w:line="277" w:lineRule="auto"/>
        <w:tabs>
          <w:tab w:leader="none" w:pos="1821" w:val="left"/>
        </w:tabs>
        <w:numPr>
          <w:ilvl w:val="0"/>
          <w:numId w:val="7"/>
        </w:numPr>
        <w:rPr>
          <w:rFonts w:ascii="Arial" w:cs="Arial" w:eastAsia="Arial" w:hAnsi="Arial"/>
          <w:sz w:val="18"/>
          <w:szCs w:val="18"/>
          <w:color w:val="auto"/>
        </w:rPr>
      </w:pPr>
      <w:r>
        <w:rPr>
          <w:rFonts w:ascii="Arial" w:cs="Arial" w:eastAsia="Arial" w:hAnsi="Arial"/>
          <w:sz w:val="18"/>
          <w:szCs w:val="18"/>
          <w:color w:val="auto"/>
        </w:rPr>
        <w:t>Method of Voting. At the discretion of the presiding officer of a meeting of shareholders, (i) in elections for Directors voting need not be by ballot but may be taken by</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 w:name="page8"/>
    <w:bookmarkEnd w:id="7"/>
    <w:p>
      <w:pPr>
        <w:jc w:val="both"/>
        <w:ind w:right="80"/>
        <w:spacing w:after="0" w:line="259" w:lineRule="auto"/>
        <w:rPr>
          <w:sz w:val="20"/>
          <w:szCs w:val="20"/>
          <w:color w:val="auto"/>
        </w:rPr>
      </w:pPr>
      <w:r>
        <w:rPr>
          <w:rFonts w:ascii="Arial" w:cs="Arial" w:eastAsia="Arial" w:hAnsi="Arial"/>
          <w:sz w:val="18"/>
          <w:szCs w:val="18"/>
          <w:color w:val="auto"/>
        </w:rPr>
        <w:t>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 2.05(b), voting need not be by ballot but may be taken by voice, show of hands or such other method determined by the presiding officer to the fullest extent permitted by applicable law (including the Pennsylvania BCL).</w:t>
      </w:r>
    </w:p>
    <w:p>
      <w:pPr>
        <w:spacing w:after="0" w:line="187" w:lineRule="exact"/>
        <w:rPr>
          <w:sz w:val="20"/>
          <w:szCs w:val="20"/>
          <w:color w:val="auto"/>
        </w:rPr>
      </w:pPr>
    </w:p>
    <w:p>
      <w:pPr>
        <w:ind w:right="60" w:firstLine="1304"/>
        <w:spacing w:after="0" w:line="289" w:lineRule="auto"/>
        <w:tabs>
          <w:tab w:leader="none" w:pos="1811"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or his or her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or his or her designated agent in writing or by electronic transmission. 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or his or her designated agent in writing or by electronic transmission.</w:t>
      </w:r>
    </w:p>
    <w:p>
      <w:pPr>
        <w:spacing w:after="0" w:line="166" w:lineRule="exact"/>
        <w:rPr>
          <w:rFonts w:ascii="Arial" w:cs="Arial" w:eastAsia="Arial" w:hAnsi="Arial"/>
          <w:sz w:val="16"/>
          <w:szCs w:val="16"/>
          <w:color w:val="auto"/>
        </w:rPr>
      </w:pPr>
    </w:p>
    <w:p>
      <w:pPr>
        <w:ind w:right="20" w:firstLine="1304"/>
        <w:spacing w:after="0" w:line="284" w:lineRule="auto"/>
        <w:tabs>
          <w:tab w:leader="none" w:pos="1821" w:val="left"/>
        </w:tabs>
        <w:numPr>
          <w:ilvl w:val="0"/>
          <w:numId w:val="8"/>
        </w:numPr>
        <w:rPr>
          <w:rFonts w:ascii="Arial" w:cs="Arial" w:eastAsia="Arial" w:hAnsi="Arial"/>
          <w:sz w:val="16"/>
          <w:szCs w:val="16"/>
          <w:color w:val="auto"/>
        </w:rPr>
      </w:pPr>
      <w:r>
        <w:rPr>
          <w:rFonts w:ascii="Arial" w:cs="Arial" w:eastAsia="Arial" w:hAnsi="Arial"/>
          <w:sz w:val="16"/>
          <w:szCs w:val="16"/>
          <w:color w:val="auto"/>
        </w:rPr>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permits otherwise, this Section‎ 2.07(d) may be modified only by a Bylaw amendment adopted by the shareholders.</w:t>
      </w:r>
    </w:p>
    <w:p>
      <w:pPr>
        <w:spacing w:after="0" w:line="210" w:lineRule="exact"/>
        <w:rPr>
          <w:rFonts w:ascii="Arial" w:cs="Arial" w:eastAsia="Arial" w:hAnsi="Arial"/>
          <w:sz w:val="16"/>
          <w:szCs w:val="16"/>
          <w:color w:val="auto"/>
        </w:rPr>
      </w:pPr>
    </w:p>
    <w:p>
      <w:pPr>
        <w:ind w:right="180" w:firstLine="1304"/>
        <w:spacing w:after="0" w:line="277" w:lineRule="auto"/>
        <w:tabs>
          <w:tab w:leader="none" w:pos="1811"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Action by Written Consent in Lieu of a Meeting. Subject to Article NINTH of the Articles of Incorporation, the shareholders shall not be permitted to act by written consent in lieu of a meeting.</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Participation in Meetings by Electronic Means.</w:t>
      </w:r>
      <w:r>
        <w:rPr>
          <w:rFonts w:ascii="Arial" w:cs="Arial" w:eastAsia="Arial" w:hAnsi="Arial"/>
          <w:sz w:val="18"/>
          <w:szCs w:val="18"/>
          <w:color w:val="auto"/>
        </w:rPr>
        <w:t xml:space="preserve"> The Board of Directors may permit, by resolution with respect to a particular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 permits by resolution, or the presiding officer of</w:t>
      </w: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such meeting so permits, no person may participate in a meeting of the shareholders by means of conference telephone or other electronic means.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Notice of Shareholder Nominations and Other Business at Meetings of Shareholders</w:t>
      </w:r>
      <w:r>
        <w:rPr>
          <w:rFonts w:ascii="Arial" w:cs="Arial" w:eastAsia="Arial" w:hAnsi="Arial"/>
          <w:sz w:val="18"/>
          <w:szCs w:val="18"/>
          <w:color w:val="auto"/>
        </w:rPr>
        <w:t>.</w:t>
      </w:r>
    </w:p>
    <w:p>
      <w:pPr>
        <w:spacing w:after="0" w:line="225" w:lineRule="exact"/>
        <w:rPr>
          <w:sz w:val="20"/>
          <w:szCs w:val="20"/>
          <w:color w:val="auto"/>
        </w:rPr>
      </w:pPr>
    </w:p>
    <w:p>
      <w:pPr>
        <w:ind w:left="1800" w:hanging="496"/>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Meeting.</w:t>
      </w:r>
    </w:p>
    <w:p>
      <w:pPr>
        <w:spacing w:after="0" w:line="225" w:lineRule="exact"/>
        <w:rPr>
          <w:rFonts w:ascii="Arial" w:cs="Arial" w:eastAsia="Arial" w:hAnsi="Arial"/>
          <w:sz w:val="18"/>
          <w:szCs w:val="18"/>
          <w:color w:val="auto"/>
        </w:rPr>
      </w:pPr>
    </w:p>
    <w:p>
      <w:pPr>
        <w:ind w:left="660" w:firstLine="1292"/>
        <w:spacing w:after="0" w:line="287" w:lineRule="auto"/>
        <w:tabs>
          <w:tab w:leader="none" w:pos="2441" w:val="left"/>
        </w:tabs>
        <w:numPr>
          <w:ilvl w:val="1"/>
          <w:numId w:val="9"/>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and the proposal of business other than nominations, may be brought before any annual meeting of the shareholders only: (A) if it shall have been specified in the written notice of the meeting (or any supplement thereto) given by the Corporation; or (B) by or at the direction of the Board of Directors; or (C) by the presiding officer of the meeting unless a majority of the Directors then in office object to such business being conducted at the meeting; or (D) if it shall have been specified in a written notice delivered to the Secretary of the Corporation (the “</w:t>
      </w:r>
      <w:r>
        <w:rPr>
          <w:rFonts w:ascii="Arial" w:cs="Arial" w:eastAsia="Arial" w:hAnsi="Arial"/>
          <w:sz w:val="16"/>
          <w:szCs w:val="16"/>
          <w:b w:val="1"/>
          <w:bCs w:val="1"/>
          <w:color w:val="auto"/>
        </w:rPr>
        <w:t>Shareholder Notice</w:t>
      </w:r>
      <w:r>
        <w:rPr>
          <w:rFonts w:ascii="Arial" w:cs="Arial" w:eastAsia="Arial" w:hAnsi="Arial"/>
          <w:sz w:val="16"/>
          <w:szCs w:val="16"/>
          <w:color w:val="auto"/>
        </w:rPr>
        <w:t xml:space="preserve">”) by or on behalf of any shareholder who shall have been a shareholder of record at the time the Shareholder Notice is delivered to the Secretary and on the record date for determination of shareholders entitled to vote at such meeting and who shall continue to be entitled to vote thereat on the date of the meeting, and who complies with the notice procedures and other requirements set forth in this </w:t>
      </w:r>
      <w:r>
        <w:rPr>
          <w:rFonts w:ascii="Arial" w:cs="Arial" w:eastAsia="Arial" w:hAnsi="Arial"/>
          <w:sz w:val="17"/>
          <w:szCs w:val="17"/>
          <w:i w:val="1"/>
          <w:iCs w:val="1"/>
          <w:color w:val="auto"/>
        </w:rPr>
        <w:t>‎</w:t>
      </w:r>
      <w:r>
        <w:rPr>
          <w:rFonts w:ascii="Arial" w:cs="Arial" w:eastAsia="Arial" w:hAnsi="Arial"/>
          <w:sz w:val="16"/>
          <w:szCs w:val="16"/>
          <w:color w:val="auto"/>
        </w:rPr>
        <w:t xml:space="preserve">Section 2.09; or (E) by way of proxy access in accordance with </w:t>
      </w:r>
      <w:r>
        <w:rPr>
          <w:rFonts w:ascii="Arial" w:cs="Arial" w:eastAsia="Arial" w:hAnsi="Arial"/>
          <w:sz w:val="17"/>
          <w:szCs w:val="17"/>
          <w:i w:val="1"/>
          <w:iCs w:val="1"/>
          <w:color w:val="auto"/>
        </w:rPr>
        <w:t>‎</w:t>
      </w:r>
      <w:r>
        <w:rPr>
          <w:rFonts w:ascii="Arial" w:cs="Arial" w:eastAsia="Arial" w:hAnsi="Arial"/>
          <w:sz w:val="16"/>
          <w:szCs w:val="16"/>
          <w:color w:val="auto"/>
        </w:rPr>
        <w:t xml:space="preserve">Section 3.11. For the avoidance of doubt, clauses </w:t>
      </w:r>
      <w:r>
        <w:rPr>
          <w:rFonts w:ascii="Arial" w:cs="Arial" w:eastAsia="Arial" w:hAnsi="Arial"/>
          <w:sz w:val="17"/>
          <w:szCs w:val="17"/>
          <w:i w:val="1"/>
          <w:iCs w:val="1"/>
          <w:color w:val="auto"/>
        </w:rPr>
        <w:t>‎</w:t>
      </w:r>
      <w:r>
        <w:rPr>
          <w:rFonts w:ascii="Arial" w:cs="Arial" w:eastAsia="Arial" w:hAnsi="Arial"/>
          <w:sz w:val="16"/>
          <w:szCs w:val="16"/>
          <w:color w:val="auto"/>
        </w:rPr>
        <w:t xml:space="preserve">(D) and </w:t>
      </w:r>
      <w:r>
        <w:rPr>
          <w:rFonts w:ascii="Arial" w:cs="Arial" w:eastAsia="Arial" w:hAnsi="Arial"/>
          <w:sz w:val="17"/>
          <w:szCs w:val="17"/>
          <w:i w:val="1"/>
          <w:iCs w:val="1"/>
          <w:color w:val="auto"/>
        </w:rPr>
        <w:t>‎</w:t>
      </w:r>
      <w:r>
        <w:rPr>
          <w:rFonts w:ascii="Arial" w:cs="Arial" w:eastAsia="Arial" w:hAnsi="Arial"/>
          <w:sz w:val="16"/>
          <w:szCs w:val="16"/>
          <w:color w:val="auto"/>
        </w:rPr>
        <w:t xml:space="preserve">(E) of this Section 2.09(a)(i) shall be the exclusive means for a shareholder to make Director nominations and clause </w:t>
      </w:r>
      <w:r>
        <w:rPr>
          <w:rFonts w:ascii="Arial" w:cs="Arial" w:eastAsia="Arial" w:hAnsi="Arial"/>
          <w:sz w:val="17"/>
          <w:szCs w:val="17"/>
          <w:i w:val="1"/>
          <w:iCs w:val="1"/>
          <w:color w:val="auto"/>
        </w:rPr>
        <w:t>‎</w:t>
      </w:r>
      <w:r>
        <w:rPr>
          <w:rFonts w:ascii="Arial" w:cs="Arial" w:eastAsia="Arial" w:hAnsi="Arial"/>
          <w:sz w:val="16"/>
          <w:szCs w:val="16"/>
          <w:color w:val="auto"/>
        </w:rPr>
        <w:t>(D) of this Section 2.09(a)(i) shall be the exclusive means for a shareholder to propose other business (other than a proposal included in the Corporation’s proxy statement pursuant to and in compliance with Rule 14a-8 promulgated under the Securities Exchange Act of 1934, as amended, or any successor provision thereto (the “</w:t>
      </w:r>
      <w:r>
        <w:rPr>
          <w:rFonts w:ascii="Arial" w:cs="Arial" w:eastAsia="Arial" w:hAnsi="Arial"/>
          <w:sz w:val="16"/>
          <w:szCs w:val="16"/>
          <w:b w:val="1"/>
          <w:bCs w:val="1"/>
          <w:color w:val="auto"/>
        </w:rPr>
        <w:t>Exchange Act</w:t>
      </w:r>
      <w:r>
        <w:rPr>
          <w:rFonts w:ascii="Arial" w:cs="Arial" w:eastAsia="Arial" w:hAnsi="Arial"/>
          <w:sz w:val="16"/>
          <w:szCs w:val="16"/>
          <w:color w:val="auto"/>
        </w:rPr>
        <w:t>”)) at an annual meeting of shareholders.</w:t>
      </w:r>
    </w:p>
    <w:p>
      <w:pPr>
        <w:spacing w:after="0" w:line="167" w:lineRule="exact"/>
        <w:rPr>
          <w:rFonts w:ascii="Arial" w:cs="Arial" w:eastAsia="Arial" w:hAnsi="Arial"/>
          <w:sz w:val="16"/>
          <w:szCs w:val="16"/>
          <w:color w:val="auto"/>
        </w:rPr>
      </w:pPr>
    </w:p>
    <w:p>
      <w:pPr>
        <w:ind w:left="2480" w:hanging="528"/>
        <w:spacing w:after="0"/>
        <w:tabs>
          <w:tab w:leader="none" w:pos="2480" w:val="left"/>
        </w:tabs>
        <w:numPr>
          <w:ilvl w:val="1"/>
          <w:numId w:val="9"/>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by a shareholder pursuant to clause</w:t>
      </w:r>
    </w:p>
    <w:p>
      <w:pPr>
        <w:spacing w:after="0" w:line="46" w:lineRule="exact"/>
        <w:rPr>
          <w:rFonts w:ascii="Arial" w:cs="Arial" w:eastAsia="Arial" w:hAnsi="Arial"/>
          <w:sz w:val="16"/>
          <w:szCs w:val="16"/>
          <w:color w:val="auto"/>
        </w:rPr>
      </w:pPr>
    </w:p>
    <w:p>
      <w:pPr>
        <w:ind w:left="660" w:right="40"/>
        <w:spacing w:after="0" w:line="281" w:lineRule="auto"/>
        <w:rPr>
          <w:rFonts w:ascii="Arial" w:cs="Arial" w:eastAsia="Arial" w:hAnsi="Arial"/>
          <w:sz w:val="16"/>
          <w:szCs w:val="16"/>
          <w:color w:val="auto"/>
        </w:rPr>
      </w:pPr>
      <w:r>
        <w:rPr>
          <w:rFonts w:ascii="Arial" w:cs="Arial" w:eastAsia="Arial" w:hAnsi="Arial"/>
          <w:sz w:val="16"/>
          <w:szCs w:val="16"/>
          <w:color w:val="auto"/>
        </w:rPr>
        <w:t>(D)‎ of Section‎ 2.09(a)(i), the shareholder must have given a timely Shareholder Notice and, in the case of business other than nominations, such business must be a proper subject for shareholder action. To be timely, each Shareholder Notice must be delivered to and received (and include all information required by these Bylaws) by the Secretary of the Corporation at the principal executive offices of the Corporation: (A) in the case of an annual meeting that is called for a date that is within 30 days before or after the anniversary date of the immediately preceding annual meeting</w:t>
      </w:r>
    </w:p>
    <w:p>
      <w:pPr>
        <w:spacing w:after="0" w:line="2" w:lineRule="exact"/>
        <w:rPr>
          <w:rFonts w:ascii="Arial" w:cs="Arial" w:eastAsia="Arial" w:hAnsi="Arial"/>
          <w:sz w:val="16"/>
          <w:szCs w:val="16"/>
          <w:color w:val="auto"/>
        </w:rPr>
      </w:pPr>
    </w:p>
    <w:p>
      <w:pPr>
        <w:ind w:left="660" w:right="60"/>
        <w:spacing w:after="0" w:line="281" w:lineRule="auto"/>
        <w:rPr>
          <w:rFonts w:ascii="Arial" w:cs="Arial" w:eastAsia="Arial" w:hAnsi="Arial"/>
          <w:sz w:val="16"/>
          <w:szCs w:val="16"/>
          <w:color w:val="auto"/>
        </w:rPr>
      </w:pPr>
      <w:r>
        <w:rPr>
          <w:rFonts w:ascii="Arial" w:cs="Arial" w:eastAsia="Arial" w:hAnsi="Arial"/>
          <w:sz w:val="16"/>
          <w:szCs w:val="16"/>
          <w:color w:val="auto"/>
        </w:rPr>
        <w:t>of shareholders, by the “</w:t>
      </w:r>
      <w:r>
        <w:rPr>
          <w:rFonts w:ascii="Arial" w:cs="Arial" w:eastAsia="Arial" w:hAnsi="Arial"/>
          <w:sz w:val="16"/>
          <w:szCs w:val="16"/>
          <w:b w:val="1"/>
          <w:bCs w:val="1"/>
          <w:color w:val="auto"/>
        </w:rPr>
        <w:t>Close of Business</w:t>
      </w:r>
      <w:r>
        <w:rPr>
          <w:rFonts w:ascii="Arial" w:cs="Arial" w:eastAsia="Arial" w:hAnsi="Arial"/>
          <w:sz w:val="16"/>
          <w:szCs w:val="16"/>
          <w:color w:val="auto"/>
        </w:rPr>
        <w:t>” (as defined in Section‎ 2.09(d)(ii)) not less than 90 days, and not more than 120 days, prior to such anniversary date; and (B) in the case of an annual meeting that is called for a date that is not within 30 days before or after the anniversary date of the immediately preceding annual meeting (or if no annual meeting was held in the preceding year), not later than the Close of Business on the 10th day following the day on which “</w:t>
      </w:r>
      <w:r>
        <w:rPr>
          <w:rFonts w:ascii="Arial" w:cs="Arial" w:eastAsia="Arial" w:hAnsi="Arial"/>
          <w:sz w:val="16"/>
          <w:szCs w:val="16"/>
          <w:b w:val="1"/>
          <w:bCs w:val="1"/>
          <w:color w:val="auto"/>
        </w:rPr>
        <w:t>Public Announcement</w:t>
      </w:r>
      <w:r>
        <w:rPr>
          <w:rFonts w:ascii="Arial" w:cs="Arial" w:eastAsia="Arial" w:hAnsi="Arial"/>
          <w:sz w:val="16"/>
          <w:szCs w:val="16"/>
          <w:color w:val="auto"/>
        </w:rPr>
        <w:t>” (as defined in ‎Section 2.09(d)(ii)) of the date of the meeting is first made by the Corporation. In no event shall the recess, adjournment or postponement of an annual meeting, or the Public Announcement thereof, commence a new time period (or extend any time period) for the giving of a Shareholder Notice, and a shareholder shall not be entitled to make additional or</w:t>
      </w:r>
    </w:p>
    <w:p>
      <w:pPr>
        <w:spacing w:after="0" w:line="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substitute nominations following the expiration of the time periods set forth in this Section‎ 2.09(a). The number</w:t>
      </w: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9" w:name="page10"/>
    <w:bookmarkEnd w:id="9"/>
    <w:p>
      <w:pPr>
        <w:ind w:right="220"/>
        <w:spacing w:after="0" w:line="263" w:lineRule="auto"/>
        <w:rPr>
          <w:sz w:val="20"/>
          <w:szCs w:val="20"/>
          <w:color w:val="auto"/>
        </w:rPr>
      </w:pPr>
      <w:r>
        <w:rPr>
          <w:rFonts w:ascii="Arial" w:cs="Arial" w:eastAsia="Arial" w:hAnsi="Arial"/>
          <w:sz w:val="18"/>
          <w:szCs w:val="18"/>
          <w:color w:val="auto"/>
        </w:rPr>
        <w:t>of nominees a shareholder may nominate for election at the annual meeting (or in the case of a shareholder giving the Shareholder Notice on behalf of a beneficial owner, the number of nominees a shareholder may nominate for election at the annual meeting on behalf of the beneficial owner) shall not exceed the number of Directors to be elected at such annual meeting.</w:t>
      </w:r>
    </w:p>
    <w:p>
      <w:pPr>
        <w:spacing w:after="0" w:line="184" w:lineRule="exact"/>
        <w:rPr>
          <w:sz w:val="20"/>
          <w:szCs w:val="20"/>
          <w:color w:val="auto"/>
        </w:rPr>
      </w:pPr>
    </w:p>
    <w:p>
      <w:pPr>
        <w:ind w:left="1880" w:hanging="588"/>
        <w:spacing w:after="0"/>
        <w:tabs>
          <w:tab w:leader="none" w:pos="1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such Shareholder Notice must set forth:</w:t>
      </w:r>
    </w:p>
    <w:p>
      <w:pPr>
        <w:spacing w:after="0" w:line="225" w:lineRule="exact"/>
        <w:rPr>
          <w:rFonts w:ascii="Arial" w:cs="Arial" w:eastAsia="Arial" w:hAnsi="Arial"/>
          <w:sz w:val="18"/>
          <w:szCs w:val="18"/>
          <w:color w:val="auto"/>
        </w:rPr>
      </w:pPr>
    </w:p>
    <w:p>
      <w:pPr>
        <w:ind w:left="640" w:right="200" w:firstLine="1300"/>
        <w:spacing w:after="0" w:line="287" w:lineRule="auto"/>
        <w:tabs>
          <w:tab w:leader="none" w:pos="2501"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as to each person whom the shareholder proposes to nominate for election or re-election as a Director: (1) all information relating to such person that is required to be disclosed in solicitations of proxies for election of directors in an election contest, or is otherwise required, in each case pursuant to and in accordance with Regulation 14A under the Exchange Act; and (2) the information required to be submitted pursuant to </w:t>
      </w:r>
      <w:r>
        <w:rPr>
          <w:rFonts w:ascii="Arial" w:cs="Arial" w:eastAsia="Arial" w:hAnsi="Arial"/>
          <w:sz w:val="17"/>
          <w:szCs w:val="17"/>
          <w:color w:val="auto"/>
        </w:rPr>
        <w:t>‎</w:t>
      </w:r>
      <w:r>
        <w:rPr>
          <w:rFonts w:ascii="Arial" w:cs="Arial" w:eastAsia="Arial" w:hAnsi="Arial"/>
          <w:sz w:val="16"/>
          <w:szCs w:val="16"/>
          <w:color w:val="auto"/>
        </w:rPr>
        <w:t>Section 3.10, including all fully completed and signed Questionnaires described</w:t>
      </w:r>
    </w:p>
    <w:p>
      <w:pPr>
        <w:spacing w:after="0" w:line="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 xml:space="preserve">in </w:t>
      </w:r>
      <w:r>
        <w:rPr>
          <w:rFonts w:ascii="Arial" w:cs="Arial" w:eastAsia="Arial" w:hAnsi="Arial"/>
          <w:sz w:val="19"/>
          <w:szCs w:val="19"/>
          <w:color w:val="auto"/>
        </w:rPr>
        <w:t>‎</w:t>
      </w:r>
      <w:r>
        <w:rPr>
          <w:rFonts w:ascii="Arial" w:cs="Arial" w:eastAsia="Arial" w:hAnsi="Arial"/>
          <w:sz w:val="18"/>
          <w:szCs w:val="18"/>
          <w:color w:val="auto"/>
        </w:rPr>
        <w:t>Section 3.10(a)(ii);</w:t>
      </w:r>
    </w:p>
    <w:p>
      <w:pPr>
        <w:spacing w:after="0" w:line="208" w:lineRule="exact"/>
        <w:rPr>
          <w:rFonts w:ascii="Arial" w:cs="Arial" w:eastAsia="Arial" w:hAnsi="Arial"/>
          <w:sz w:val="16"/>
          <w:szCs w:val="16"/>
          <w:color w:val="auto"/>
        </w:rPr>
      </w:pPr>
    </w:p>
    <w:p>
      <w:pPr>
        <w:ind w:left="640" w:right="40" w:firstLine="1300"/>
        <w:spacing w:after="0" w:line="290" w:lineRule="auto"/>
        <w:tabs>
          <w:tab w:leader="none" w:pos="2491" w:val="left"/>
        </w:tabs>
        <w:numPr>
          <w:ilvl w:val="1"/>
          <w:numId w:val="10"/>
        </w:numPr>
        <w:rPr>
          <w:rFonts w:ascii="Arial" w:cs="Arial" w:eastAsia="Arial" w:hAnsi="Arial"/>
          <w:sz w:val="16"/>
          <w:szCs w:val="16"/>
          <w:color w:val="auto"/>
        </w:rPr>
      </w:pPr>
      <w:r>
        <w:rPr>
          <w:rFonts w:ascii="Arial" w:cs="Arial" w:eastAsia="Arial" w:hAnsi="Arial"/>
          <w:sz w:val="16"/>
          <w:szCs w:val="16"/>
          <w:color w:val="auto"/>
        </w:rPr>
        <w:t>as to any other business that the shareholder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 description of any substantial interest (within the meaning of Item 5 of Schedule 14A under the Exchange Act) in such business of such shareholder and the Shareholder Associated Person (within the meaning of Section 13(d) of the Exchange Act), if any, on whose behalf the proposal is made and all other information relating to such proposed business that would be required to be disclosed in a proxy statement or other filing required to be made by the shareholder in connection with the solicitation of proxies in support of such proposed business pursuant to Regulation 14A under the Exchange Act;</w:t>
      </w:r>
    </w:p>
    <w:p>
      <w:pPr>
        <w:spacing w:after="0" w:line="165" w:lineRule="exact"/>
        <w:rPr>
          <w:rFonts w:ascii="Arial" w:cs="Arial" w:eastAsia="Arial" w:hAnsi="Arial"/>
          <w:sz w:val="16"/>
          <w:szCs w:val="16"/>
          <w:color w:val="auto"/>
        </w:rPr>
      </w:pPr>
    </w:p>
    <w:p>
      <w:pPr>
        <w:ind w:left="640" w:right="240" w:firstLine="1300"/>
        <w:spacing w:after="0" w:line="291" w:lineRule="auto"/>
        <w:tabs>
          <w:tab w:leader="none" w:pos="2491" w:val="left"/>
        </w:tabs>
        <w:numPr>
          <w:ilvl w:val="1"/>
          <w:numId w:val="10"/>
        </w:numPr>
        <w:rPr>
          <w:rFonts w:ascii="Arial" w:cs="Arial" w:eastAsia="Arial" w:hAnsi="Arial"/>
          <w:sz w:val="16"/>
          <w:szCs w:val="16"/>
          <w:color w:val="auto"/>
        </w:rPr>
      </w:pPr>
      <w:r>
        <w:rPr>
          <w:rFonts w:ascii="Arial" w:cs="Arial" w:eastAsia="Arial" w:hAnsi="Arial"/>
          <w:sz w:val="16"/>
          <w:szCs w:val="16"/>
          <w:color w:val="auto"/>
        </w:rPr>
        <w:t>as to the shareholder giving the Shareholder Notice and the Shareholder Associated Person, if any, on whose behalf the nomination is made or the other business is proposed: (1) the name and address of such shareholder, as they appear on the</w:t>
      </w:r>
    </w:p>
    <w:p>
      <w:pPr>
        <w:ind w:left="640"/>
        <w:spacing w:after="0" w:line="281" w:lineRule="auto"/>
        <w:rPr>
          <w:rFonts w:ascii="Arial" w:cs="Arial" w:eastAsia="Arial" w:hAnsi="Arial"/>
          <w:sz w:val="16"/>
          <w:szCs w:val="16"/>
          <w:color w:val="auto"/>
        </w:rPr>
      </w:pPr>
      <w:r>
        <w:rPr>
          <w:rFonts w:ascii="Arial" w:cs="Arial" w:eastAsia="Arial" w:hAnsi="Arial"/>
          <w:sz w:val="16"/>
          <w:szCs w:val="16"/>
          <w:color w:val="auto"/>
        </w:rPr>
        <w:t>Corporation’s books, and the name and address of any Shareholder Associated Person (as defined in Section‎ 2.09(d)(i)); (2) the class or series and number of shares of stock of the Corporation which are owned of record by such shareholder or any Shareholder Associated Person as of the date of the Shareholder Notice, the dates such shares of stock of the Corporation were acquired and the investment intent at the time of such acquisition; (3) a representation that the shareholder (or a “</w:t>
      </w:r>
      <w:r>
        <w:rPr>
          <w:rFonts w:ascii="Arial" w:cs="Arial" w:eastAsia="Arial" w:hAnsi="Arial"/>
          <w:sz w:val="16"/>
          <w:szCs w:val="16"/>
          <w:b w:val="1"/>
          <w:bCs w:val="1"/>
          <w:color w:val="auto"/>
        </w:rPr>
        <w:t>Qualified Representative</w:t>
      </w:r>
      <w:r>
        <w:rPr>
          <w:rFonts w:ascii="Arial" w:cs="Arial" w:eastAsia="Arial" w:hAnsi="Arial"/>
          <w:sz w:val="16"/>
          <w:szCs w:val="16"/>
          <w:color w:val="auto"/>
        </w:rPr>
        <w:t>” thereof, as defined in Section‎</w:t>
      </w:r>
    </w:p>
    <w:p>
      <w:pPr>
        <w:spacing w:after="0" w:line="2" w:lineRule="exact"/>
        <w:rPr>
          <w:rFonts w:ascii="Arial" w:cs="Arial" w:eastAsia="Arial" w:hAnsi="Arial"/>
          <w:sz w:val="16"/>
          <w:szCs w:val="16"/>
          <w:color w:val="auto"/>
        </w:rPr>
      </w:pPr>
    </w:p>
    <w:p>
      <w:pPr>
        <w:jc w:val="both"/>
        <w:ind w:left="640" w:right="60"/>
        <w:spacing w:after="0" w:line="281" w:lineRule="auto"/>
        <w:rPr>
          <w:rFonts w:ascii="Arial" w:cs="Arial" w:eastAsia="Arial" w:hAnsi="Arial"/>
          <w:sz w:val="16"/>
          <w:szCs w:val="16"/>
          <w:color w:val="auto"/>
        </w:rPr>
      </w:pPr>
      <w:r>
        <w:rPr>
          <w:rFonts w:ascii="Arial" w:cs="Arial" w:eastAsia="Arial" w:hAnsi="Arial"/>
          <w:sz w:val="16"/>
          <w:szCs w:val="16"/>
          <w:color w:val="auto"/>
        </w:rPr>
        <w:t>2.09(d)(iv)) intends to appear at the meeting to make the nomination or bring the business specified in the Shareholder Notice before the meeting; (4) the class or series and number of shares of stock of the Corporation which are “</w:t>
      </w:r>
      <w:r>
        <w:rPr>
          <w:rFonts w:ascii="Arial" w:cs="Arial" w:eastAsia="Arial" w:hAnsi="Arial"/>
          <w:sz w:val="16"/>
          <w:szCs w:val="16"/>
          <w:b w:val="1"/>
          <w:bCs w:val="1"/>
          <w:color w:val="auto"/>
        </w:rPr>
        <w:t>Beneficially Owned</w:t>
      </w:r>
      <w:r>
        <w:rPr>
          <w:rFonts w:ascii="Arial" w:cs="Arial" w:eastAsia="Arial" w:hAnsi="Arial"/>
          <w:sz w:val="16"/>
          <w:szCs w:val="16"/>
          <w:color w:val="auto"/>
        </w:rPr>
        <w:t>” (as defined in Section‎</w:t>
      </w:r>
    </w:p>
    <w:p>
      <w:pPr>
        <w:spacing w:after="0" w:line="1" w:lineRule="exact"/>
        <w:rPr>
          <w:rFonts w:ascii="Arial" w:cs="Arial" w:eastAsia="Arial" w:hAnsi="Arial"/>
          <w:sz w:val="16"/>
          <w:szCs w:val="16"/>
          <w:color w:val="auto"/>
        </w:rPr>
      </w:pPr>
    </w:p>
    <w:p>
      <w:pPr>
        <w:ind w:left="640"/>
        <w:spacing w:after="0" w:line="260" w:lineRule="auto"/>
        <w:rPr>
          <w:rFonts w:ascii="Arial" w:cs="Arial" w:eastAsia="Arial" w:hAnsi="Arial"/>
          <w:sz w:val="16"/>
          <w:szCs w:val="16"/>
          <w:color w:val="auto"/>
        </w:rPr>
      </w:pPr>
      <w:r>
        <w:rPr>
          <w:rFonts w:ascii="Arial" w:cs="Arial" w:eastAsia="Arial" w:hAnsi="Arial"/>
          <w:sz w:val="18"/>
          <w:szCs w:val="18"/>
          <w:color w:val="auto"/>
        </w:rPr>
        <w:t>2.09(d)(iii)) by such shareholder or any Shareholder Associated Person as of the date of the Shareholder Notice; (5) a reasonably detailed description of any (x) purpose, plan or proposal which such shareholder</w:t>
      </w:r>
    </w:p>
    <w:p>
      <w:pPr>
        <w:spacing w:after="0" w:line="286"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980" w:top="584" w:right="379" w:bottom="1440" w:gutter="0" w:footer="0" w:header="0"/>
        </w:sectPr>
      </w:pPr>
    </w:p>
    <w:bookmarkStart w:id="10" w:name="page11"/>
    <w:bookmarkEnd w:id="10"/>
    <w:p>
      <w:pPr>
        <w:ind w:left="180"/>
        <w:spacing w:after="0" w:line="284" w:lineRule="auto"/>
        <w:rPr>
          <w:sz w:val="20"/>
          <w:szCs w:val="20"/>
          <w:color w:val="auto"/>
        </w:rPr>
      </w:pPr>
      <w:r>
        <w:rPr>
          <w:rFonts w:ascii="Arial" w:cs="Arial" w:eastAsia="Arial" w:hAnsi="Arial"/>
          <w:sz w:val="16"/>
          <w:szCs w:val="16"/>
          <w:color w:val="auto"/>
        </w:rPr>
        <w:t>or Shareholder Associated Person may have which relate to or would result in any action or matter that would be required to be disclosed pursuant to Item 4 of Exchange Act Schedule 13D (regardless of whether the requirement to file a Schedule 13D is applicable) and (y) any agreement, arrangement or understanding with respect to the nomination or other business between or among such shareholder or any Shareholder Associated Person and any other person (naming such person or persons), including, without limitation, any agreements that would be required to be disclosed pursuant to Item 5 or Item 6 of Exchange Act Schedule 13D (regardless of whether the requirement to file a Schedule 13D is applicable); (6) a reasonably detailed description (which description shall include, in addition to all other information, information identifying all parties thereto) of any agreement, arrangement, instrument, contract, right or understanding, whether written or oral (including, without limitation, and regardless of whether or not such agreement, arrangement, instrument, contract, right or understanding shall be subject to settlement in shares of the Corporation, through the delivery of cash or other property, or otherwise, any derivative, long or short positions, profit interests, forwards, futures, swaps, options, warrants, convertible securities, stock appreciation or similar rights, hedging or pledging transactions, voting rights, dividend rights, borrowed or loaned shares or similar right with an exercise or conversion privilege or a settlement payment or mechanism at a price related to any class or series of shares of the Corporation or otherwise), that has been entered into as of the date of the Shareholder Notice by, or on behalf of, such shareholder or any Shareholder Associated Person, the effect or intent of which is to transfer to or from any such shareholder or any Shareholder Associated Person, in whole or in part, any of the economic consequences of ownership of any security of the Corporation (including, without limitation, creating or mitigating loss to, managing risk from or benefiting from share price changes of), maintain, increase or decrease the voting power of the shareholder or Shareholder Associated Person with respect to securities of the Corporation, or to otherwise benefit economically from, any increase or decrease in the value of any security of the Corporation (a “</w:t>
      </w:r>
      <w:r>
        <w:rPr>
          <w:rFonts w:ascii="Arial" w:cs="Arial" w:eastAsia="Arial" w:hAnsi="Arial"/>
          <w:sz w:val="16"/>
          <w:szCs w:val="16"/>
          <w:b w:val="1"/>
          <w:bCs w:val="1"/>
          <w:color w:val="auto"/>
        </w:rPr>
        <w:t>Derivative</w:t>
      </w:r>
      <w:r>
        <w:rPr>
          <w:rFonts w:ascii="Arial" w:cs="Arial" w:eastAsia="Arial" w:hAnsi="Arial"/>
          <w:sz w:val="16"/>
          <w:szCs w:val="16"/>
          <w:color w:val="auto"/>
        </w:rPr>
        <w:t xml:space="preserve"> </w:t>
      </w:r>
      <w:r>
        <w:rPr>
          <w:rFonts w:ascii="Arial" w:cs="Arial" w:eastAsia="Arial" w:hAnsi="Arial"/>
          <w:sz w:val="16"/>
          <w:szCs w:val="16"/>
          <w:b w:val="1"/>
          <w:bCs w:val="1"/>
          <w:color w:val="auto"/>
        </w:rPr>
        <w:t>Instrument</w:t>
      </w:r>
      <w:r>
        <w:rPr>
          <w:rFonts w:ascii="Arial" w:cs="Arial" w:eastAsia="Arial" w:hAnsi="Arial"/>
          <w:sz w:val="16"/>
          <w:szCs w:val="16"/>
          <w:color w:val="auto"/>
        </w:rPr>
        <w:t>”), all of which Derivative Instruments shall be disclosed without regard to whether (x) any such Derivative Instrument is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be, or is capable of being, settled through delivery of shares of any class or series of capital stock of the Corporation or (y) such shareholder or Shareholder Associated Person may have entered into other transactions that hedge or mitigate the economic effect of such Derivative Instrument; (7) a representation as to whether the shareholder or any Shareholder Associated Person or any other participant (as defined in Item 4 of Schedule 14A under the Exchange Act) will engage in a solicitation within the meaning of Rule 14a-1(l) under the Exchange Act (without reference to the exception in Section 14a-1(l)(2)(iv)) with respect to the nomination or other business and, if so, whether or not such solicitation will be conducted as an exempt solicitation under Rule 14a-2(b) of the Exchange Act, the name of each participant in such solicitation, and (x) in the case of a proposal of business other than nominations, a representation as to whether such person or group intends to deliver, through means satisfying each of the conditions that would be applicable</w:t>
      </w:r>
    </w:p>
    <w:p>
      <w:pPr>
        <w:spacing w:after="0" w:line="27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1" w:name="page12"/>
    <w:bookmarkEnd w:id="11"/>
    <w:p>
      <w:pPr>
        <w:ind w:left="180"/>
        <w:spacing w:after="0" w:line="271" w:lineRule="auto"/>
        <w:rPr>
          <w:sz w:val="20"/>
          <w:szCs w:val="20"/>
          <w:color w:val="auto"/>
        </w:rPr>
      </w:pPr>
      <w:r>
        <w:rPr>
          <w:rFonts w:ascii="Arial" w:cs="Arial" w:eastAsia="Arial" w:hAnsi="Arial"/>
          <w:sz w:val="17"/>
          <w:szCs w:val="17"/>
          <w:color w:val="auto"/>
        </w:rPr>
        <w:t>to the Corporation under either Exchange Act Rule 14a-16(a) or Exchange Act Rule 14a-16(n) a proxy statement and form of proxy to holders of at least the percentage of the Corporation’s voting shares required under applicable law to carry the proposal and/or (y) in the case of any solicitation that is subject to Rule 14a-19 of the Exchange Act, confirming that such person or group will engage in such solicitation in accordance with Rule 14a-19 under the Exchange Act; (8) any performance-related fees (other than an asset-based fee) that such shareholder or any Shareholder Associated Person is directly or indirectly entitled to based on any increase or decrease in the value of shares of the Corporation or in Derivative Instruments, if any; and (9) any equity interests or Derivative Instruments in any principal competitor of the Corporation (as defined for the purposes of Section 8 of the Clayton Antitrust Act of 1914) held by or on behalf of such shareholder or Shareholder Associated Person;</w:t>
      </w:r>
    </w:p>
    <w:p>
      <w:pPr>
        <w:spacing w:after="0" w:line="178" w:lineRule="exact"/>
        <w:rPr>
          <w:sz w:val="20"/>
          <w:szCs w:val="20"/>
          <w:color w:val="auto"/>
        </w:rPr>
      </w:pPr>
    </w:p>
    <w:p>
      <w:pPr>
        <w:ind w:left="180" w:right="60" w:firstLine="1300"/>
        <w:spacing w:after="0" w:line="256" w:lineRule="auto"/>
        <w:tabs>
          <w:tab w:leader="none" w:pos="2041"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a representation that immediately after soliciting the percentage of holders referred to in the representation required under </w:t>
      </w:r>
      <w:r>
        <w:rPr>
          <w:rFonts w:ascii="Arial" w:cs="Arial" w:eastAsia="Arial" w:hAnsi="Arial"/>
          <w:sz w:val="19"/>
          <w:szCs w:val="19"/>
          <w:color w:val="auto"/>
        </w:rPr>
        <w:t>‎</w:t>
      </w:r>
      <w:r>
        <w:rPr>
          <w:rFonts w:ascii="Arial" w:cs="Arial" w:eastAsia="Arial" w:hAnsi="Arial"/>
          <w:sz w:val="18"/>
          <w:szCs w:val="18"/>
          <w:color w:val="auto"/>
        </w:rPr>
        <w:t>Section 2.09(a)(iii)(C)(7) of these Bylaws, and in any event no later than the 10th day before the applicable meeting of shareholders, such shareholder will provide the Corporation with documents, which may take the form of a statement and documentation from a proxy solicitor, confirming that the necessary steps have been taken to deliver a proxy statement and form of proxy to holders of the percentage of the voting power of the Corporation’s stock entitled to vote generally in the election of Directors in accordance with Rule 14a-19 under the Exchange Act;</w:t>
      </w:r>
    </w:p>
    <w:p>
      <w:pPr>
        <w:spacing w:after="0" w:line="188" w:lineRule="exact"/>
        <w:rPr>
          <w:rFonts w:ascii="Arial" w:cs="Arial" w:eastAsia="Arial" w:hAnsi="Arial"/>
          <w:sz w:val="18"/>
          <w:szCs w:val="18"/>
          <w:color w:val="auto"/>
        </w:rPr>
      </w:pPr>
    </w:p>
    <w:p>
      <w:pPr>
        <w:jc w:val="both"/>
        <w:ind w:left="180" w:right="120" w:firstLine="1300"/>
        <w:spacing w:after="0" w:line="259" w:lineRule="auto"/>
        <w:tabs>
          <w:tab w:leader="none" w:pos="202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other information relating to the shareholder giving the Shareholder Notice or any Shareholder Associated Person, or to each person whom the shareholder proposes to nominate for election or re-election as a Director, that would be required to be disclosed in a proxy statement or other filing required to be made in connection with the solicitation of proxies in support of such nominee pursuant to Section 14 of the Exchange Act; and</w:t>
      </w:r>
    </w:p>
    <w:p>
      <w:pPr>
        <w:spacing w:after="0" w:line="186" w:lineRule="exact"/>
        <w:rPr>
          <w:rFonts w:ascii="Arial" w:cs="Arial" w:eastAsia="Arial" w:hAnsi="Arial"/>
          <w:sz w:val="18"/>
          <w:szCs w:val="18"/>
          <w:color w:val="auto"/>
        </w:rPr>
      </w:pPr>
    </w:p>
    <w:p>
      <w:pPr>
        <w:ind w:left="180" w:right="20" w:firstLine="1300"/>
        <w:spacing w:after="0" w:line="308" w:lineRule="auto"/>
        <w:tabs>
          <w:tab w:leader="none" w:pos="2011" w:val="left"/>
        </w:tabs>
        <w:numPr>
          <w:ilvl w:val="1"/>
          <w:numId w:val="11"/>
        </w:numPr>
        <w:rPr>
          <w:rFonts w:ascii="Arial" w:cs="Arial" w:eastAsia="Arial" w:hAnsi="Arial"/>
          <w:sz w:val="17"/>
          <w:szCs w:val="17"/>
          <w:color w:val="auto"/>
        </w:rPr>
      </w:pPr>
      <w:r>
        <w:rPr>
          <w:rFonts w:ascii="Arial" w:cs="Arial" w:eastAsia="Arial" w:hAnsi="Arial"/>
          <w:sz w:val="17"/>
          <w:szCs w:val="17"/>
          <w:color w:val="auto"/>
        </w:rPr>
        <w:t>such other information relating to the proposed nomination or other business as the Corporation may reasonably require to determine whether the nomination or other business proposed is a proper matter for shareholder action.</w:t>
      </w:r>
    </w:p>
    <w:p>
      <w:pPr>
        <w:spacing w:after="0" w:line="146" w:lineRule="exact"/>
        <w:rPr>
          <w:rFonts w:ascii="Arial" w:cs="Arial" w:eastAsia="Arial" w:hAnsi="Arial"/>
          <w:sz w:val="17"/>
          <w:szCs w:val="17"/>
          <w:color w:val="auto"/>
        </w:rPr>
      </w:pPr>
    </w:p>
    <w:p>
      <w:pPr>
        <w:ind w:left="-460" w:right="100" w:firstLine="1292"/>
        <w:spacing w:after="0" w:line="293" w:lineRule="auto"/>
        <w:tabs>
          <w:tab w:leader="none" w:pos="1411"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addition, to be considered timely, a Shareholder Notice shall further be updated and supplemented, if necessary, so that the information provided or required to be provided in such notice shall be true and correct as of the record date for the meeting and as of the date that is 10 days prior to the meeting or any adjournment or postponement thereof, and such update and supplement shall be delivered to the Secretary of the Corporation at the principal executive offices of the Corporation not later than five days after the record date for the meeting in the case of the update and supplement required to be made as of the record date, and not later than eight days prior to the date for the meeting or any adjournment or postponement thereof in the case of the update and supplement required to be made as of 10 days prior to the meeting or any</w:t>
      </w:r>
    </w:p>
    <w:p>
      <w:pPr>
        <w:spacing w:after="0" w:line="26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584" w:right="359" w:bottom="1440" w:gutter="0" w:footer="0" w:header="0"/>
        </w:sectPr>
      </w:pPr>
    </w:p>
    <w:bookmarkStart w:id="12" w:name="page13"/>
    <w:bookmarkEnd w:id="12"/>
    <w:p>
      <w:pPr>
        <w:jc w:val="both"/>
        <w:ind w:left="660"/>
        <w:spacing w:after="0" w:line="275" w:lineRule="auto"/>
        <w:rPr>
          <w:sz w:val="20"/>
          <w:szCs w:val="20"/>
          <w:color w:val="auto"/>
        </w:rPr>
      </w:pPr>
      <w:r>
        <w:rPr>
          <w:rFonts w:ascii="Arial" w:cs="Arial" w:eastAsia="Arial" w:hAnsi="Arial"/>
          <w:sz w:val="17"/>
          <w:szCs w:val="17"/>
          <w:color w:val="auto"/>
        </w:rPr>
        <w:t>adjournment or postponement thereof. For the avoidance of doubt, the obligation to update and supplement as set forth in this Section 2.09(a)(iv)</w:t>
      </w:r>
      <w:r>
        <w:rPr>
          <w:rFonts w:ascii="Arial" w:cs="Arial" w:eastAsia="Arial" w:hAnsi="Arial"/>
          <w:sz w:val="17"/>
          <w:szCs w:val="17"/>
          <w:i w:val="1"/>
          <w:iCs w:val="1"/>
          <w:color w:val="auto"/>
        </w:rPr>
        <w:t>‎</w:t>
      </w:r>
      <w:r>
        <w:rPr>
          <w:rFonts w:ascii="Arial" w:cs="Arial" w:eastAsia="Arial" w:hAnsi="Arial"/>
          <w:sz w:val="17"/>
          <w:szCs w:val="17"/>
          <w:color w:val="auto"/>
        </w:rPr>
        <w:t xml:space="preserve"> or any other Section of these Bylaws shall not limit the Corporation’s rights with respect to any deficiencies in any Shareholder Notice, extend any applicable deadlines under these Bylaws or enable or be deemed to permit a shareholder who has previously submitted a Shareholder Notice under these Bylaws to amend or update any proposal or to submit any new proposal, including by changing or adding nominees, matters, business and/or resolutions proposed to be brought before a meeting of shareholders.</w:t>
      </w:r>
    </w:p>
    <w:p>
      <w:pPr>
        <w:spacing w:after="0" w:line="176" w:lineRule="exact"/>
        <w:rPr>
          <w:sz w:val="20"/>
          <w:szCs w:val="20"/>
          <w:color w:val="auto"/>
        </w:rPr>
      </w:pPr>
    </w:p>
    <w:p>
      <w:pPr>
        <w:jc w:val="both"/>
        <w:ind w:right="40" w:firstLine="1304"/>
        <w:spacing w:after="0" w:line="286" w:lineRule="auto"/>
        <w:tabs>
          <w:tab w:leader="none" w:pos="1821"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Special Meeting. Nominations of persons for election to the Board of Directors may be made at a special meeting of shareholders at which Directors are to be elected pursuant to the Corporation’s notice of meeting: (i) by or at the direction of the Board of Directors; or (ii)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Board of Directors has determined that one or more Directors are to be elected at such meeting, by or on behalf of any shareholder who shall have been a shareholder of record at the time the Shareholder Notice is delivered to the Secretary and on the record date for such meeting, and who shall continue to</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be entitled to vote thereat on the date of the meeting, and who complies with the notice procedures and other requirements set forth in this Section‎ 2.09(b).</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To be timely, the Shareholder Notice required by this Section‎ 2.09(b) must comply with the notice procedures and information requirements set forth in</w:t>
      </w:r>
    </w:p>
    <w:p>
      <w:pPr>
        <w:spacing w:after="0" w:line="32" w:lineRule="exact"/>
        <w:rPr>
          <w:rFonts w:ascii="Arial" w:cs="Arial" w:eastAsia="Arial" w:hAnsi="Arial"/>
          <w:sz w:val="16"/>
          <w:szCs w:val="16"/>
          <w:color w:val="auto"/>
        </w:rPr>
      </w:pPr>
    </w:p>
    <w:p>
      <w:pPr>
        <w:ind w:right="20"/>
        <w:spacing w:after="0" w:line="281" w:lineRule="auto"/>
        <w:rPr>
          <w:rFonts w:ascii="Arial" w:cs="Arial" w:eastAsia="Arial" w:hAnsi="Arial"/>
          <w:sz w:val="16"/>
          <w:szCs w:val="16"/>
          <w:color w:val="auto"/>
        </w:rPr>
      </w:pPr>
      <w:r>
        <w:rPr>
          <w:rFonts w:ascii="Arial" w:cs="Arial" w:eastAsia="Arial" w:hAnsi="Arial"/>
          <w:sz w:val="16"/>
          <w:szCs w:val="16"/>
          <w:color w:val="auto"/>
        </w:rPr>
        <w:t>Section‎ 2.09(a)(iii) and (iv),‎ and must be delivered to the Secretary of the Corporation at the principal executive offices of the Corporation by the Close of Business not more than 120 days prior to such special meeting and not later than the Close of Business on the later of 90 days prior to such special meeting or the 10th day following the day on which Public Announcement of the date of the special meeting and of the nominees proposed by the Board of Directors to be elected at such meeting is first made by the Corporation. Subject to compliance with the notice procedures and other requirements set forth in this Section 2.09(b), the number of nominees a shareholder may nominate for election at the special meeting (or in the case of a shareholder giving the notice on behalf of a beneficial owner, the number of nominees a shareholder may nominate for election at the special meeting on behalf of such beneficial owner) shall not exceed the number of Directors to be elected at such special meeting. In no event shall the recess, adjournment or postponement of a special meeting, or the Public Announcement thereof, commence a new time period (or extend any time period) for the giving of a Shareholder Notice, and</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 shareholder shall not be entitled to make additional or substitute nominations following the expiration of the time periods set forth in this Section‎ 2.09(b).</w:t>
      </w:r>
    </w:p>
    <w:p>
      <w:pPr>
        <w:spacing w:after="0" w:line="233" w:lineRule="exact"/>
        <w:rPr>
          <w:rFonts w:ascii="Arial" w:cs="Arial" w:eastAsia="Arial" w:hAnsi="Arial"/>
          <w:sz w:val="16"/>
          <w:szCs w:val="16"/>
          <w:color w:val="auto"/>
        </w:rPr>
      </w:pPr>
    </w:p>
    <w:p>
      <w:pPr>
        <w:ind w:left="1820" w:hanging="516"/>
        <w:spacing w:after="0"/>
        <w:tabs>
          <w:tab w:leader="none" w:pos="1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General. Except as otherwise required by law, only such persons who are nominated in accordance with the procedures set forth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this Section‎ 2.09 or, with respect to annual meetings only, Section‎ 3.11, shall be eligible to be elected at any meeting of shareholders to serve as Directors</w:t>
      </w:r>
    </w:p>
    <w:p>
      <w:pPr>
        <w:spacing w:after="0" w:line="32" w:lineRule="exact"/>
        <w:rPr>
          <w:rFonts w:ascii="Arial" w:cs="Arial" w:eastAsia="Arial" w:hAnsi="Arial"/>
          <w:sz w:val="16"/>
          <w:szCs w:val="16"/>
          <w:color w:val="auto"/>
        </w:rPr>
      </w:pPr>
    </w:p>
    <w:p>
      <w:pPr>
        <w:ind w:right="80"/>
        <w:spacing w:after="0" w:line="281" w:lineRule="auto"/>
        <w:rPr>
          <w:rFonts w:ascii="Arial" w:cs="Arial" w:eastAsia="Arial" w:hAnsi="Arial"/>
          <w:sz w:val="16"/>
          <w:szCs w:val="16"/>
          <w:color w:val="auto"/>
        </w:rPr>
      </w:pPr>
      <w:r>
        <w:rPr>
          <w:rFonts w:ascii="Arial" w:cs="Arial" w:eastAsia="Arial" w:hAnsi="Arial"/>
          <w:sz w:val="16"/>
          <w:szCs w:val="16"/>
          <w:color w:val="auto"/>
        </w:rPr>
        <w:t>and only such other business as shall have been brought before the meeting in accordance with the procedures set forth in this Section‎ 2.09 shall be conducted at a meeting of shareholders. Notwithstanding any other provision of these Bylaws, a shareholder (and any Shareholder Associated Person), shall also comply with all applicable requirements of the Exchange Act and the rules and regulations thereunder with respect to the matters set forth in this</w:t>
      </w:r>
    </w:p>
    <w:p>
      <w:pPr>
        <w:spacing w:after="0" w:line="1" w:lineRule="exact"/>
        <w:rPr>
          <w:rFonts w:ascii="Arial" w:cs="Arial" w:eastAsia="Arial" w:hAnsi="Arial"/>
          <w:sz w:val="16"/>
          <w:szCs w:val="16"/>
          <w:color w:val="auto"/>
        </w:rPr>
      </w:pPr>
    </w:p>
    <w:p>
      <w:pPr>
        <w:ind w:right="220"/>
        <w:spacing w:after="0" w:line="281" w:lineRule="auto"/>
        <w:rPr>
          <w:rFonts w:ascii="Arial" w:cs="Arial" w:eastAsia="Arial" w:hAnsi="Arial"/>
          <w:sz w:val="16"/>
          <w:szCs w:val="16"/>
          <w:color w:val="auto"/>
        </w:rPr>
      </w:pPr>
      <w:r>
        <w:rPr>
          <w:rFonts w:ascii="Arial" w:cs="Arial" w:eastAsia="Arial" w:hAnsi="Arial"/>
          <w:sz w:val="16"/>
          <w:szCs w:val="16"/>
          <w:color w:val="auto"/>
        </w:rPr>
        <w:t>Section‎ 2.09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references in these Bylaws to the Exchange Act or the rules and regulations promulgated thereunder are not intended to and shall not limit any requirements applicable to nominations or proposals as to any other business to be considered pursuant to this Section‎</w:t>
      </w:r>
    </w:p>
    <w:p>
      <w:pPr>
        <w:spacing w:after="0" w:line="1" w:lineRule="exact"/>
        <w:rPr>
          <w:rFonts w:ascii="Arial" w:cs="Arial" w:eastAsia="Arial" w:hAnsi="Arial"/>
          <w:sz w:val="16"/>
          <w:szCs w:val="16"/>
          <w:color w:val="auto"/>
        </w:rPr>
      </w:pPr>
    </w:p>
    <w:p>
      <w:pPr>
        <w:ind w:right="60"/>
        <w:spacing w:after="0" w:line="260" w:lineRule="auto"/>
        <w:rPr>
          <w:rFonts w:ascii="Arial" w:cs="Arial" w:eastAsia="Arial" w:hAnsi="Arial"/>
          <w:sz w:val="16"/>
          <w:szCs w:val="16"/>
          <w:color w:val="auto"/>
        </w:rPr>
      </w:pPr>
      <w:r>
        <w:rPr>
          <w:rFonts w:ascii="Arial" w:cs="Arial" w:eastAsia="Arial" w:hAnsi="Arial"/>
          <w:sz w:val="18"/>
          <w:szCs w:val="18"/>
          <w:color w:val="auto"/>
        </w:rPr>
        <w:t>2.09). Each of the Board of Directors, a committee of the Board of Directors, any officer designated by the Board of Directors or a committee of the Board of Directors, or the presiding officer of</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3" w:name="page14"/>
    <w:bookmarkEnd w:id="13"/>
    <w:p>
      <w:pPr>
        <w:spacing w:after="0" w:line="283" w:lineRule="auto"/>
        <w:rPr>
          <w:sz w:val="20"/>
          <w:szCs w:val="20"/>
          <w:color w:val="auto"/>
        </w:rPr>
      </w:pPr>
      <w:r>
        <w:rPr>
          <w:rFonts w:ascii="Arial" w:cs="Arial" w:eastAsia="Arial" w:hAnsi="Arial"/>
          <w:sz w:val="16"/>
          <w:szCs w:val="16"/>
          <w:color w:val="auto"/>
        </w:rPr>
        <w:t>the meeting shall have the power and duty to determine whether a nomination or any other business proposed to be brought before the meeting was made or proposed, as the case may be, in accordance with the procedures set forth in these Bylaws, including, for the avoidance of doubt, whether the shareholder giving the Shareholder Notice seeking nomination and the beneficial owner, if any, on whose behalf the nomination is made, has complied or failed to comply with the information and solicitation requirements set forth in these Bylaws and requirements of Rule 14a-19 under the Exchange Act and/or provided or failed to provide satisfactory documentation that such requirements had been met. If any proposed nomination or other business is not in compliance with these Bylaws, including due to failure to comply with requirements of Rule 14a-19 under the Exchange Act (or failure to timely provide documentation sufficient to satisfy the Corporation that such nomination complies with the requirements of Rule 14a-19 under the Exchange Act in accordance with ‎Section 2.09(a)(iii)(D)), then except as otherwise required by law, the presiding officer of the meeting shall declare that any such nomination shall be disregarded or such other business shall not be transacted, notwithstanding that votes and proxies in respect of such vote may have been received by the Corporation (which votes and proxies, if any, and for the avoidance of doubt, shall also be disregarded). In furtherance and not by way</w:t>
      </w:r>
    </w:p>
    <w:p>
      <w:pPr>
        <w:spacing w:after="0" w:line="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of limitation of the foregoing provisions of this Section‎ 2.09, unless otherwise required by law, or otherwise determined by the Board of Directors, a committee of the Board of Directors, any officer designated by the Board of Directors or a committee of the Board of Directors, or the Chair or presiding officer of the meeting, (i) if the shareholder does not provide the information required under ‎Section 2.09(a) or ‎Section 3.10 to the Corporation within the time frames specified therein, or (ii) if the shareholder (or a Qualified Representative thereof) does not appear at the annual or special meeting of shareholders of the Corporation to present a nomination or other business, any such nomination shall be disregarded and such other business shall not be transacted, notwithstanding that votes and proxies in respect of such vote may have been received by the Corporation (which votes and proxies, if any, and for the avoidance of doubt, shall also be disregarded).</w:t>
      </w:r>
    </w:p>
    <w:p>
      <w:pPr>
        <w:spacing w:after="0" w:line="180" w:lineRule="exact"/>
        <w:rPr>
          <w:sz w:val="20"/>
          <w:szCs w:val="20"/>
          <w:color w:val="auto"/>
        </w:rPr>
      </w:pPr>
    </w:p>
    <w:p>
      <w:pPr>
        <w:ind w:left="1820" w:hanging="516"/>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1" w:lineRule="exact"/>
        <w:rPr>
          <w:rFonts w:ascii="Arial" w:cs="Arial" w:eastAsia="Arial" w:hAnsi="Arial"/>
          <w:sz w:val="18"/>
          <w:szCs w:val="18"/>
          <w:color w:val="auto"/>
        </w:rPr>
      </w:pPr>
    </w:p>
    <w:p>
      <w:pPr>
        <w:jc w:val="both"/>
        <w:ind w:left="660" w:right="120" w:firstLine="1292"/>
        <w:spacing w:after="0" w:line="263" w:lineRule="auto"/>
        <w:tabs>
          <w:tab w:leader="none" w:pos="2441"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purposes of these Bylaws, a “</w:t>
      </w:r>
      <w:r>
        <w:rPr>
          <w:rFonts w:ascii="Arial" w:cs="Arial" w:eastAsia="Arial" w:hAnsi="Arial"/>
          <w:sz w:val="18"/>
          <w:szCs w:val="18"/>
          <w:b w:val="1"/>
          <w:bCs w:val="1"/>
          <w:color w:val="auto"/>
        </w:rPr>
        <w:t>Shareholder Associated Person</w:t>
      </w:r>
      <w:r>
        <w:rPr>
          <w:rFonts w:ascii="Arial" w:cs="Arial" w:eastAsia="Arial" w:hAnsi="Arial"/>
          <w:sz w:val="18"/>
          <w:szCs w:val="18"/>
          <w:color w:val="auto"/>
        </w:rPr>
        <w:t xml:space="preserve">” of any shareholder means: (A) any beneficial owner of shares of stock of the Corporation on whose behalf any proposal or nomination is made by such shareholder; (B) any affiliates or associates of such shareholder or any beneficial owner described in clause </w:t>
      </w:r>
      <w:r>
        <w:rPr>
          <w:rFonts w:ascii="Arial" w:cs="Arial" w:eastAsia="Arial" w:hAnsi="Arial"/>
          <w:sz w:val="19"/>
          <w:szCs w:val="19"/>
          <w:i w:val="1"/>
          <w:iCs w:val="1"/>
          <w:color w:val="auto"/>
        </w:rPr>
        <w:t>‎</w:t>
      </w:r>
      <w:r>
        <w:rPr>
          <w:rFonts w:ascii="Arial" w:cs="Arial" w:eastAsia="Arial" w:hAnsi="Arial"/>
          <w:sz w:val="18"/>
          <w:szCs w:val="18"/>
          <w:color w:val="auto"/>
        </w:rPr>
        <w:t xml:space="preserve">(A); and (C) any affiliate who controls such shareholder or any beneficial owner described in clause </w:t>
      </w:r>
      <w:r>
        <w:rPr>
          <w:rFonts w:ascii="Arial" w:cs="Arial" w:eastAsia="Arial" w:hAnsi="Arial"/>
          <w:sz w:val="19"/>
          <w:szCs w:val="19"/>
          <w:i w:val="1"/>
          <w:iCs w:val="1"/>
          <w:color w:val="auto"/>
        </w:rPr>
        <w:t>‎</w:t>
      </w:r>
      <w:r>
        <w:rPr>
          <w:rFonts w:ascii="Arial" w:cs="Arial" w:eastAsia="Arial" w:hAnsi="Arial"/>
          <w:sz w:val="18"/>
          <w:szCs w:val="18"/>
          <w:color w:val="auto"/>
        </w:rPr>
        <w:t>(A).</w:t>
      </w:r>
    </w:p>
    <w:p>
      <w:pPr>
        <w:spacing w:after="0" w:line="176" w:lineRule="exact"/>
        <w:rPr>
          <w:rFonts w:ascii="Arial" w:cs="Arial" w:eastAsia="Arial" w:hAnsi="Arial"/>
          <w:sz w:val="18"/>
          <w:szCs w:val="18"/>
          <w:color w:val="auto"/>
        </w:rPr>
      </w:pPr>
    </w:p>
    <w:p>
      <w:pPr>
        <w:ind w:left="660" w:right="160" w:firstLine="1292"/>
        <w:spacing w:after="0" w:line="258" w:lineRule="auto"/>
        <w:tabs>
          <w:tab w:leader="none" w:pos="2491"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9"/>
          <w:szCs w:val="19"/>
          <w:i w:val="1"/>
          <w:iCs w:val="1"/>
          <w:color w:val="auto"/>
        </w:rPr>
        <w:t>‎</w:t>
      </w:r>
      <w:r>
        <w:rPr>
          <w:rFonts w:ascii="Arial" w:cs="Arial" w:eastAsia="Arial" w:hAnsi="Arial"/>
          <w:sz w:val="18"/>
          <w:szCs w:val="18"/>
          <w:color w:val="auto"/>
        </w:rPr>
        <w:t xml:space="preserve">Section 2.09 and </w:t>
      </w:r>
      <w:r>
        <w:rPr>
          <w:rFonts w:ascii="Arial" w:cs="Arial" w:eastAsia="Arial" w:hAnsi="Arial"/>
          <w:sz w:val="19"/>
          <w:szCs w:val="19"/>
          <w:i w:val="1"/>
          <w:iCs w:val="1"/>
          <w:color w:val="auto"/>
        </w:rPr>
        <w:t>‎</w:t>
      </w:r>
      <w:r>
        <w:rPr>
          <w:rFonts w:ascii="Arial" w:cs="Arial" w:eastAsia="Arial" w:hAnsi="Arial"/>
          <w:sz w:val="18"/>
          <w:szCs w:val="18"/>
          <w:color w:val="auto"/>
        </w:rPr>
        <w:t>Section 3.11 of these Bylaws, the “</w:t>
      </w:r>
      <w:r>
        <w:rPr>
          <w:rFonts w:ascii="Arial" w:cs="Arial" w:eastAsia="Arial" w:hAnsi="Arial"/>
          <w:sz w:val="18"/>
          <w:szCs w:val="18"/>
          <w:b w:val="1"/>
          <w:bCs w:val="1"/>
          <w:color w:val="auto"/>
        </w:rPr>
        <w:t>Close of Business</w:t>
      </w:r>
      <w:r>
        <w:rPr>
          <w:rFonts w:ascii="Arial" w:cs="Arial" w:eastAsia="Arial" w:hAnsi="Arial"/>
          <w:sz w:val="18"/>
          <w:szCs w:val="18"/>
          <w:color w:val="auto"/>
        </w:rPr>
        <w:t>” shall mean 6:00 p.m. local time at the principal executive offices of the Corporation on any calendar day, whether or not the day is a business day. A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Announcement</w:t>
      </w:r>
      <w:r>
        <w:rPr>
          <w:rFonts w:ascii="Arial" w:cs="Arial" w:eastAsia="Arial" w:hAnsi="Arial"/>
          <w:sz w:val="18"/>
          <w:szCs w:val="18"/>
          <w:color w:val="auto"/>
        </w:rPr>
        <w:t>” shall mean disclosure in a press release reported by the Dow Jones News Service, Associated Press or a comparable 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news service or in a document publicly filed by the Corporation with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pursuant to Section 13, 14 or 15(d) of the Exchange Act.</w:t>
      </w:r>
    </w:p>
    <w:p>
      <w:pPr>
        <w:spacing w:after="0" w:line="183" w:lineRule="exact"/>
        <w:rPr>
          <w:rFonts w:ascii="Arial" w:cs="Arial" w:eastAsia="Arial" w:hAnsi="Arial"/>
          <w:sz w:val="18"/>
          <w:szCs w:val="18"/>
          <w:color w:val="auto"/>
        </w:rPr>
      </w:pPr>
    </w:p>
    <w:p>
      <w:pPr>
        <w:ind w:left="660" w:right="160" w:firstLine="1292"/>
        <w:spacing w:after="0" w:line="282" w:lineRule="auto"/>
        <w:tabs>
          <w:tab w:leader="none" w:pos="2541"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purposes of clause (4)‎ of Section‎ 2.09(a)(iii)(C) shares shall be treated as “</w:t>
      </w:r>
      <w:r>
        <w:rPr>
          <w:rFonts w:ascii="Arial" w:cs="Arial" w:eastAsia="Arial" w:hAnsi="Arial"/>
          <w:sz w:val="18"/>
          <w:szCs w:val="18"/>
          <w:b w:val="1"/>
          <w:bCs w:val="1"/>
          <w:color w:val="auto"/>
        </w:rPr>
        <w:t>Beneficially Owned</w:t>
      </w:r>
      <w:r>
        <w:rPr>
          <w:rFonts w:ascii="Arial" w:cs="Arial" w:eastAsia="Arial" w:hAnsi="Arial"/>
          <w:sz w:val="18"/>
          <w:szCs w:val="18"/>
          <w:color w:val="auto"/>
        </w:rPr>
        <w:t>” by a person if the person (A) beneficially owns such shares, directly or indirectly, for purposes of Section 13(d) of the Exchange Act and</w:t>
      </w: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6"/>
          <w:szCs w:val="16"/>
          <w:color w:val="auto"/>
        </w:rPr>
        <w:t>Regulations 13D and 13G thereunder or (B) has or shares pursuant to any agreement, arrangement or understanding (whether or not in writing):</w:t>
      </w:r>
    </w:p>
    <w:p>
      <w:pPr>
        <w:spacing w:after="0" w:line="46" w:lineRule="exact"/>
        <w:rPr>
          <w:sz w:val="20"/>
          <w:szCs w:val="20"/>
          <w:color w:val="auto"/>
        </w:rPr>
      </w:pPr>
    </w:p>
    <w:p>
      <w:pPr>
        <w:ind w:left="660" w:hanging="4"/>
        <w:spacing w:after="0" w:line="255" w:lineRule="auto"/>
        <w:tabs>
          <w:tab w:leader="none" w:pos="9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right to acquire such shares (whether such right is exercisable immediately or only after the passage of any length of time whatsoever or the fulfillment of a condition or both); (2) the right to vote such shares, alone or in concert with others; and/or (3) investment power with respect to such shares, including the power to dispose of, or to direct the disposition of, such shares.</w:t>
      </w:r>
    </w:p>
    <w:p>
      <w:pPr>
        <w:spacing w:after="0" w:line="185" w:lineRule="exact"/>
        <w:rPr>
          <w:rFonts w:ascii="Arial" w:cs="Arial" w:eastAsia="Arial" w:hAnsi="Arial"/>
          <w:sz w:val="18"/>
          <w:szCs w:val="18"/>
          <w:color w:val="auto"/>
        </w:rPr>
      </w:pPr>
    </w:p>
    <w:p>
      <w:pPr>
        <w:ind w:left="660" w:right="120" w:firstLine="1292"/>
        <w:spacing w:after="0" w:line="274" w:lineRule="auto"/>
        <w:tabs>
          <w:tab w:leader="none" w:pos="2527" w:val="left"/>
        </w:tabs>
        <w:numPr>
          <w:ilvl w:val="2"/>
          <w:numId w:val="15"/>
        </w:numPr>
        <w:rPr>
          <w:rFonts w:ascii="Arial" w:cs="Arial" w:eastAsia="Arial" w:hAnsi="Arial"/>
          <w:sz w:val="17"/>
          <w:szCs w:val="17"/>
          <w:color w:val="auto"/>
        </w:rPr>
      </w:pPr>
      <w:r>
        <w:rPr>
          <w:rFonts w:ascii="Arial" w:cs="Arial" w:eastAsia="Arial" w:hAnsi="Arial"/>
          <w:sz w:val="17"/>
          <w:szCs w:val="17"/>
          <w:color w:val="auto"/>
        </w:rPr>
        <w:t>To be considered a “</w:t>
      </w:r>
      <w:r>
        <w:rPr>
          <w:rFonts w:ascii="Arial" w:cs="Arial" w:eastAsia="Arial" w:hAnsi="Arial"/>
          <w:sz w:val="17"/>
          <w:szCs w:val="17"/>
          <w:b w:val="1"/>
          <w:bCs w:val="1"/>
          <w:color w:val="auto"/>
        </w:rPr>
        <w:t>Qualified Representative</w:t>
      </w:r>
      <w:r>
        <w:rPr>
          <w:rFonts w:ascii="Arial" w:cs="Arial" w:eastAsia="Arial" w:hAnsi="Arial"/>
          <w:sz w:val="17"/>
          <w:szCs w:val="17"/>
          <w:color w:val="auto"/>
        </w:rPr>
        <w:t>” of a shareholder for purposes of these Bylaws, a person must be a duly authorized officer, manager or partner of such shareholder or authorized by a writing executed by such shareholder (or a reliable reproduction of the writing) or an electronic transmission delivered by such shareholder to the Corporation prior to the making of a nomination or proposal at a meeting of shareholders (and in any event no later than 24 hours before the meeting) stating that such person is authorized to act for such shareholder as proxy at the meeting of shareholders, which writing or electronic transmission (or a reliable reproduction of the writing or electronic transmission) must be produced by such person at the meeting of shareholders.</w:t>
      </w:r>
    </w:p>
    <w:p>
      <w:pPr>
        <w:spacing w:after="0" w:line="177" w:lineRule="exact"/>
        <w:rPr>
          <w:rFonts w:ascii="Arial" w:cs="Arial" w:eastAsia="Arial" w:hAnsi="Arial"/>
          <w:sz w:val="17"/>
          <w:szCs w:val="17"/>
          <w:color w:val="auto"/>
        </w:rPr>
      </w:pPr>
    </w:p>
    <w:p>
      <w:pPr>
        <w:ind w:right="160" w:firstLine="1304"/>
        <w:spacing w:after="0" w:line="287" w:lineRule="auto"/>
        <w:tabs>
          <w:tab w:leader="none" w:pos="1807"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This Section</w:t>
      </w:r>
      <w:r>
        <w:rPr>
          <w:rFonts w:ascii="Arial" w:cs="Arial" w:eastAsia="Arial" w:hAnsi="Arial"/>
          <w:sz w:val="16"/>
          <w:szCs w:val="16"/>
          <w:i w:val="1"/>
          <w:iCs w:val="1"/>
          <w:color w:val="auto"/>
        </w:rPr>
        <w:t>‎</w:t>
      </w:r>
      <w:r>
        <w:rPr>
          <w:rFonts w:ascii="Arial" w:cs="Arial" w:eastAsia="Arial" w:hAnsi="Arial"/>
          <w:sz w:val="16"/>
          <w:szCs w:val="16"/>
          <w:color w:val="auto"/>
        </w:rPr>
        <w:t xml:space="preserve"> 2.09 shall not apply to a proposal proposed to be made by a shareholder if the shareholder has notified the Corporation of the shareholder’s intention to present the proposal at a meeting of shareholders only pursuant to and in compliance with Rule 14a-8 under the Exchange Act and such proposal has been included in a proxy statement that has been prepared by the Corporation to solicit proxies for such meeting.</w:t>
      </w:r>
    </w:p>
    <w:p>
      <w:pPr>
        <w:spacing w:after="0" w:line="2" w:lineRule="exact"/>
        <w:rPr>
          <w:rFonts w:ascii="Arial" w:cs="Arial" w:eastAsia="Arial" w:hAnsi="Arial"/>
          <w:sz w:val="16"/>
          <w:szCs w:val="16"/>
          <w:color w:val="auto"/>
        </w:rPr>
      </w:pPr>
    </w:p>
    <w:p>
      <w:pPr>
        <w:ind w:right="40"/>
        <w:spacing w:after="0" w:line="260" w:lineRule="auto"/>
        <w:rPr>
          <w:rFonts w:ascii="Arial" w:cs="Arial" w:eastAsia="Arial" w:hAnsi="Arial"/>
          <w:sz w:val="16"/>
          <w:szCs w:val="16"/>
          <w:color w:val="auto"/>
        </w:rPr>
      </w:pPr>
      <w:r>
        <w:rPr>
          <w:rFonts w:ascii="Arial" w:cs="Arial" w:eastAsia="Arial" w:hAnsi="Arial"/>
          <w:sz w:val="18"/>
          <w:szCs w:val="18"/>
          <w:color w:val="auto"/>
        </w:rPr>
        <w:t>Nothing in this Section‎ 2.09 shall be deemed to affect any rights of the holders of any series of Preferred Stock to elect Directors pursuant to any applicable provisions of the Articles of Incorporation (including any Preferred Stock designation).</w:t>
      </w:r>
    </w:p>
    <w:p>
      <w:pPr>
        <w:spacing w:after="0" w:line="185" w:lineRule="exact"/>
        <w:rPr>
          <w:rFonts w:ascii="Arial" w:cs="Arial" w:eastAsia="Arial" w:hAnsi="Arial"/>
          <w:sz w:val="16"/>
          <w:szCs w:val="16"/>
          <w:color w:val="auto"/>
        </w:rPr>
      </w:pPr>
    </w:p>
    <w:p>
      <w:pPr>
        <w:ind w:right="380" w:firstLine="1304"/>
        <w:spacing w:after="0" w:line="277" w:lineRule="auto"/>
        <w:tabs>
          <w:tab w:leader="none" w:pos="178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shareholder directly or indirectly soliciting proxies from other shareholders must use a proxy card color other than white, which shall be reserved for the exclusive use for solicitation by the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Conduct Of Meetings Of Shareholders</w:t>
      </w:r>
      <w:r>
        <w:rPr>
          <w:rFonts w:ascii="Arial" w:cs="Arial" w:eastAsia="Arial" w:hAnsi="Arial"/>
          <w:sz w:val="18"/>
          <w:szCs w:val="18"/>
          <w:color w:val="auto"/>
        </w:rPr>
        <w:t>.</w:t>
      </w:r>
    </w:p>
    <w:p>
      <w:pPr>
        <w:spacing w:after="0" w:line="225" w:lineRule="exact"/>
        <w:rPr>
          <w:sz w:val="20"/>
          <w:szCs w:val="20"/>
          <w:color w:val="auto"/>
        </w:rPr>
      </w:pPr>
    </w:p>
    <w:p>
      <w:pPr>
        <w:jc w:val="both"/>
        <w:ind w:right="40" w:firstLine="1304"/>
        <w:spacing w:after="0" w:line="259" w:lineRule="auto"/>
        <w:tabs>
          <w:tab w:leader="none" w:pos="18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Presiding Officer. There shall be a presiding officer at every meeting of the shareholders. Subject to Article SIXTH of the Articles of Incorporation, the presiding officer shall be appointed by the Board of Directors or in the manner authorized by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 presiding officer is not designated by the Board of Directors or in the manner authorized by the Board of Directors, the Chairman of the Board shall be the presiding officer.</w:t>
      </w:r>
    </w:p>
    <w:p>
      <w:pPr>
        <w:spacing w:after="0" w:line="186" w:lineRule="exact"/>
        <w:rPr>
          <w:rFonts w:ascii="Arial" w:cs="Arial" w:eastAsia="Arial" w:hAnsi="Arial"/>
          <w:sz w:val="18"/>
          <w:szCs w:val="18"/>
          <w:color w:val="auto"/>
        </w:rPr>
      </w:pPr>
    </w:p>
    <w:p>
      <w:pPr>
        <w:ind w:right="140" w:firstLine="1304"/>
        <w:spacing w:after="0" w:line="257" w:lineRule="auto"/>
        <w:tabs>
          <w:tab w:leader="none" w:pos="18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Authority of Presiding Officer. Except as prescribed by the Board of Directors, the presiding officer shall determine the order of business and shall have the authority to establish and enforce rules for the conduct of the meeting of the shareholders and the safety of those in attendance as, in the judgment of the presiding officer, are necessary, appropriate or convenient for the conduct of the meeting. The presiding officer, in addition to making any other determinations that may be appropriate to the conduct of the meeting, shall declare that a nomination or other business was not properly brought before the meeting if the facts warrant</w:t>
      </w: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(including if a determination is made that a nomination or other business was not made or proposed, as the case may be, in accordance with Section‎ 2.09 or</w:t>
      </w:r>
    </w:p>
    <w:p>
      <w:pPr>
        <w:spacing w:after="0" w:line="46"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Section‎ 3.11 of these Bylaws), and if such presiding officer should so declare, such nomination shall be disregarded or such other business shall not be transacted.</w:t>
      </w:r>
    </w:p>
    <w:p>
      <w:pPr>
        <w:spacing w:after="0" w:line="157" w:lineRule="exact"/>
        <w:rPr>
          <w:sz w:val="20"/>
          <w:szCs w:val="20"/>
          <w:color w:val="auto"/>
        </w:rPr>
      </w:pPr>
    </w:p>
    <w:p>
      <w:pPr>
        <w:ind w:right="220" w:firstLine="1304"/>
        <w:spacing w:after="0" w:line="263" w:lineRule="auto"/>
        <w:tabs>
          <w:tab w:leader="none" w:pos="18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Procedural Standard. Any action by the presiding officer in adopting rules for, and in conducting, a meeting of the shareholders shall be fair to the shareholders. The conduct of the meeting need not follow Robert’s Rules of Order or any other published rules for the conduct of a meeting.</w:t>
      </w:r>
    </w:p>
    <w:p>
      <w:pPr>
        <w:spacing w:after="0" w:line="183" w:lineRule="exact"/>
        <w:rPr>
          <w:rFonts w:ascii="Arial" w:cs="Arial" w:eastAsia="Arial" w:hAnsi="Arial"/>
          <w:sz w:val="18"/>
          <w:szCs w:val="18"/>
          <w:color w:val="auto"/>
        </w:rPr>
      </w:pPr>
    </w:p>
    <w:p>
      <w:pPr>
        <w:ind w:right="100" w:firstLine="1304"/>
        <w:spacing w:after="0" w:line="263" w:lineRule="auto"/>
        <w:tabs>
          <w:tab w:leader="none" w:pos="18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Closing of the Polls. The presiding officer shall announce at the meeting of the shareholders when the polls close for each matter voted upon. If no announcement is made, the polls shall be deemed to have closed upon the final adjournment of the meeting. After the polls close, no ballots, proxies or votes, nor any revocations or changes thereto, may be accepted.</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3</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Board of Directors.</w:t>
      </w:r>
    </w:p>
    <w:p>
      <w:pPr>
        <w:spacing w:after="0" w:line="225" w:lineRule="exact"/>
        <w:rPr>
          <w:sz w:val="20"/>
          <w:szCs w:val="20"/>
          <w:color w:val="auto"/>
        </w:rPr>
      </w:pPr>
    </w:p>
    <w:p>
      <w:pPr>
        <w:ind w:right="320" w:firstLine="1304"/>
        <w:spacing w:after="0" w:line="263" w:lineRule="auto"/>
        <w:tabs>
          <w:tab w:leader="none" w:pos="18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Number. The number of Directors shall be as determined by the Board of Directors from time to time.</w:t>
      </w:r>
    </w:p>
    <w:p>
      <w:pPr>
        <w:spacing w:after="0" w:line="225" w:lineRule="exact"/>
        <w:rPr>
          <w:rFonts w:ascii="Arial" w:cs="Arial" w:eastAsia="Arial" w:hAnsi="Arial"/>
          <w:sz w:val="18"/>
          <w:szCs w:val="18"/>
          <w:color w:val="auto"/>
        </w:rPr>
      </w:pPr>
    </w:p>
    <w:p>
      <w:pPr>
        <w:ind w:firstLine="1304"/>
        <w:spacing w:after="0" w:line="275" w:lineRule="auto"/>
        <w:tabs>
          <w:tab w:leader="none" w:pos="1807" w:val="left"/>
        </w:tabs>
        <w:numPr>
          <w:ilvl w:val="0"/>
          <w:numId w:val="18"/>
        </w:numPr>
        <w:rPr>
          <w:rFonts w:ascii="Arial" w:cs="Arial" w:eastAsia="Arial" w:hAnsi="Arial"/>
          <w:sz w:val="17"/>
          <w:szCs w:val="17"/>
          <w:color w:val="auto"/>
        </w:rPr>
      </w:pPr>
      <w:r>
        <w:rPr>
          <w:rFonts w:ascii="Arial" w:cs="Arial" w:eastAsia="Arial" w:hAnsi="Arial"/>
          <w:sz w:val="17"/>
          <w:szCs w:val="17"/>
          <w:color w:val="auto"/>
        </w:rPr>
        <w:t>Vacancies.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176" w:lineRule="exact"/>
        <w:rPr>
          <w:rFonts w:ascii="Arial" w:cs="Arial" w:eastAsia="Arial" w:hAnsi="Arial"/>
          <w:sz w:val="17"/>
          <w:szCs w:val="17"/>
          <w:color w:val="auto"/>
        </w:rPr>
      </w:pPr>
    </w:p>
    <w:p>
      <w:pPr>
        <w:ind w:right="120" w:firstLine="1304"/>
        <w:spacing w:after="0" w:line="277" w:lineRule="auto"/>
        <w:tabs>
          <w:tab w:leader="none" w:pos="18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Removal. The entire Board of Directors or any individual Director may be removed from office only for cause by the vote of the shareholders entitled to elect directors.</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Qualification. A Director must be a natural person at least 18 years of age.</w:t>
      </w:r>
    </w:p>
    <w:p>
      <w:pPr>
        <w:spacing w:after="0" w:line="225" w:lineRule="exact"/>
        <w:rPr>
          <w:sz w:val="20"/>
          <w:szCs w:val="20"/>
          <w:color w:val="auto"/>
        </w:rPr>
      </w:pPr>
    </w:p>
    <w:p>
      <w:pPr>
        <w:ind w:right="840" w:firstLine="648"/>
        <w:spacing w:after="0" w:line="342"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Place of Meetings</w:t>
      </w:r>
      <w:r>
        <w:rPr>
          <w:rFonts w:ascii="Arial" w:cs="Arial" w:eastAsia="Arial" w:hAnsi="Arial"/>
          <w:sz w:val="16"/>
          <w:szCs w:val="16"/>
          <w:color w:val="auto"/>
        </w:rPr>
        <w:t>. Meetings of the Board of Directors may be held at such place within or without the Commonwealth of Pennsylvania as the Board of Directors may appoint from time to time or as may be designated in the notice of the meeting.</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6" w:name="page17"/>
    <w:bookmarkEnd w:id="16"/>
    <w:p>
      <w:pPr>
        <w:ind w:right="160" w:firstLine="648"/>
        <w:spacing w:after="0" w:line="259"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Regular Meetings</w:t>
      </w:r>
      <w:r>
        <w:rPr>
          <w:rFonts w:ascii="Arial" w:cs="Arial" w:eastAsia="Arial" w:hAnsi="Arial"/>
          <w:sz w:val="18"/>
          <w:szCs w:val="18"/>
          <w:color w:val="auto"/>
        </w:rPr>
        <w:t>. A regular meeting of the Board of Directors shall be held at least annually at such place and time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18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Special Meetings</w:t>
      </w:r>
      <w:r>
        <w:rPr>
          <w:rFonts w:ascii="Arial" w:cs="Arial" w:eastAsia="Arial" w:hAnsi="Arial"/>
          <w:sz w:val="18"/>
          <w:szCs w:val="18"/>
          <w:color w:val="auto"/>
        </w:rPr>
        <w:t>.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18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Participation in Meetings by Electronic Means</w:t>
      </w:r>
      <w:r>
        <w:rPr>
          <w:rFonts w:ascii="Arial" w:cs="Arial" w:eastAsia="Arial" w:hAnsi="Arial"/>
          <w:sz w:val="18"/>
          <w:szCs w:val="18"/>
          <w:color w:val="auto"/>
        </w:rPr>
        <w:t>. Any Director may participate in any meeting of the Board of Directors or of any committee (provided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means, including, without limitation, the Internet, by means of which all persons participating in the meeting can hear each other.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Notices of Meetings of Board of Directors.</w:t>
      </w:r>
    </w:p>
    <w:p>
      <w:pPr>
        <w:spacing w:after="0" w:line="225" w:lineRule="exact"/>
        <w:rPr>
          <w:sz w:val="20"/>
          <w:szCs w:val="20"/>
          <w:color w:val="auto"/>
        </w:rPr>
      </w:pPr>
    </w:p>
    <w:p>
      <w:pPr>
        <w:ind w:left="1820" w:hanging="516"/>
        <w:spacing w:after="0"/>
        <w:tabs>
          <w:tab w:leader="none" w:pos="1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Regular Meetings. No notice shall be required to be given of any regular meeting, unless the same is held at other than the place,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date or time for holding such meeting as fixed in accordance with Section‎ 3.03 of these Bylaws, in which event 48 hours’ notice shall be given of the place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time of such meeting complying with Article‎ 6 of these Bylaws.</w:t>
      </w:r>
    </w:p>
    <w:p>
      <w:pPr>
        <w:spacing w:after="0" w:line="210" w:lineRule="exact"/>
        <w:rPr>
          <w:rFonts w:ascii="Arial" w:cs="Arial" w:eastAsia="Arial" w:hAnsi="Arial"/>
          <w:sz w:val="16"/>
          <w:szCs w:val="16"/>
          <w:color w:val="auto"/>
        </w:rPr>
      </w:pPr>
    </w:p>
    <w:p>
      <w:pPr>
        <w:ind w:left="1820" w:hanging="516"/>
        <w:spacing w:after="0"/>
        <w:tabs>
          <w:tab w:leader="none" w:pos="1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Special Meetings. Written notice stating the place, date and time of any special meeting of the Board of Directors shall be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sufficient if given at least 48 hours, as provided in Article‎ 6, in advance of the date and time fixed for the meeting.</w:t>
      </w:r>
    </w:p>
    <w:p>
      <w:pPr>
        <w:spacing w:after="0" w:line="21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i w:val="1"/>
          <w:iCs w:val="1"/>
          <w:color w:val="auto"/>
        </w:rPr>
        <w:t>Quorum; Action by the Board of Directors</w:t>
      </w:r>
      <w:r>
        <w:rPr>
          <w:rFonts w:ascii="Arial" w:cs="Arial" w:eastAsia="Arial" w:hAnsi="Arial"/>
          <w:sz w:val="17"/>
          <w:szCs w:val="17"/>
          <w:color w:val="auto"/>
        </w:rPr>
        <w:t>. A majority of the Directors in office shall be necessary to constitute a quorum for the 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171"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i w:val="1"/>
          <w:iCs w:val="1"/>
          <w:color w:val="auto"/>
        </w:rPr>
        <w:t>Informal Action by the Board of Directors</w:t>
      </w:r>
      <w:r>
        <w:rPr>
          <w:rFonts w:ascii="Arial" w:cs="Arial" w:eastAsia="Arial" w:hAnsi="Arial"/>
          <w:sz w:val="16"/>
          <w:szCs w:val="16"/>
          <w:color w:val="auto"/>
        </w:rPr>
        <w:t>. Any action required or permitted to be taken at a meeting of the Board of Directors may be taken without a meeting if, prior or subsequent to the action, a consent or consents thereto by all of the Directors in office is filed with the Secretary.</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Committees.</w:t>
      </w:r>
    </w:p>
    <w:p>
      <w:pPr>
        <w:spacing w:after="0" w:line="225" w:lineRule="exact"/>
        <w:rPr>
          <w:sz w:val="20"/>
          <w:szCs w:val="20"/>
          <w:color w:val="auto"/>
        </w:rPr>
      </w:pPr>
    </w:p>
    <w:p>
      <w:pPr>
        <w:ind w:right="20" w:firstLine="1304"/>
        <w:spacing w:after="0" w:line="259" w:lineRule="auto"/>
        <w:tabs>
          <w:tab w:leader="none" w:pos="18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Establishment and Powers.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186" w:lineRule="exact"/>
        <w:rPr>
          <w:rFonts w:ascii="Arial" w:cs="Arial" w:eastAsia="Arial" w:hAnsi="Arial"/>
          <w:sz w:val="18"/>
          <w:szCs w:val="18"/>
          <w:color w:val="auto"/>
        </w:rPr>
      </w:pPr>
    </w:p>
    <w:p>
      <w:pPr>
        <w:ind w:left="2440" w:hanging="488"/>
        <w:spacing w:after="0"/>
        <w:tabs>
          <w:tab w:leader="none" w:pos="2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submission to shareholders of any action requiring approval of shareholders under the Pennsylvania BCL.</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creation or filling of vacancies in the Board of Directors.</w:t>
      </w:r>
    </w:p>
    <w:p>
      <w:pPr>
        <w:spacing w:after="0" w:line="225" w:lineRule="exact"/>
        <w:rPr>
          <w:rFonts w:ascii="Arial" w:cs="Arial" w:eastAsia="Arial" w:hAnsi="Arial"/>
          <w:sz w:val="18"/>
          <w:szCs w:val="18"/>
          <w:color w:val="auto"/>
        </w:rPr>
      </w:pPr>
    </w:p>
    <w:p>
      <w:pPr>
        <w:ind w:left="2540" w:hanging="588"/>
        <w:spacing w:after="0"/>
        <w:tabs>
          <w:tab w:leader="none" w:pos="2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adoption, amendment or repeal of the Bylaws.</w:t>
      </w:r>
    </w:p>
    <w:p>
      <w:pPr>
        <w:spacing w:after="0" w:line="225" w:lineRule="exact"/>
        <w:rPr>
          <w:rFonts w:ascii="Arial" w:cs="Arial" w:eastAsia="Arial" w:hAnsi="Arial"/>
          <w:sz w:val="18"/>
          <w:szCs w:val="18"/>
          <w:color w:val="auto"/>
        </w:rPr>
      </w:pPr>
    </w:p>
    <w:p>
      <w:pPr>
        <w:ind w:left="660" w:right="220" w:firstLine="1292"/>
        <w:spacing w:after="0" w:line="277" w:lineRule="auto"/>
        <w:tabs>
          <w:tab w:leader="none" w:pos="2527"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amendment or repeal of any resolution of the Board of Directors that by its terms is amendable or repealable only by the Board of Directors.</w:t>
      </w:r>
    </w:p>
    <w:p>
      <w:pPr>
        <w:spacing w:after="0" w:line="170" w:lineRule="exact"/>
        <w:rPr>
          <w:rFonts w:ascii="Arial" w:cs="Arial" w:eastAsia="Arial" w:hAnsi="Arial"/>
          <w:sz w:val="18"/>
          <w:szCs w:val="18"/>
          <w:color w:val="auto"/>
        </w:rPr>
      </w:pPr>
    </w:p>
    <w:p>
      <w:pPr>
        <w:ind w:left="660" w:right="460" w:firstLine="1292"/>
        <w:spacing w:after="0" w:line="277" w:lineRule="auto"/>
        <w:tabs>
          <w:tab w:leader="none" w:pos="2471" w:val="left"/>
        </w:tabs>
        <w:numPr>
          <w:ilvl w:val="1"/>
          <w:numId w:val="20"/>
        </w:numPr>
        <w:rPr>
          <w:rFonts w:ascii="Arial" w:cs="Arial" w:eastAsia="Arial" w:hAnsi="Arial"/>
          <w:sz w:val="18"/>
          <w:szCs w:val="18"/>
          <w:color w:val="auto"/>
        </w:rPr>
      </w:pPr>
      <w:r>
        <w:rPr>
          <w:rFonts w:ascii="Arial" w:cs="Arial" w:eastAsia="Arial" w:hAnsi="Arial"/>
          <w:sz w:val="18"/>
          <w:szCs w:val="18"/>
          <w:color w:val="auto"/>
        </w:rPr>
        <w:t>Action on matters committed by the Articles of Incorporation, the Bylaws or resolution of the Board of Directors to another committee of the Board of Directors.</w:t>
      </w:r>
    </w:p>
    <w:p>
      <w:pPr>
        <w:spacing w:after="0" w:line="170" w:lineRule="exact"/>
        <w:rPr>
          <w:rFonts w:ascii="Arial" w:cs="Arial" w:eastAsia="Arial" w:hAnsi="Arial"/>
          <w:sz w:val="18"/>
          <w:szCs w:val="18"/>
          <w:color w:val="auto"/>
        </w:rPr>
      </w:pPr>
    </w:p>
    <w:p>
      <w:pPr>
        <w:ind w:firstLine="1304"/>
        <w:spacing w:after="0" w:line="275" w:lineRule="auto"/>
        <w:tabs>
          <w:tab w:leader="none" w:pos="1811"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Alternate Members.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76" w:lineRule="exact"/>
        <w:rPr>
          <w:rFonts w:ascii="Arial" w:cs="Arial" w:eastAsia="Arial" w:hAnsi="Arial"/>
          <w:sz w:val="17"/>
          <w:szCs w:val="17"/>
          <w:color w:val="auto"/>
        </w:rPr>
      </w:pPr>
    </w:p>
    <w:p>
      <w:pPr>
        <w:ind w:left="1820" w:hanging="516"/>
        <w:spacing w:after="0"/>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 Each committee of the Board of Directors shall serve at the pleasure of the Board of Directors.</w:t>
      </w:r>
    </w:p>
    <w:p>
      <w:pPr>
        <w:spacing w:after="0" w:line="221" w:lineRule="exact"/>
        <w:rPr>
          <w:rFonts w:ascii="Arial" w:cs="Arial" w:eastAsia="Arial" w:hAnsi="Arial"/>
          <w:sz w:val="18"/>
          <w:szCs w:val="18"/>
          <w:color w:val="auto"/>
        </w:rPr>
      </w:pPr>
    </w:p>
    <w:p>
      <w:pPr>
        <w:ind w:right="100" w:firstLine="1304"/>
        <w:spacing w:after="0" w:line="258" w:lineRule="auto"/>
        <w:tabs>
          <w:tab w:leader="none" w:pos="18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Status of Committee Action. The term “</w:t>
      </w:r>
      <w:r>
        <w:rPr>
          <w:rFonts w:ascii="Arial" w:cs="Arial" w:eastAsia="Arial" w:hAnsi="Arial"/>
          <w:sz w:val="18"/>
          <w:szCs w:val="18"/>
          <w:b w:val="1"/>
          <w:bCs w:val="1"/>
          <w:color w:val="auto"/>
        </w:rPr>
        <w:t>Board of Directors</w:t>
      </w:r>
      <w:r>
        <w:rPr>
          <w:rFonts w:ascii="Arial" w:cs="Arial" w:eastAsia="Arial" w:hAnsi="Arial"/>
          <w:sz w:val="18"/>
          <w:szCs w:val="18"/>
          <w:color w:val="auto"/>
        </w:rPr>
        <w:t>” or “</w:t>
      </w:r>
      <w:r>
        <w:rPr>
          <w:rFonts w:ascii="Arial" w:cs="Arial" w:eastAsia="Arial" w:hAnsi="Arial"/>
          <w:sz w:val="18"/>
          <w:szCs w:val="18"/>
          <w:b w:val="1"/>
          <w:bCs w:val="1"/>
          <w:color w:val="auto"/>
        </w:rPr>
        <w:t>Board</w:t>
      </w:r>
      <w:r>
        <w:rPr>
          <w:rFonts w:ascii="Arial" w:cs="Arial" w:eastAsia="Arial" w:hAnsi="Arial"/>
          <w:sz w:val="18"/>
          <w:szCs w:val="18"/>
          <w:color w:val="auto"/>
        </w:rPr>
        <w:t>,”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Submission of Information by Director Nominees.</w:t>
      </w:r>
    </w:p>
    <w:p>
      <w:pPr>
        <w:spacing w:after="0" w:line="225" w:lineRule="exact"/>
        <w:rPr>
          <w:sz w:val="20"/>
          <w:szCs w:val="20"/>
          <w:color w:val="auto"/>
        </w:rPr>
      </w:pPr>
    </w:p>
    <w:p>
      <w:pPr>
        <w:ind w:right="20" w:firstLine="1304"/>
        <w:spacing w:after="0" w:line="277" w:lineRule="auto"/>
        <w:tabs>
          <w:tab w:leader="none" w:pos="18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be eligible to be a nominee for election or re-election as a Director of the Corporation, a person must deliver to the Secretary of the Corporation at the principal executive offices of the Corporation the following information:</w:t>
      </w:r>
    </w:p>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ind w:left="660" w:right="60" w:firstLine="1292"/>
        <w:spacing w:after="0" w:line="286" w:lineRule="auto"/>
        <w:tabs>
          <w:tab w:leader="none" w:pos="2441" w:val="left"/>
        </w:tabs>
        <w:numPr>
          <w:ilvl w:val="1"/>
          <w:numId w:val="22"/>
        </w:numPr>
        <w:rPr>
          <w:rFonts w:ascii="Arial" w:cs="Arial" w:eastAsia="Arial" w:hAnsi="Arial"/>
          <w:sz w:val="16"/>
          <w:szCs w:val="16"/>
          <w:color w:val="auto"/>
        </w:rPr>
      </w:pPr>
      <w:r>
        <w:rPr>
          <w:rFonts w:ascii="Arial" w:cs="Arial" w:eastAsia="Arial" w:hAnsi="Arial"/>
          <w:sz w:val="16"/>
          <w:szCs w:val="16"/>
          <w:color w:val="auto"/>
        </w:rPr>
        <w:t>a written representation and agreement, which shall be signed by such person and pursuant to which such person shall represent and agree that such person: (A) consents to serving as a Director if elected and to being named as a nominee in a proxy statement, form of proxy and ballot relating to the meeting at which Directors are to be elected, and currently intends to serve as a Director for the full term for which such person is standing for election; (B) if elected as a Director, will comply with all of the Corporation’s corporate governance, conflict of interest, confidentiality, and stock ownership and trading policies and guidelines, and any other Corporation policies and guidelines applicable to Directors (which will be promptly provided following a written request therefor); (C) understands his or her duties as a director under Pennsylvania law and agrees to act in accordance with those duties while serving as a Director; (D) is not and will not become a party to any agreement, arrangement or understanding with, and has not given any commitment or assurance to, any person or entity (other than the Corporation), with respect to any direct or indirect compensation, reimbursement or indemnification in connection with service or action as a nominee and as a Director of the Corporation if so elected that has not been disclosed to the Corporation; and (E) is not and will not become a party to any agreement, arrangement or understanding with, and has not given any commitment or assurance to, any person or entity, with respect to: (1) any agreement, arrangement or understanding with any person or entity as to how such person, if elected, will vote or act on any issue (a “</w:t>
      </w:r>
      <w:r>
        <w:rPr>
          <w:rFonts w:ascii="Arial" w:cs="Arial" w:eastAsia="Arial" w:hAnsi="Arial"/>
          <w:sz w:val="16"/>
          <w:szCs w:val="16"/>
          <w:b w:val="1"/>
          <w:bCs w:val="1"/>
          <w:color w:val="auto"/>
        </w:rPr>
        <w:t>Voting Commitment</w:t>
      </w:r>
      <w:r>
        <w:rPr>
          <w:rFonts w:ascii="Arial" w:cs="Arial" w:eastAsia="Arial" w:hAnsi="Arial"/>
          <w:sz w:val="16"/>
          <w:szCs w:val="16"/>
          <w:color w:val="auto"/>
        </w:rPr>
        <w:t>”) that has not been disclosed to the Corporation; or (2) any Voting Commitment that could limit or interfere with such person’s ability to comply, if elected, with his or her fiduciary duties under applicable law; and</w:t>
      </w:r>
    </w:p>
    <w:p>
      <w:pPr>
        <w:spacing w:after="0" w:line="170" w:lineRule="exact"/>
        <w:rPr>
          <w:rFonts w:ascii="Arial" w:cs="Arial" w:eastAsia="Arial" w:hAnsi="Arial"/>
          <w:sz w:val="16"/>
          <w:szCs w:val="16"/>
          <w:color w:val="auto"/>
        </w:rPr>
      </w:pPr>
    </w:p>
    <w:p>
      <w:pPr>
        <w:ind w:left="660" w:firstLine="1292"/>
        <w:spacing w:after="0" w:line="273" w:lineRule="auto"/>
        <w:tabs>
          <w:tab w:leader="none" w:pos="2491"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fully completed and signed questionnaires prepared by the Corporation (including those questionnaires required of the Corporation’s Directors and any other questionnaire the Corporation determines is necessary or advisable to assess whether a nominee will satisfy any qualifications or requirements imposed by the Articles of Incorporation or these Bylaws, any applicable law, rule, regulation, order or decree to which the Corporation is subject, including rules or regulations of any stock exchange on which the Corporation’s shares of common stock are listed, and the Corporation’s corporate governance policies and guidelines) (all of the foregoing, “</w:t>
      </w:r>
      <w:r>
        <w:rPr>
          <w:rFonts w:ascii="Arial" w:cs="Arial" w:eastAsia="Arial" w:hAnsi="Arial"/>
          <w:sz w:val="17"/>
          <w:szCs w:val="17"/>
          <w:b w:val="1"/>
          <w:bCs w:val="1"/>
          <w:color w:val="auto"/>
        </w:rPr>
        <w:t>Questionnaires</w:t>
      </w:r>
      <w:r>
        <w:rPr>
          <w:rFonts w:ascii="Arial" w:cs="Arial" w:eastAsia="Arial" w:hAnsi="Arial"/>
          <w:sz w:val="17"/>
          <w:szCs w:val="17"/>
          <w:color w:val="auto"/>
        </w:rPr>
        <w:t>”). The Questionnaires will be promptly provided following a written request therefor.</w:t>
      </w:r>
    </w:p>
    <w:p>
      <w:pPr>
        <w:spacing w:after="0" w:line="177" w:lineRule="exact"/>
        <w:rPr>
          <w:rFonts w:ascii="Arial" w:cs="Arial" w:eastAsia="Arial" w:hAnsi="Arial"/>
          <w:sz w:val="17"/>
          <w:szCs w:val="17"/>
          <w:color w:val="auto"/>
        </w:rPr>
      </w:pPr>
    </w:p>
    <w:p>
      <w:pPr>
        <w:ind w:right="40" w:firstLine="1304"/>
        <w:spacing w:after="0" w:line="255" w:lineRule="auto"/>
        <w:tabs>
          <w:tab w:leader="none" w:pos="18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nominee for election or re-election as a Director of the Corporation shall also provide to the Corporation such other information as it may reasonably request, which may be in the form of an interview with a nominee at the request of the Board of Directors. The Corporation may request such additional information as necessary to permit the Corporation to determine the eligibility of such person to serve as a Director, including information relevant to a determination of whether such person qualifies as independent pursuant to the Corporation’s standards in its Corporate Governance Guidelines and otherwise qualifies as independent under any other standards established by the Corporation and the rules of any stock exchange on which the Corporation’s shares of common stock are listed.</w:t>
      </w:r>
    </w:p>
    <w:p>
      <w:pPr>
        <w:spacing w:after="0" w:line="192" w:lineRule="exact"/>
        <w:rPr>
          <w:rFonts w:ascii="Arial" w:cs="Arial" w:eastAsia="Arial" w:hAnsi="Arial"/>
          <w:sz w:val="18"/>
          <w:szCs w:val="18"/>
          <w:color w:val="auto"/>
        </w:rPr>
      </w:pPr>
    </w:p>
    <w:p>
      <w:pPr>
        <w:ind w:left="1820" w:hanging="516"/>
        <w:spacing w:after="0"/>
        <w:tabs>
          <w:tab w:leader="none" w:pos="1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a shareholder has submitted notice of an intent to nominate a candidate for election or re-election as a director pursuant to</w:t>
      </w:r>
    </w:p>
    <w:p>
      <w:pPr>
        <w:spacing w:after="0" w:line="34" w:lineRule="exact"/>
        <w:rPr>
          <w:rFonts w:ascii="Arial" w:cs="Arial" w:eastAsia="Arial" w:hAnsi="Arial"/>
          <w:sz w:val="17"/>
          <w:szCs w:val="17"/>
          <w:color w:val="auto"/>
        </w:rPr>
      </w:pPr>
    </w:p>
    <w:p>
      <w:pPr>
        <w:ind w:right="80"/>
        <w:spacing w:after="0" w:line="260" w:lineRule="auto"/>
        <w:rPr>
          <w:rFonts w:ascii="Arial" w:cs="Arial" w:eastAsia="Arial" w:hAnsi="Arial"/>
          <w:sz w:val="17"/>
          <w:szCs w:val="17"/>
          <w:color w:val="auto"/>
        </w:rPr>
      </w:pPr>
      <w:r>
        <w:rPr>
          <w:rFonts w:ascii="Arial" w:cs="Arial" w:eastAsia="Arial" w:hAnsi="Arial"/>
          <w:sz w:val="18"/>
          <w:szCs w:val="18"/>
          <w:color w:val="auto"/>
        </w:rPr>
        <w:t>Section‎ 2.09 or Section‎ 3.11, all written and signed representations and agreements and all fully completed and signed Questionnaires described in Section‎ 3.10(a) shall be</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9" w:name="page20"/>
    <w:bookmarkEnd w:id="19"/>
    <w:p>
      <w:pPr>
        <w:ind w:right="300"/>
        <w:spacing w:after="0" w:line="291" w:lineRule="auto"/>
        <w:rPr>
          <w:sz w:val="20"/>
          <w:szCs w:val="20"/>
          <w:color w:val="auto"/>
        </w:rPr>
      </w:pPr>
      <w:r>
        <w:rPr>
          <w:rFonts w:ascii="Arial" w:cs="Arial" w:eastAsia="Arial" w:hAnsi="Arial"/>
          <w:sz w:val="16"/>
          <w:szCs w:val="16"/>
          <w:color w:val="auto"/>
        </w:rPr>
        <w:t>provided to the Corporation at the same time as a Shareholder Notice submitted pursuant to ‎Section 2.09 or a Nomination Notice (as defined in ‎Section 3.11(d)(i)), as applicable. The additional information described in ‎Section 3.10(b) shall be provided to the Corporation promptly upon request by the</w:t>
      </w:r>
    </w:p>
    <w:p>
      <w:pPr>
        <w:ind w:right="180"/>
        <w:spacing w:after="0" w:line="290" w:lineRule="auto"/>
        <w:rPr>
          <w:sz w:val="20"/>
          <w:szCs w:val="20"/>
          <w:color w:val="auto"/>
        </w:rPr>
      </w:pPr>
      <w:r>
        <w:rPr>
          <w:rFonts w:ascii="Arial" w:cs="Arial" w:eastAsia="Arial" w:hAnsi="Arial"/>
          <w:sz w:val="17"/>
          <w:szCs w:val="17"/>
          <w:color w:val="auto"/>
        </w:rPr>
        <w:t>Corporation, but in any event within five business days after such request. All information provided pursuant to this Section‎ 3.10 shall be deemed part of the Shareholder Notice submitted pursuant to ‎Section 2.09 or a Nomination Notice submitted pursuant to ‎Section 3.11, as applicable.</w:t>
      </w:r>
    </w:p>
    <w:p>
      <w:pPr>
        <w:spacing w:after="0" w:line="161" w:lineRule="exact"/>
        <w:rPr>
          <w:sz w:val="20"/>
          <w:szCs w:val="20"/>
          <w:color w:val="auto"/>
        </w:rPr>
      </w:pPr>
    </w:p>
    <w:p>
      <w:pPr>
        <w:ind w:right="440" w:firstLine="1304"/>
        <w:spacing w:after="0" w:line="291" w:lineRule="auto"/>
        <w:tabs>
          <w:tab w:leader="none" w:pos="1821"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Notwithstanding the foregoing, if any information submitted pursuant to this Section‎ 3.10 is inaccurate or incomplete in any material respect (as determined by the Board of Directors or any authorized committee thereof), such information shall be deemed not to have been</w:t>
      </w:r>
    </w:p>
    <w:p>
      <w:pPr>
        <w:ind w:right="60"/>
        <w:spacing w:after="0" w:line="281" w:lineRule="auto"/>
        <w:rPr>
          <w:rFonts w:ascii="Arial" w:cs="Arial" w:eastAsia="Arial" w:hAnsi="Arial"/>
          <w:sz w:val="16"/>
          <w:szCs w:val="16"/>
          <w:color w:val="auto"/>
        </w:rPr>
      </w:pPr>
      <w:r>
        <w:rPr>
          <w:rFonts w:ascii="Arial" w:cs="Arial" w:eastAsia="Arial" w:hAnsi="Arial"/>
          <w:sz w:val="16"/>
          <w:szCs w:val="16"/>
          <w:color w:val="auto"/>
        </w:rPr>
        <w:t>provided in accordance with this Section‎ 3.10 and these Bylaws. Upon written request of the Secretary of the Corporation on behalf of the Board of Directors (or a duly authorized committee thereof), the shareholder giving the Shareholder Notice shall provide, within five business days after delivery of such request (or such longer period as may be specified in such request), (i) written verification, reasonably satisfactory to the Board of Directors, any committee thereof, or any authorized officer of the Corporation, to demonstrate the accuracy and/or completeness of any information submitted and (ii) a written affirmation of any information submitted as of an earlier date. If the shareholder giving the Shareholder Notice fails to provide such written verification or affirmation within such period, the information as to which written verification or affirmation was requested shall be deemed not to have</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been provided in accordance with this Section‎ 3.10 and these Bylaws.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Proxy Access.</w:t>
      </w:r>
    </w:p>
    <w:p>
      <w:pPr>
        <w:spacing w:after="0" w:line="225" w:lineRule="exact"/>
        <w:rPr>
          <w:sz w:val="20"/>
          <w:szCs w:val="20"/>
          <w:color w:val="auto"/>
        </w:rPr>
      </w:pPr>
    </w:p>
    <w:p>
      <w:pPr>
        <w:ind w:left="1820" w:hanging="516"/>
        <w:spacing w:after="0"/>
        <w:tabs>
          <w:tab w:leader="none" w:pos="1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Inclusion of Shareholder Nominees in Corporation’s Proxy Statement.</w:t>
      </w:r>
    </w:p>
    <w:p>
      <w:pPr>
        <w:spacing w:after="0" w:line="225" w:lineRule="exact"/>
        <w:rPr>
          <w:rFonts w:ascii="Arial" w:cs="Arial" w:eastAsia="Arial" w:hAnsi="Arial"/>
          <w:sz w:val="18"/>
          <w:szCs w:val="18"/>
          <w:color w:val="auto"/>
        </w:rPr>
      </w:pPr>
    </w:p>
    <w:p>
      <w:pPr>
        <w:ind w:left="660" w:right="60" w:firstLine="1292"/>
        <w:spacing w:after="0" w:line="285" w:lineRule="auto"/>
        <w:tabs>
          <w:tab w:leader="none" w:pos="2441" w:val="left"/>
        </w:tabs>
        <w:numPr>
          <w:ilvl w:val="1"/>
          <w:numId w:val="25"/>
        </w:numPr>
        <w:rPr>
          <w:rFonts w:ascii="Arial" w:cs="Arial" w:eastAsia="Arial" w:hAnsi="Arial"/>
          <w:sz w:val="16"/>
          <w:szCs w:val="16"/>
          <w:color w:val="auto"/>
        </w:rPr>
      </w:pPr>
      <w:r>
        <w:rPr>
          <w:rFonts w:ascii="Arial" w:cs="Arial" w:eastAsia="Arial" w:hAnsi="Arial"/>
          <w:sz w:val="16"/>
          <w:szCs w:val="16"/>
          <w:color w:val="auto"/>
        </w:rPr>
        <w:t>Subject to the provisions of this Section‎ 3.11, if expressly requested in the relevant Nomination Notice (as defined below), the Corporation shall include in its proxy statement for any annual meeting of shareholders (but not at any special meeting of shareholders): (A) the names of any person or persons therein nominated for the election of Directors (each, a “</w:t>
      </w:r>
      <w:r>
        <w:rPr>
          <w:rFonts w:ascii="Arial" w:cs="Arial" w:eastAsia="Arial" w:hAnsi="Arial"/>
          <w:sz w:val="16"/>
          <w:szCs w:val="16"/>
          <w:b w:val="1"/>
          <w:bCs w:val="1"/>
          <w:color w:val="auto"/>
        </w:rPr>
        <w:t>Shareholder Nominee</w:t>
      </w:r>
      <w:r>
        <w:rPr>
          <w:rFonts w:ascii="Arial" w:cs="Arial" w:eastAsia="Arial" w:hAnsi="Arial"/>
          <w:sz w:val="16"/>
          <w:szCs w:val="16"/>
          <w:color w:val="auto"/>
        </w:rPr>
        <w:t>”), who shall also be included on the Corporation’s form of proxy and ballot, by any Eligible Shareholder (as defined below) or group of up to 20 Eligible Shareholders that, as determined by the Board of Directors, has (individually and collectively, in the case of a group) satisfied all applicable</w:t>
      </w:r>
    </w:p>
    <w:p>
      <w:pPr>
        <w:spacing w:after="0" w:line="1" w:lineRule="exact"/>
        <w:rPr>
          <w:rFonts w:ascii="Arial" w:cs="Arial" w:eastAsia="Arial" w:hAnsi="Arial"/>
          <w:sz w:val="16"/>
          <w:szCs w:val="16"/>
          <w:color w:val="auto"/>
        </w:rPr>
      </w:pPr>
    </w:p>
    <w:p>
      <w:pPr>
        <w:ind w:left="660" w:right="160"/>
        <w:spacing w:after="0" w:line="281" w:lineRule="auto"/>
        <w:rPr>
          <w:rFonts w:ascii="Arial" w:cs="Arial" w:eastAsia="Arial" w:hAnsi="Arial"/>
          <w:sz w:val="16"/>
          <w:szCs w:val="16"/>
          <w:color w:val="auto"/>
        </w:rPr>
      </w:pPr>
      <w:r>
        <w:rPr>
          <w:rFonts w:ascii="Arial" w:cs="Arial" w:eastAsia="Arial" w:hAnsi="Arial"/>
          <w:sz w:val="16"/>
          <w:szCs w:val="16"/>
          <w:color w:val="auto"/>
        </w:rPr>
        <w:t>conditions and complied with all applicable procedures and requirements set forth in this Section‎ 3.11 (such Eligible Shareholder or group of Eligible Shareholders being a “</w:t>
      </w:r>
      <w:r>
        <w:rPr>
          <w:rFonts w:ascii="Arial" w:cs="Arial" w:eastAsia="Arial" w:hAnsi="Arial"/>
          <w:sz w:val="16"/>
          <w:szCs w:val="16"/>
          <w:b w:val="1"/>
          <w:bCs w:val="1"/>
          <w:color w:val="auto"/>
        </w:rPr>
        <w:t>Nominating Shareholder</w:t>
      </w:r>
      <w:r>
        <w:rPr>
          <w:rFonts w:ascii="Arial" w:cs="Arial" w:eastAsia="Arial" w:hAnsi="Arial"/>
          <w:sz w:val="16"/>
          <w:szCs w:val="16"/>
          <w:color w:val="auto"/>
        </w:rPr>
        <w:t>”); (B) disclosure about each Shareholder Nominee and the Nominating Shareholder required under the rules of the SEC or other applicable law to be included in the proxy statement; (C) any statement included by the Nominating Shareholder in the Nomination Notice for inclusion in the proxy statement in support of each Shareholder Nominee’s election to the Board of</w:t>
      </w:r>
    </w:p>
    <w:p>
      <w:pPr>
        <w:spacing w:after="0" w:line="2" w:lineRule="exact"/>
        <w:rPr>
          <w:rFonts w:ascii="Arial" w:cs="Arial" w:eastAsia="Arial" w:hAnsi="Arial"/>
          <w:sz w:val="16"/>
          <w:szCs w:val="16"/>
          <w:color w:val="auto"/>
        </w:rPr>
      </w:pPr>
    </w:p>
    <w:p>
      <w:pPr>
        <w:ind w:left="660"/>
        <w:spacing w:after="0" w:line="295" w:lineRule="auto"/>
        <w:rPr>
          <w:rFonts w:ascii="Arial" w:cs="Arial" w:eastAsia="Arial" w:hAnsi="Arial"/>
          <w:sz w:val="16"/>
          <w:szCs w:val="16"/>
          <w:color w:val="auto"/>
        </w:rPr>
      </w:pPr>
      <w:r>
        <w:rPr>
          <w:rFonts w:ascii="Arial" w:cs="Arial" w:eastAsia="Arial" w:hAnsi="Arial"/>
          <w:sz w:val="16"/>
          <w:szCs w:val="16"/>
          <w:color w:val="auto"/>
        </w:rPr>
        <w:t xml:space="preserve">Directors (subject, without limitation, to Section‎ 3.11(e)(ii),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statement does not exceed 500 words and fully complies with Section 14 of the Exchange Act, including Rule 14a-9 thereunder (the “</w:t>
      </w:r>
      <w:r>
        <w:rPr>
          <w:rFonts w:ascii="Arial" w:cs="Arial" w:eastAsia="Arial" w:hAnsi="Arial"/>
          <w:sz w:val="16"/>
          <w:szCs w:val="16"/>
          <w:b w:val="1"/>
          <w:bCs w:val="1"/>
          <w:color w:val="auto"/>
        </w:rPr>
        <w:t>Supporting Statement</w:t>
      </w:r>
      <w:r>
        <w:rPr>
          <w:rFonts w:ascii="Arial" w:cs="Arial" w:eastAsia="Arial" w:hAnsi="Arial"/>
          <w:sz w:val="16"/>
          <w:szCs w:val="16"/>
          <w:color w:val="auto"/>
        </w:rPr>
        <w:t>”)); and (D) any other information that the Corporation or the Board of Directors determines, in their discretion, to include in the proxy statement relating to the Nominating Shareholder and the nomination of each Shareholder Nominee, including, without limitation, any statement in opposition to the nomination, any of the information</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provided pursuant to this Section‎ 3.11 and any solicitation materials or related information with respect to a Shareholder Nominee.</w:t>
      </w:r>
    </w:p>
    <w:p>
      <w:pPr>
        <w:spacing w:after="0" w:line="225" w:lineRule="exact"/>
        <w:rPr>
          <w:sz w:val="20"/>
          <w:szCs w:val="20"/>
          <w:color w:val="auto"/>
        </w:rPr>
      </w:pPr>
    </w:p>
    <w:p>
      <w:pPr>
        <w:ind w:right="100" w:firstLine="1292"/>
        <w:spacing w:after="0" w:line="257" w:lineRule="auto"/>
        <w:tabs>
          <w:tab w:leader="none" w:pos="1831" w:val="left"/>
        </w:tabs>
        <w:numPr>
          <w:ilvl w:val="1"/>
          <w:numId w:val="26"/>
        </w:numPr>
        <w:rPr>
          <w:rFonts w:ascii="Arial" w:cs="Arial" w:eastAsia="Arial" w:hAnsi="Arial"/>
          <w:sz w:val="18"/>
          <w:szCs w:val="18"/>
          <w:color w:val="auto"/>
        </w:rPr>
      </w:pPr>
      <w:r>
        <w:rPr>
          <w:rFonts w:ascii="Arial" w:cs="Arial" w:eastAsia="Arial" w:hAnsi="Arial"/>
          <w:sz w:val="18"/>
          <w:szCs w:val="18"/>
          <w:color w:val="auto"/>
        </w:rPr>
        <w:t>For purposes of this Section‎ 3.11, any determination to be made by the Board of Directors may be made by the Board of Directors, a committee of the Board of Directors or any officer of the Corporation designated by the Board of Directors or a committee of the Board of Directors, or the Chair or presiding officer of the meeting, and any such determination shall be final and binding on any Eligible Shareholder, any Nominating Shareholder, any Shareholder Nominee and any other person so long as made in good faith (without any further requirements).</w:t>
      </w:r>
    </w:p>
    <w:p>
      <w:pPr>
        <w:spacing w:after="0" w:line="187" w:lineRule="exact"/>
        <w:rPr>
          <w:rFonts w:ascii="Arial" w:cs="Arial" w:eastAsia="Arial" w:hAnsi="Arial"/>
          <w:sz w:val="18"/>
          <w:szCs w:val="18"/>
          <w:color w:val="auto"/>
        </w:rPr>
      </w:pPr>
    </w:p>
    <w:p>
      <w:pPr>
        <w:ind w:left="1160" w:hanging="516"/>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Maximum Number of Shareholder Nominees.</w:t>
      </w:r>
    </w:p>
    <w:p>
      <w:pPr>
        <w:spacing w:after="0" w:line="225" w:lineRule="exact"/>
        <w:rPr>
          <w:rFonts w:ascii="Arial" w:cs="Arial" w:eastAsia="Arial" w:hAnsi="Arial"/>
          <w:sz w:val="18"/>
          <w:szCs w:val="18"/>
          <w:color w:val="auto"/>
        </w:rPr>
      </w:pPr>
    </w:p>
    <w:p>
      <w:pPr>
        <w:ind w:firstLine="1292"/>
        <w:spacing w:after="0" w:line="260" w:lineRule="auto"/>
        <w:tabs>
          <w:tab w:leader="none" w:pos="1777"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The Corporation shall not be required to include in the proxy statement for an annual meeting of shareholders more Shareholder Nominees than that number constituting the greater of (A) two or (B) 20% of the total number of Directors of the Corporation then serving on the last day on which a Nomination Notice may be submitted pursuant to this </w:t>
      </w:r>
      <w:r>
        <w:rPr>
          <w:rFonts w:ascii="Arial" w:cs="Arial" w:eastAsia="Arial" w:hAnsi="Arial"/>
          <w:sz w:val="19"/>
          <w:szCs w:val="19"/>
          <w:i w:val="1"/>
          <w:iCs w:val="1"/>
          <w:color w:val="auto"/>
        </w:rPr>
        <w:t>‎</w:t>
      </w:r>
      <w:r>
        <w:rPr>
          <w:rFonts w:ascii="Arial" w:cs="Arial" w:eastAsia="Arial" w:hAnsi="Arial"/>
          <w:sz w:val="18"/>
          <w:szCs w:val="18"/>
          <w:color w:val="auto"/>
        </w:rPr>
        <w:t>Section 3.11 (rounded down to the nearest whole number) (the “</w:t>
      </w:r>
      <w:r>
        <w:rPr>
          <w:rFonts w:ascii="Arial" w:cs="Arial" w:eastAsia="Arial" w:hAnsi="Arial"/>
          <w:sz w:val="18"/>
          <w:szCs w:val="18"/>
          <w:b w:val="1"/>
          <w:bCs w:val="1"/>
          <w:color w:val="auto"/>
        </w:rPr>
        <w:t>Maximum Number</w:t>
      </w:r>
      <w:r>
        <w:rPr>
          <w:rFonts w:ascii="Arial" w:cs="Arial" w:eastAsia="Arial" w:hAnsi="Arial"/>
          <w:sz w:val="18"/>
          <w:szCs w:val="18"/>
          <w:color w:val="auto"/>
        </w:rPr>
        <w:t>”).</w:t>
      </w:r>
    </w:p>
    <w:p>
      <w:pPr>
        <w:spacing w:after="0" w:line="184" w:lineRule="exact"/>
        <w:rPr>
          <w:sz w:val="20"/>
          <w:szCs w:val="20"/>
          <w:color w:val="auto"/>
        </w:rPr>
      </w:pPr>
    </w:p>
    <w:p>
      <w:pPr>
        <w:ind w:right="40" w:firstLine="1292"/>
        <w:spacing w:after="0" w:line="270" w:lineRule="auto"/>
        <w:tabs>
          <w:tab w:leader="none" w:pos="1827"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The Maximum Number for a particular annual meeting shall be reduced by: (A) each Shareholder Nominee whose nomination is withdrawn by the Nominating Shareholder or who becomes unwilling to serve on the Board of Directors; (B) each Shareholder Nominee who ceases to satisfy, or each Shareholder Nominee of a Nominating Shareholder that ceases to satisfy, the eligibility requirements in this </w:t>
      </w:r>
      <w:r>
        <w:rPr>
          <w:rFonts w:ascii="Arial" w:cs="Arial" w:eastAsia="Arial" w:hAnsi="Arial"/>
          <w:sz w:val="18"/>
          <w:szCs w:val="18"/>
          <w:i w:val="1"/>
          <w:iCs w:val="1"/>
          <w:color w:val="auto"/>
        </w:rPr>
        <w:t>‎</w:t>
      </w:r>
      <w:r>
        <w:rPr>
          <w:rFonts w:ascii="Arial" w:cs="Arial" w:eastAsia="Arial" w:hAnsi="Arial"/>
          <w:sz w:val="17"/>
          <w:szCs w:val="17"/>
          <w:color w:val="auto"/>
        </w:rPr>
        <w:t xml:space="preserve">Section 3.11, as determined by the Board of Directors; (C) each Shareholder Nominee who the Board of Directors itself decides to nominate for election at such annual meeting; and (D) the number of incumbent Directors who had been Shareholder Nominees at either of the preceding two annual meetings of shareholders and whose reelection at the upcoming annual meeting of shareholders is being recommended by the Board of Directors. In the event that one or more vacancies for any reason occurs on the Board of Directors after the deadline for submitting a Nomination Notice as set forth in </w:t>
      </w:r>
      <w:r>
        <w:rPr>
          <w:rFonts w:ascii="Arial" w:cs="Arial" w:eastAsia="Arial" w:hAnsi="Arial"/>
          <w:sz w:val="18"/>
          <w:szCs w:val="18"/>
          <w:i w:val="1"/>
          <w:iCs w:val="1"/>
          <w:color w:val="auto"/>
        </w:rPr>
        <w:t>‎</w:t>
      </w:r>
      <w:r>
        <w:rPr>
          <w:rFonts w:ascii="Arial" w:cs="Arial" w:eastAsia="Arial" w:hAnsi="Arial"/>
          <w:sz w:val="17"/>
          <w:szCs w:val="17"/>
          <w:color w:val="auto"/>
        </w:rPr>
        <w:t>Section 3.11(d) but before the date of the annual meeting of shareholders and the Board of Directors resolves to reduce the size of the Board of Directors in connection therewith, the Maximum Number shall be calculated based on the number of Directors in office as so reduced.</w:t>
      </w:r>
    </w:p>
    <w:p>
      <w:pPr>
        <w:spacing w:after="0" w:line="178" w:lineRule="exact"/>
        <w:rPr>
          <w:rFonts w:ascii="Arial" w:cs="Arial" w:eastAsia="Arial" w:hAnsi="Arial"/>
          <w:sz w:val="17"/>
          <w:szCs w:val="17"/>
          <w:color w:val="auto"/>
        </w:rPr>
      </w:pPr>
    </w:p>
    <w:p>
      <w:pPr>
        <w:ind w:right="20" w:firstLine="1292"/>
        <w:spacing w:after="0" w:line="285" w:lineRule="auto"/>
        <w:tabs>
          <w:tab w:leader="none" w:pos="1881"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the number of Shareholder Nominees pursuant to this Section‎ 3.11 for any annual meeting of shareholders exceeds the Maximum Number then, promptly upon notice from the Corporation, each Nominating Shareholder will select one Shareholder Nominee for inclusion in the proxy statement until the Maximum Number is reached, going in order of the amount (largest to smallest) of shares of the Corporation’s common stock that each Nominating Shareholder disclosed as owned in its Nomination Notice, with the process repeated if the Maximum Number is not reached after each Nominating Shareholder has selected one Shareholder Nominee. If, after the deadline for submitting a</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Nomination Notice as set forth in Section‎ 3.11(d), a Nominating Shareholder or a Shareholder Nominee ceases to satisfy the eligibility</w:t>
      </w:r>
    </w:p>
    <w:p>
      <w:pPr>
        <w:spacing w:after="0" w:line="2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requirements in this Section‎ 3.11, as determined by the Board of Directors, a Nominating Shareholder withdraws its nomination or a Shareholder</w:t>
      </w:r>
    </w:p>
    <w:p>
      <w:pPr>
        <w:spacing w:after="0" w:line="335"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21" w:name="page22"/>
    <w:bookmarkEnd w:id="21"/>
    <w:p>
      <w:pPr>
        <w:ind w:right="120"/>
        <w:spacing w:after="0" w:line="272" w:lineRule="auto"/>
        <w:rPr>
          <w:sz w:val="20"/>
          <w:szCs w:val="20"/>
          <w:color w:val="auto"/>
        </w:rPr>
      </w:pPr>
      <w:r>
        <w:rPr>
          <w:rFonts w:ascii="Arial" w:cs="Arial" w:eastAsia="Arial" w:hAnsi="Arial"/>
          <w:sz w:val="17"/>
          <w:szCs w:val="17"/>
          <w:color w:val="auto"/>
        </w:rPr>
        <w:t>Nominee becomes unwilling to serve on the Board of Directors, whether before or after the mailing or other distribution of the definitive proxy statement, then the Corporation: (A) shall not be required to include in its proxy statement or on any ballot or form of proxy the Shareholder Nominee or any successor or replacement Shareholder Nominee proposed by the Nominating Shareholder or by any other Nominating Shareholder and (B) may otherwise communicate to the shareholders of the Corporation, including, without limitation, by amending or supplementing its proxy statement or ballot or form of proxy, that the Shareholder Nominee will not be included as a Shareholder Nominee in the proxy statement or on any ballot or form of proxy and will not be voted on at the annual meeting of shareholders (notwithstanding that proxies in respect of such vote may have been received by the Corporation).</w:t>
      </w:r>
    </w:p>
    <w:p>
      <w:pPr>
        <w:spacing w:after="0" w:line="177" w:lineRule="exact"/>
        <w:rPr>
          <w:sz w:val="20"/>
          <w:szCs w:val="20"/>
          <w:color w:val="auto"/>
        </w:rPr>
      </w:pPr>
    </w:p>
    <w:p>
      <w:pPr>
        <w:ind w:left="1160" w:hanging="516"/>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Eligibility of Nominating Shareholder.</w:t>
      </w:r>
    </w:p>
    <w:p>
      <w:pPr>
        <w:spacing w:after="0" w:line="221" w:lineRule="exact"/>
        <w:rPr>
          <w:rFonts w:ascii="Arial" w:cs="Arial" w:eastAsia="Arial" w:hAnsi="Arial"/>
          <w:sz w:val="18"/>
          <w:szCs w:val="18"/>
          <w:color w:val="auto"/>
        </w:rPr>
      </w:pPr>
    </w:p>
    <w:p>
      <w:pPr>
        <w:ind w:firstLine="1292"/>
        <w:spacing w:after="0" w:line="281" w:lineRule="auto"/>
        <w:tabs>
          <w:tab w:leader="none" w:pos="1771"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 “</w:t>
      </w:r>
      <w:r>
        <w:rPr>
          <w:rFonts w:ascii="Arial" w:cs="Arial" w:eastAsia="Arial" w:hAnsi="Arial"/>
          <w:sz w:val="17"/>
          <w:szCs w:val="17"/>
          <w:b w:val="1"/>
          <w:bCs w:val="1"/>
          <w:color w:val="auto"/>
        </w:rPr>
        <w:t>Eligible Shareholder</w:t>
      </w:r>
      <w:r>
        <w:rPr>
          <w:rFonts w:ascii="Arial" w:cs="Arial" w:eastAsia="Arial" w:hAnsi="Arial"/>
          <w:sz w:val="17"/>
          <w:szCs w:val="17"/>
          <w:color w:val="auto"/>
        </w:rPr>
        <w:t xml:space="preserve">” is a person who has either (A) been a record holder of the shares of common stock of the Corporation used to satisfy the eligibility requirements in this </w:t>
      </w:r>
      <w:r>
        <w:rPr>
          <w:rFonts w:ascii="Arial" w:cs="Arial" w:eastAsia="Arial" w:hAnsi="Arial"/>
          <w:sz w:val="18"/>
          <w:szCs w:val="18"/>
          <w:i w:val="1"/>
          <w:iCs w:val="1"/>
          <w:color w:val="auto"/>
        </w:rPr>
        <w:t>‎</w:t>
      </w:r>
      <w:r>
        <w:rPr>
          <w:rFonts w:ascii="Arial" w:cs="Arial" w:eastAsia="Arial" w:hAnsi="Arial"/>
          <w:sz w:val="17"/>
          <w:szCs w:val="17"/>
          <w:color w:val="auto"/>
        </w:rPr>
        <w:t xml:space="preserve">Section 3.11(c) continuously for the three-year period specified in </w:t>
      </w:r>
      <w:r>
        <w:rPr>
          <w:rFonts w:ascii="Arial" w:cs="Arial" w:eastAsia="Arial" w:hAnsi="Arial"/>
          <w:sz w:val="18"/>
          <w:szCs w:val="18"/>
          <w:i w:val="1"/>
          <w:iCs w:val="1"/>
          <w:color w:val="auto"/>
        </w:rPr>
        <w:t>‎</w:t>
      </w:r>
      <w:r>
        <w:rPr>
          <w:rFonts w:ascii="Arial" w:cs="Arial" w:eastAsia="Arial" w:hAnsi="Arial"/>
          <w:sz w:val="17"/>
          <w:szCs w:val="17"/>
          <w:color w:val="auto"/>
        </w:rPr>
        <w:t xml:space="preserve">Section 3.11(c)(ii) or (B) provides to the Secretary, within the time period referred to in </w:t>
      </w:r>
      <w:r>
        <w:rPr>
          <w:rFonts w:ascii="Arial" w:cs="Arial" w:eastAsia="Arial" w:hAnsi="Arial"/>
          <w:sz w:val="18"/>
          <w:szCs w:val="18"/>
          <w:i w:val="1"/>
          <w:iCs w:val="1"/>
          <w:color w:val="auto"/>
        </w:rPr>
        <w:t>‎</w:t>
      </w:r>
      <w:r>
        <w:rPr>
          <w:rFonts w:ascii="Arial" w:cs="Arial" w:eastAsia="Arial" w:hAnsi="Arial"/>
          <w:sz w:val="17"/>
          <w:szCs w:val="17"/>
          <w:color w:val="auto"/>
        </w:rPr>
        <w:t>Section 3.11(d), evidence of continuous ownership of such shares for such three-year period from one or more securities intermediaries in a form that the Board of Directors determines acceptable.</w:t>
      </w:r>
    </w:p>
    <w:p>
      <w:pPr>
        <w:spacing w:after="0" w:line="168" w:lineRule="exact"/>
        <w:rPr>
          <w:rFonts w:ascii="Arial" w:cs="Arial" w:eastAsia="Arial" w:hAnsi="Arial"/>
          <w:sz w:val="17"/>
          <w:szCs w:val="17"/>
          <w:color w:val="auto"/>
        </w:rPr>
      </w:pPr>
    </w:p>
    <w:p>
      <w:pPr>
        <w:ind w:right="40" w:firstLine="1292"/>
        <w:spacing w:after="0" w:line="269" w:lineRule="auto"/>
        <w:tabs>
          <w:tab w:leader="none" w:pos="1821" w:val="left"/>
        </w:tabs>
        <w:numPr>
          <w:ilvl w:val="1"/>
          <w:numId w:val="29"/>
        </w:numPr>
        <w:rPr>
          <w:rFonts w:ascii="Arial" w:cs="Arial" w:eastAsia="Arial" w:hAnsi="Arial"/>
          <w:sz w:val="17"/>
          <w:szCs w:val="17"/>
          <w:color w:val="auto"/>
        </w:rPr>
      </w:pPr>
      <w:r>
        <w:rPr>
          <w:rFonts w:ascii="Arial" w:cs="Arial" w:eastAsia="Arial" w:hAnsi="Arial"/>
          <w:sz w:val="17"/>
          <w:szCs w:val="17"/>
          <w:color w:val="auto"/>
        </w:rPr>
        <w:t xml:space="preserve">An Eligible Shareholder or group of up to 20 Eligible Shareholders may submit a nomination in accordance with this Section 3.11 only if the person or group (in the aggregate) has continuously owned at least the Minimum Number (as defined below) (as adjusted for any stock splits, reverse stock splits, stock dividends or similar events) of shares of the Corporation’s common stock throughout the three-year period preceding and including the date of submission of the Nomination Notice, and continues to own at least the Minimum Number of shares through the date of the annual meeting of shareholders. The following shall be treated as one Eligible Shareholder if such Eligible Shareholder shall provide together with the Nomination Notice documentation satisfactory to the Board of Directors that the Eligible Shareholder consists only of funds that are: (A) under common management and investment control; (B) under common management and funded primarily by the same employer; or (C) a “group of investment companies” (as defined in the Investment Company Act of 1940, as amended). In the event of a nomination by a Nominating Shareholder that includes a group of Eligible Shareholders, any and all requirements and obligations for an Eligible Shareholder shall apply to each Eligible Shareholder in such group;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Minimum Number shall apply to the aggregate ownership of the group of Eligible Shareholders constituting the Nominating Shareholder. Should any Eligible Shareholder cease to satisfy the eligibility requirements in this </w:t>
      </w:r>
      <w:r>
        <w:rPr>
          <w:rFonts w:ascii="Arial" w:cs="Arial" w:eastAsia="Arial" w:hAnsi="Arial"/>
          <w:sz w:val="18"/>
          <w:szCs w:val="18"/>
          <w:i w:val="1"/>
          <w:iCs w:val="1"/>
          <w:color w:val="auto"/>
        </w:rPr>
        <w:t>‎</w:t>
      </w:r>
      <w:r>
        <w:rPr>
          <w:rFonts w:ascii="Arial" w:cs="Arial" w:eastAsia="Arial" w:hAnsi="Arial"/>
          <w:sz w:val="17"/>
          <w:szCs w:val="17"/>
          <w:color w:val="auto"/>
        </w:rPr>
        <w:t xml:space="preserve">Section 3.11, as determined by the Board of Directors, or withdraw from a group of Eligible Shareholders constituting a Nominating Shareholder at any time prior to the annual meeting of shareholders, the Nominating Shareholder shall be deemed to own only the shares held by the remaining Eligible Shareholders. As used in this </w:t>
      </w:r>
      <w:r>
        <w:rPr>
          <w:rFonts w:ascii="Arial" w:cs="Arial" w:eastAsia="Arial" w:hAnsi="Arial"/>
          <w:sz w:val="18"/>
          <w:szCs w:val="18"/>
          <w:i w:val="1"/>
          <w:iCs w:val="1"/>
          <w:color w:val="auto"/>
        </w:rPr>
        <w:t>‎</w:t>
      </w:r>
      <w:r>
        <w:rPr>
          <w:rFonts w:ascii="Arial" w:cs="Arial" w:eastAsia="Arial" w:hAnsi="Arial"/>
          <w:sz w:val="17"/>
          <w:szCs w:val="17"/>
          <w:color w:val="auto"/>
        </w:rPr>
        <w:t>Section 3.11, any reference to a “group” or “group of Eligible Shareholders” refers to any Nominating Shareholder that consists of more than one Eligible Shareholder and to all the Eligible Shareholders that make up such Nominating Shareholder.</w:t>
      </w:r>
    </w:p>
    <w:p>
      <w:pPr>
        <w:spacing w:after="0" w:line="282"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22" w:name="page23"/>
    <w:bookmarkEnd w:id="22"/>
    <w:p>
      <w:pPr>
        <w:ind w:left="-460" w:right="180" w:firstLine="1292"/>
        <w:spacing w:after="0" w:line="266" w:lineRule="auto"/>
        <w:tabs>
          <w:tab w:leader="none" w:pos="141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Minimum Number</w:t>
      </w:r>
      <w:r>
        <w:rPr>
          <w:rFonts w:ascii="Arial" w:cs="Arial" w:eastAsia="Arial" w:hAnsi="Arial"/>
          <w:sz w:val="18"/>
          <w:szCs w:val="18"/>
          <w:color w:val="auto"/>
        </w:rPr>
        <w:t>” of shares of the Corporation’s common stock means 3% of the aggregate number of shares outstanding of each class of the Corporation’s common stock, as disclosed in each filing by the Corporation under the Exchange Act during the three-year period prior to the submission of the Nomination Notice.</w:t>
      </w:r>
    </w:p>
    <w:p>
      <w:pPr>
        <w:spacing w:after="0" w:line="177" w:lineRule="exact"/>
        <w:rPr>
          <w:rFonts w:ascii="Arial" w:cs="Arial" w:eastAsia="Arial" w:hAnsi="Arial"/>
          <w:sz w:val="18"/>
          <w:szCs w:val="18"/>
          <w:color w:val="auto"/>
        </w:rPr>
      </w:pPr>
    </w:p>
    <w:p>
      <w:pPr>
        <w:ind w:left="-460" w:firstLine="1292"/>
        <w:spacing w:after="0" w:line="284" w:lineRule="auto"/>
        <w:tabs>
          <w:tab w:leader="none" w:pos="1411"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7"/>
          <w:szCs w:val="17"/>
          <w:i w:val="1"/>
          <w:iCs w:val="1"/>
          <w:color w:val="auto"/>
        </w:rPr>
        <w:t>‎</w:t>
      </w:r>
      <w:r>
        <w:rPr>
          <w:rFonts w:ascii="Arial" w:cs="Arial" w:eastAsia="Arial" w:hAnsi="Arial"/>
          <w:sz w:val="16"/>
          <w:szCs w:val="16"/>
          <w:color w:val="auto"/>
        </w:rPr>
        <w:t xml:space="preserve">Section 3.11, an Eligible Shareholder “owns” only those outstanding shares of the Corporation’s common stock as to which such Eligible Shareholder possesses both: (A) the full voting and investment rights pertaining to such shares and (B) the full economic interest in (including the opportunity for profit from and the risk of loss on) such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number of shares calculated in accordance with clauses </w:t>
      </w:r>
      <w:r>
        <w:rPr>
          <w:rFonts w:ascii="Arial" w:cs="Arial" w:eastAsia="Arial" w:hAnsi="Arial"/>
          <w:sz w:val="17"/>
          <w:szCs w:val="17"/>
          <w:i w:val="1"/>
          <w:iCs w:val="1"/>
          <w:color w:val="auto"/>
        </w:rPr>
        <w:t>‎</w:t>
      </w:r>
      <w:r>
        <w:rPr>
          <w:rFonts w:ascii="Arial" w:cs="Arial" w:eastAsia="Arial" w:hAnsi="Arial"/>
          <w:sz w:val="16"/>
          <w:szCs w:val="16"/>
          <w:color w:val="auto"/>
        </w:rPr>
        <w:t xml:space="preserve">(A) and </w:t>
      </w:r>
      <w:r>
        <w:rPr>
          <w:rFonts w:ascii="Arial" w:cs="Arial" w:eastAsia="Arial" w:hAnsi="Arial"/>
          <w:sz w:val="17"/>
          <w:szCs w:val="17"/>
          <w:i w:val="1"/>
          <w:iCs w:val="1"/>
          <w:color w:val="auto"/>
        </w:rPr>
        <w:t>‎</w:t>
      </w:r>
      <w:r>
        <w:rPr>
          <w:rFonts w:ascii="Arial" w:cs="Arial" w:eastAsia="Arial" w:hAnsi="Arial"/>
          <w:sz w:val="16"/>
          <w:szCs w:val="16"/>
          <w:color w:val="auto"/>
        </w:rPr>
        <w:t xml:space="preserve">(B) shall not include any shares: (1) purchased or sold by such Eligible Shareholder or any of its affiliates in any transaction that has not been settled or closed, (2) that are subject to short positions or were otherwise sold short by such Eligible Shareholder or any of its affiliates, (3) borrowed by such Eligible Shareholder or any of its affiliates for any purpose or purchased by such Eligible Shareholder or any of its affiliates pursuant to an agreement to resell or subject to any other obligation to resell to another person, or (4) subject to any option, warrant, forward contract, swap, contract of sale, other derivative or similar agreement entered into by such Eligible Shareholder or any of its affiliates, whether any such instrument or agreement is to be settled with shares, with cash based on the notional amount or value of outstanding shares of common stock of the Corporation or a combination thereof, in any such case, which instrument or agreement has, or is intended to have, or if exercised or settled would have, the purpose or effect of reducing in any manner, to any extent or at any time in the future, such Eligible Shareholder’s or any of its affiliates’ full right to vote or direct the voting of any such shares, and/or hedging, offsetting or altering to any degree any gain or loss arising from the full economic interest in such shares by such Eligible Shareholder or any of its affiliates. An Eligible Shareholder “owns” shares held in the name of a nominee or other intermediary so long as the Eligible Shareholder retains the right to instruct how the shares are voted with respect to the election of Directors and possesses the full economic interest in the shares. An Eligible Shareholder’s ownership of shares shall be deemed to continue during any period in which the Eligible Shareholder has delegated any voting power by means of a proxy, power of attorney or other similar instrument or arrangement that is revocable at any time by the Eligible Shareholder. An Eligible Shareholder’s ownership of shares shall be deemed to continue during any period in which the Eligible Shareholder has loaned such shares;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Eligible Shareholder has the power to recall such loaned shares on not more than five business days’ notice. The terms “owned,”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“owning” and other variations of the word “own” shall have correlative meanings. Whether outstanding shares of the Corporation are “owned” for these purposes shall be determined by the Board of Directors. For purposes of this </w:t>
      </w:r>
      <w:r>
        <w:rPr>
          <w:rFonts w:ascii="Arial" w:cs="Arial" w:eastAsia="Arial" w:hAnsi="Arial"/>
          <w:sz w:val="17"/>
          <w:szCs w:val="17"/>
          <w:i w:val="1"/>
          <w:iCs w:val="1"/>
          <w:color w:val="auto"/>
        </w:rPr>
        <w:t>‎</w:t>
      </w:r>
      <w:r>
        <w:rPr>
          <w:rFonts w:ascii="Arial" w:cs="Arial" w:eastAsia="Arial" w:hAnsi="Arial"/>
          <w:sz w:val="16"/>
          <w:szCs w:val="16"/>
          <w:color w:val="auto"/>
        </w:rPr>
        <w:t>Section 3.11(c)(iv), the term “affiliate” or “affiliates” shall have the meaning ascribed thereto under the General Rules and Regulations under the Exchange Act.</w:t>
      </w:r>
    </w:p>
    <w:p>
      <w:pPr>
        <w:spacing w:after="0" w:line="180" w:lineRule="exact"/>
        <w:rPr>
          <w:rFonts w:ascii="Arial" w:cs="Arial" w:eastAsia="Arial" w:hAnsi="Arial"/>
          <w:sz w:val="16"/>
          <w:szCs w:val="16"/>
          <w:color w:val="auto"/>
        </w:rPr>
      </w:pPr>
    </w:p>
    <w:p>
      <w:pPr>
        <w:ind w:left="-460" w:right="200" w:firstLine="1292"/>
        <w:spacing w:after="0" w:line="308" w:lineRule="auto"/>
        <w:tabs>
          <w:tab w:leader="none" w:pos="1361"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 Eligible Shareholder shall be permitted to be in more than one group constituting a Nominating Shareholder, and if any Eligible Shareholder appears as a member of more than one group, such Eligible Shareholder shall be deemed to be a</w:t>
      </w:r>
    </w:p>
    <w:p>
      <w:pPr>
        <w:spacing w:after="0" w:line="247"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580" w:right="359" w:bottom="1440" w:gutter="0" w:footer="0" w:header="0"/>
        </w:sectPr>
      </w:pPr>
    </w:p>
    <w:bookmarkStart w:id="23" w:name="page24"/>
    <w:bookmarkEnd w:id="23"/>
    <w:p>
      <w:pPr>
        <w:ind w:right="180"/>
        <w:spacing w:after="0" w:line="277" w:lineRule="auto"/>
        <w:rPr>
          <w:sz w:val="20"/>
          <w:szCs w:val="20"/>
          <w:color w:val="auto"/>
        </w:rPr>
      </w:pPr>
      <w:r>
        <w:rPr>
          <w:rFonts w:ascii="Arial" w:cs="Arial" w:eastAsia="Arial" w:hAnsi="Arial"/>
          <w:sz w:val="18"/>
          <w:szCs w:val="18"/>
          <w:color w:val="auto"/>
        </w:rPr>
        <w:t>member of only the group that owns the largest aggregate number of shares of each class of the Corporation’s common stock, as reflected in the Nomination Notice.</w:t>
      </w:r>
    </w:p>
    <w:p>
      <w:pPr>
        <w:spacing w:after="0" w:line="170" w:lineRule="exact"/>
        <w:rPr>
          <w:sz w:val="20"/>
          <w:szCs w:val="20"/>
          <w:color w:val="auto"/>
        </w:rPr>
      </w:pPr>
    </w:p>
    <w:p>
      <w:pPr>
        <w:ind w:left="1160" w:hanging="516"/>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Nomination Notice.</w:t>
      </w:r>
    </w:p>
    <w:p>
      <w:pPr>
        <w:spacing w:after="0" w:line="222" w:lineRule="exact"/>
        <w:rPr>
          <w:rFonts w:ascii="Arial" w:cs="Arial" w:eastAsia="Arial" w:hAnsi="Arial"/>
          <w:sz w:val="18"/>
          <w:szCs w:val="18"/>
          <w:color w:val="auto"/>
        </w:rPr>
      </w:pPr>
    </w:p>
    <w:p>
      <w:pPr>
        <w:ind w:firstLine="1292"/>
        <w:spacing w:after="0" w:line="287" w:lineRule="auto"/>
        <w:tabs>
          <w:tab w:leader="none" w:pos="1777"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To nominate a Shareholder Nominee pursuant to this </w:t>
      </w:r>
      <w:r>
        <w:rPr>
          <w:rFonts w:ascii="Arial" w:cs="Arial" w:eastAsia="Arial" w:hAnsi="Arial"/>
          <w:sz w:val="17"/>
          <w:szCs w:val="17"/>
          <w:i w:val="1"/>
          <w:iCs w:val="1"/>
          <w:color w:val="auto"/>
        </w:rPr>
        <w:t>‎</w:t>
      </w:r>
      <w:r>
        <w:rPr>
          <w:rFonts w:ascii="Arial" w:cs="Arial" w:eastAsia="Arial" w:hAnsi="Arial"/>
          <w:sz w:val="16"/>
          <w:szCs w:val="16"/>
          <w:color w:val="auto"/>
        </w:rPr>
        <w:t>Section 3.11 the Nominating Shareholder (including each Eligible Shareholder in the case of a Nominating Shareholder consisting of a group of Eligible Shareholders) must deliver to the Secretary of the Corporation at the principal executive offices of the Corporation all of the following information and documents in a form that the Board of Directors determines acceptable (collectively, the “</w:t>
      </w:r>
      <w:r>
        <w:rPr>
          <w:rFonts w:ascii="Arial" w:cs="Arial" w:eastAsia="Arial" w:hAnsi="Arial"/>
          <w:sz w:val="16"/>
          <w:szCs w:val="16"/>
          <w:b w:val="1"/>
          <w:bCs w:val="1"/>
          <w:color w:val="auto"/>
        </w:rPr>
        <w:t>Nomination Notice</w:t>
      </w:r>
      <w:r>
        <w:rPr>
          <w:rFonts w:ascii="Arial" w:cs="Arial" w:eastAsia="Arial" w:hAnsi="Arial"/>
          <w:sz w:val="16"/>
          <w:szCs w:val="16"/>
          <w:color w:val="auto"/>
        </w:rPr>
        <w:t xml:space="preserve">”), by the Close of Business not less than 120 days, and not more than 150 days, prior to the anniversary of the date that the Corporation first mailed or otherwise distributed its proxy statement for the prior year’s annual meeting of shareholders;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(and only if) the annual meeting of shareholders is not scheduled to be held within a period that commences 30 days before and concludes 30 days after the first anniversary date of the preceding year’s annual meeting of shareholders, including if no annual meeting was held in the preceding year (an annual meeting date outside such period being referred to herein as an “</w:t>
      </w:r>
      <w:r>
        <w:rPr>
          <w:rFonts w:ascii="Arial" w:cs="Arial" w:eastAsia="Arial" w:hAnsi="Arial"/>
          <w:sz w:val="16"/>
          <w:szCs w:val="16"/>
          <w:b w:val="1"/>
          <w:bCs w:val="1"/>
          <w:color w:val="auto"/>
        </w:rPr>
        <w:t>Other</w:t>
      </w:r>
      <w:r>
        <w:rPr>
          <w:rFonts w:ascii="Arial" w:cs="Arial" w:eastAsia="Arial" w:hAnsi="Arial"/>
          <w:sz w:val="16"/>
          <w:szCs w:val="16"/>
          <w:color w:val="auto"/>
        </w:rPr>
        <w:t xml:space="preserve"> </w:t>
      </w:r>
      <w:r>
        <w:rPr>
          <w:rFonts w:ascii="Arial" w:cs="Arial" w:eastAsia="Arial" w:hAnsi="Arial"/>
          <w:sz w:val="16"/>
          <w:szCs w:val="16"/>
          <w:b w:val="1"/>
          <w:bCs w:val="1"/>
          <w:color w:val="auto"/>
        </w:rPr>
        <w:t>Meeting Date</w:t>
      </w:r>
      <w:r>
        <w:rPr>
          <w:rFonts w:ascii="Arial" w:cs="Arial" w:eastAsia="Arial" w:hAnsi="Arial"/>
          <w:sz w:val="16"/>
          <w:szCs w:val="16"/>
          <w:color w:val="auto"/>
        </w:rPr>
        <w:t>”), the Nomination Notice shall be given in the manner provided herein by the Close of Business on the later of the date that is 180</w:t>
      </w:r>
      <w:r>
        <w:rPr>
          <w:rFonts w:ascii="Arial" w:cs="Arial" w:eastAsia="Arial" w:hAnsi="Arial"/>
          <w:sz w:val="16"/>
          <w:szCs w:val="16"/>
          <w:b w:val="1"/>
          <w:bCs w:val="1"/>
          <w:color w:val="auto"/>
        </w:rPr>
        <w:t xml:space="preserve"> </w:t>
      </w:r>
      <w:r>
        <w:rPr>
          <w:rFonts w:ascii="Arial" w:cs="Arial" w:eastAsia="Arial" w:hAnsi="Arial"/>
          <w:sz w:val="16"/>
          <w:szCs w:val="16"/>
          <w:color w:val="auto"/>
        </w:rPr>
        <w:t>days prior to such Other Meeting Date or the 10th day following the date a Public Announcement of such Other Meeting Date is first made by the Corporation (and in no event shall the adjournment or postponement of an annual meeting, or the Public Announcement thereof, commence a new time period (or extend any time period) for the giving of the Nomination Notice):</w:t>
      </w:r>
    </w:p>
    <w:p>
      <w:pPr>
        <w:spacing w:after="0" w:line="170" w:lineRule="exact"/>
        <w:rPr>
          <w:rFonts w:ascii="Arial" w:cs="Arial" w:eastAsia="Arial" w:hAnsi="Arial"/>
          <w:sz w:val="16"/>
          <w:szCs w:val="16"/>
          <w:color w:val="auto"/>
        </w:rPr>
      </w:pPr>
    </w:p>
    <w:p>
      <w:pPr>
        <w:ind w:left="640" w:firstLine="1300"/>
        <w:spacing w:after="0" w:line="273" w:lineRule="auto"/>
        <w:tabs>
          <w:tab w:leader="none" w:pos="2501" w:val="left"/>
        </w:tabs>
        <w:numPr>
          <w:ilvl w:val="2"/>
          <w:numId w:val="31"/>
        </w:numPr>
        <w:rPr>
          <w:rFonts w:ascii="Arial" w:cs="Arial" w:eastAsia="Arial" w:hAnsi="Arial"/>
          <w:sz w:val="17"/>
          <w:szCs w:val="17"/>
          <w:color w:val="auto"/>
        </w:rPr>
      </w:pPr>
      <w:r>
        <w:rPr>
          <w:rFonts w:ascii="Arial" w:cs="Arial" w:eastAsia="Arial" w:hAnsi="Arial"/>
          <w:sz w:val="17"/>
          <w:szCs w:val="17"/>
          <w:color w:val="auto"/>
        </w:rPr>
        <w:t>one or more written statements from the record holder of the shares (and from each intermediary through which the shares are or have been held during the requisite three-year holding period) verifying that, as of a date within seven days prior to the date of the Nomination Notice, the Nominating Shareholder owns, and has continuously owned for the preceding three years, the Minimum Number of shares, and the Nominating Shareholder’s agreement to provide, within five business days after the record date for the annual meeting, written statements from the record holder and intermediaries verifying the Nominating Shareholder’s continuous ownership of the Minimum Number of shares through the record date;</w:t>
      </w:r>
    </w:p>
    <w:p>
      <w:pPr>
        <w:spacing w:after="0" w:line="177" w:lineRule="exact"/>
        <w:rPr>
          <w:rFonts w:ascii="Arial" w:cs="Arial" w:eastAsia="Arial" w:hAnsi="Arial"/>
          <w:sz w:val="17"/>
          <w:szCs w:val="17"/>
          <w:color w:val="auto"/>
        </w:rPr>
      </w:pPr>
    </w:p>
    <w:p>
      <w:pPr>
        <w:ind w:left="640" w:right="120" w:firstLine="1300"/>
        <w:spacing w:after="0" w:line="342" w:lineRule="auto"/>
        <w:tabs>
          <w:tab w:leader="none" w:pos="2491" w:val="left"/>
        </w:tabs>
        <w:numPr>
          <w:ilvl w:val="2"/>
          <w:numId w:val="31"/>
        </w:numPr>
        <w:rPr>
          <w:rFonts w:ascii="Arial" w:cs="Arial" w:eastAsia="Arial" w:hAnsi="Arial"/>
          <w:sz w:val="16"/>
          <w:szCs w:val="16"/>
          <w:color w:val="auto"/>
        </w:rPr>
      </w:pPr>
      <w:r>
        <w:rPr>
          <w:rFonts w:ascii="Arial" w:cs="Arial" w:eastAsia="Arial" w:hAnsi="Arial"/>
          <w:sz w:val="16"/>
          <w:szCs w:val="16"/>
          <w:color w:val="auto"/>
        </w:rPr>
        <w:t>an agreement to hold the Minimum Number of shares through the annual meeting and to provide immediate notice if the Nominating Shareholder ceases to own the Minimum Number of shares at any time prior to the date of the annual meeting;</w:t>
      </w:r>
    </w:p>
    <w:p>
      <w:pPr>
        <w:spacing w:after="0" w:line="123" w:lineRule="exact"/>
        <w:rPr>
          <w:rFonts w:ascii="Arial" w:cs="Arial" w:eastAsia="Arial" w:hAnsi="Arial"/>
          <w:sz w:val="16"/>
          <w:szCs w:val="16"/>
          <w:color w:val="auto"/>
        </w:rPr>
      </w:pPr>
    </w:p>
    <w:p>
      <w:pPr>
        <w:ind w:left="640" w:right="240" w:firstLine="1300"/>
        <w:spacing w:after="0" w:line="277" w:lineRule="auto"/>
        <w:tabs>
          <w:tab w:leader="none" w:pos="2491" w:val="left"/>
        </w:tabs>
        <w:numPr>
          <w:ilvl w:val="2"/>
          <w:numId w:val="31"/>
        </w:numPr>
        <w:rPr>
          <w:rFonts w:ascii="Arial" w:cs="Arial" w:eastAsia="Arial" w:hAnsi="Arial"/>
          <w:sz w:val="18"/>
          <w:szCs w:val="18"/>
          <w:color w:val="auto"/>
        </w:rPr>
      </w:pPr>
      <w:r>
        <w:rPr>
          <w:rFonts w:ascii="Arial" w:cs="Arial" w:eastAsia="Arial" w:hAnsi="Arial"/>
          <w:sz w:val="18"/>
          <w:szCs w:val="18"/>
          <w:color w:val="auto"/>
        </w:rPr>
        <w:t>a Schedule 14N (or any successor form) relating to each Shareholder Nominee, completed and filed with the SEC by the Nominating Shareholder, as applicable, in accordance with SEC rules;</w:t>
      </w:r>
    </w:p>
    <w:p>
      <w:pPr>
        <w:spacing w:after="0" w:line="170" w:lineRule="exact"/>
        <w:rPr>
          <w:rFonts w:ascii="Arial" w:cs="Arial" w:eastAsia="Arial" w:hAnsi="Arial"/>
          <w:sz w:val="18"/>
          <w:szCs w:val="18"/>
          <w:color w:val="auto"/>
        </w:rPr>
      </w:pPr>
    </w:p>
    <w:p>
      <w:pPr>
        <w:ind w:left="640" w:right="200" w:firstLine="1300"/>
        <w:spacing w:after="0" w:line="277" w:lineRule="auto"/>
        <w:tabs>
          <w:tab w:leader="none" w:pos="2501"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information that would be required to be set forth in a Shareholder Notice pursuant to Section 2.09 (other than information required by clauses</w:t>
      </w:r>
    </w:p>
    <w:p>
      <w:pPr>
        <w:spacing w:after="0" w:line="271"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584" w:right="379" w:bottom="1440" w:gutter="0" w:footer="0" w:header="0"/>
        </w:sectPr>
      </w:pPr>
    </w:p>
    <w:bookmarkStart w:id="24" w:name="page25"/>
    <w:bookmarkEnd w:id="24"/>
    <w:p>
      <w:pPr>
        <w:ind w:left="180" w:right="100"/>
        <w:spacing w:after="0" w:line="293" w:lineRule="auto"/>
        <w:rPr>
          <w:sz w:val="20"/>
          <w:szCs w:val="20"/>
          <w:color w:val="auto"/>
        </w:rPr>
      </w:pPr>
      <w:r>
        <w:rPr>
          <w:rFonts w:ascii="Arial" w:cs="Arial" w:eastAsia="Arial" w:hAnsi="Arial"/>
          <w:sz w:val="16"/>
          <w:szCs w:val="16"/>
          <w:color w:val="auto"/>
        </w:rPr>
        <w:t>(C)(7),</w:t>
      </w:r>
      <w:r>
        <w:rPr>
          <w:rFonts w:ascii="Arial" w:cs="Arial" w:eastAsia="Arial" w:hAnsi="Arial"/>
          <w:sz w:val="16"/>
          <w:szCs w:val="16"/>
          <w:b w:val="1"/>
          <w:bCs w:val="1"/>
          <w:color w:val="auto"/>
        </w:rPr>
        <w:t>‎</w:t>
      </w:r>
      <w:r>
        <w:rPr>
          <w:rFonts w:ascii="Arial" w:cs="Arial" w:eastAsia="Arial" w:hAnsi="Arial"/>
          <w:sz w:val="16"/>
          <w:szCs w:val="16"/>
          <w:color w:val="auto"/>
        </w:rPr>
        <w:t xml:space="preserve"> (C)(8)</w:t>
      </w:r>
      <w:r>
        <w:rPr>
          <w:rFonts w:ascii="Arial" w:cs="Arial" w:eastAsia="Arial" w:hAnsi="Arial"/>
          <w:sz w:val="16"/>
          <w:szCs w:val="16"/>
          <w:b w:val="1"/>
          <w:bCs w:val="1"/>
          <w:color w:val="auto"/>
        </w:rPr>
        <w:t>‎</w:t>
      </w:r>
      <w:r>
        <w:rPr>
          <w:rFonts w:ascii="Arial" w:cs="Arial" w:eastAsia="Arial" w:hAnsi="Arial"/>
          <w:sz w:val="16"/>
          <w:szCs w:val="16"/>
          <w:color w:val="auto"/>
        </w:rPr>
        <w:t xml:space="preserve"> and (D)</w:t>
      </w:r>
      <w:r>
        <w:rPr>
          <w:rFonts w:ascii="Arial" w:cs="Arial" w:eastAsia="Arial" w:hAnsi="Arial"/>
          <w:sz w:val="16"/>
          <w:szCs w:val="16"/>
          <w:b w:val="1"/>
          <w:bCs w:val="1"/>
          <w:color w:val="auto"/>
        </w:rPr>
        <w:t>‎</w:t>
      </w:r>
      <w:r>
        <w:rPr>
          <w:rFonts w:ascii="Arial" w:cs="Arial" w:eastAsia="Arial" w:hAnsi="Arial"/>
          <w:sz w:val="16"/>
          <w:szCs w:val="16"/>
          <w:color w:val="auto"/>
        </w:rPr>
        <w:t xml:space="preserve"> of Section</w:t>
      </w:r>
      <w:r>
        <w:rPr>
          <w:rFonts w:ascii="Arial" w:cs="Arial" w:eastAsia="Arial" w:hAnsi="Arial"/>
          <w:sz w:val="16"/>
          <w:szCs w:val="16"/>
          <w:b w:val="1"/>
          <w:bCs w:val="1"/>
          <w:color w:val="auto"/>
        </w:rPr>
        <w:t>‎</w:t>
      </w:r>
      <w:r>
        <w:rPr>
          <w:rFonts w:ascii="Arial" w:cs="Arial" w:eastAsia="Arial" w:hAnsi="Arial"/>
          <w:sz w:val="16"/>
          <w:szCs w:val="16"/>
          <w:color w:val="auto"/>
        </w:rPr>
        <w:t xml:space="preserve"> 2.09(a)(iii)), including the information required with respect to any nominee for election as a Director, any shareholder giving notice of an intent to nominate a candidate for election, and any shareholder, beneficial owner or other person on</w:t>
      </w:r>
    </w:p>
    <w:p>
      <w:pPr>
        <w:spacing w:after="0" w:line="1" w:lineRule="exact"/>
        <w:rPr>
          <w:sz w:val="20"/>
          <w:szCs w:val="20"/>
          <w:color w:val="auto"/>
        </w:rPr>
      </w:pPr>
    </w:p>
    <w:p>
      <w:pPr>
        <w:ind w:left="180" w:right="160"/>
        <w:spacing w:after="0" w:line="260" w:lineRule="auto"/>
        <w:rPr>
          <w:sz w:val="20"/>
          <w:szCs w:val="20"/>
          <w:color w:val="auto"/>
        </w:rPr>
      </w:pPr>
      <w:r>
        <w:rPr>
          <w:rFonts w:ascii="Arial" w:cs="Arial" w:eastAsia="Arial" w:hAnsi="Arial"/>
          <w:sz w:val="18"/>
          <w:szCs w:val="18"/>
          <w:color w:val="auto"/>
        </w:rPr>
        <w:t>whose behalf the nomination is made under this Section‎ 3.11, and including the written representations, agreements and Questionnaires described in ‎Section 3.10(a);</w:t>
      </w:r>
    </w:p>
    <w:p>
      <w:pPr>
        <w:spacing w:after="0" w:line="185" w:lineRule="exact"/>
        <w:rPr>
          <w:sz w:val="20"/>
          <w:szCs w:val="20"/>
          <w:color w:val="auto"/>
        </w:rPr>
      </w:pPr>
    </w:p>
    <w:p>
      <w:pPr>
        <w:ind w:left="180" w:firstLine="1300"/>
        <w:spacing w:after="0" w:line="291" w:lineRule="auto"/>
        <w:tabs>
          <w:tab w:leader="none" w:pos="2021" w:val="left"/>
        </w:tabs>
        <w:numPr>
          <w:ilvl w:val="1"/>
          <w:numId w:val="32"/>
        </w:numPr>
        <w:rPr>
          <w:rFonts w:ascii="Arial" w:cs="Arial" w:eastAsia="Arial" w:hAnsi="Arial"/>
          <w:sz w:val="16"/>
          <w:szCs w:val="16"/>
          <w:color w:val="auto"/>
        </w:rPr>
      </w:pPr>
      <w:r>
        <w:rPr>
          <w:rFonts w:ascii="Arial" w:cs="Arial" w:eastAsia="Arial" w:hAnsi="Arial"/>
          <w:sz w:val="16"/>
          <w:szCs w:val="16"/>
          <w:color w:val="auto"/>
        </w:rPr>
        <w:t>a written notice, in a form deemed satisfactory by the Board of Directors, of the nomination of each Shareholder Nominee that includes the following additional information, agreements, representations and warranties by the Nominating Shareholder:</w:t>
      </w:r>
    </w:p>
    <w:p>
      <w:pPr>
        <w:ind w:left="180" w:right="20" w:firstLine="4"/>
        <w:spacing w:after="0" w:line="283" w:lineRule="auto"/>
        <w:tabs>
          <w:tab w:leader="none" w:pos="4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representation and warranty that the Nominating Shareholder acquired the securities of the Corporation in the ordinary course of business and did not acquire, and is not holding, securities of the Corporation for the purpose or with the intent of changing or influencing control of the Corporation; (2) a representation and warranty that the Nominating Shareholder has not nominated and will not nominate for election to the Board of Directors at the annual meeting any person other than such Nominating Shareholder’s Shareholder Nominee(s); (3) a representation and warranty that the Nominating Shareholder has not engaged in and will not engage in, and has not been and will not be a participant (as defined in Item 4 of Exchange Act Schedule 14A) in, a solicitation within the meaning of Rule 14a-1(l) under the Exchange Act (without reference to the exception in Section 14a-1(l)(2)(iv)) with respect to the annual meeting, other than with respect to such Nominating Shareholder’s Shareholder Nominee(s) or any nominee of the Board of Directors; (4) a representation and warranty that the Nominating Shareholder will not use any form of proxy and ballot other than the Corporation’s form of proxy and ballot in soliciting shareholders in connection with the election of a Shareholder Nominee at the annual meeting; (5) a representation and warranty that each Shareholder Nominee’s candidacy or, if elected, membership on the Board of Directors would not violate the Articles of Incorporation, the Bylaws, any applicable law, rule, regulation, order or decree to which the Corporation is subject, including rules or regulations of any stock exchange on which the Corporation’s shares of common stock are listed; (6) a representation and warranty that each Shareholder Nominee: (a) does not have any direct or indirect relationship with the Corporation that would cause the Shareholder Nominee to be deemed not independent pursuant to the Corporation’s standards in its Corporate Governance Guidelines and otherwise qualifies as independent under any other standards established by the Corporation and the rules of any stock exchange on which the Corporation’s shares of common stock are listed; (b) meets the audit committee and compensation committee independence requirements under the rules of any stock exchange on which the Corporation’s shares of common stock are listed; (c) is a “non-employee director” for the purposes of Rule 16b-3 under the Exchange Act (or any successor rule); (d)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such Shareholder Nominee;</w:t>
      </w:r>
    </w:p>
    <w:p>
      <w:pPr>
        <w:spacing w:after="0" w:line="282"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580" w:right="359" w:bottom="1440" w:gutter="0" w:footer="0" w:header="0"/>
        </w:sectPr>
      </w:pPr>
    </w:p>
    <w:bookmarkStart w:id="25" w:name="page26"/>
    <w:bookmarkEnd w:id="25"/>
    <w:p>
      <w:pPr>
        <w:ind w:left="180"/>
        <w:spacing w:after="0" w:line="289" w:lineRule="auto"/>
        <w:rPr>
          <w:sz w:val="20"/>
          <w:szCs w:val="20"/>
          <w:color w:val="auto"/>
        </w:rPr>
      </w:pPr>
      <w:r>
        <w:rPr>
          <w:rFonts w:ascii="Arial" w:cs="Arial" w:eastAsia="Arial" w:hAnsi="Arial"/>
          <w:sz w:val="16"/>
          <w:szCs w:val="16"/>
          <w:color w:val="auto"/>
        </w:rPr>
        <w:t>and (e) meets the Director qualifications set forth in the Corporation’s Corporate Governance Guidelines and any other standards established by the Corporation (notwithstanding this clause ‎(6), for the avoidance of doubt, the Board is responsible for making the final determination of the Shareholder Nominee’s independence); (7) a representation and warranty that the Nominating Shareholder satisfies the eligibility requirements set forth in ‎Section 3.11(c) and intends to continue to satisfy such eligibility requirements through the date of the annual meeting; (8) details of any position of a Shareholder Nominee as an employee, officer or director of any company, and of any other material relationship with or material financial interest in any company, within the three years preceding the submission of the Nomination Notice; (9) if desired, a Supporting Statement; and (10) in the case of a nomination by a Nominating Shareholder comprised of a group, the designation by all Eligible Shareholders in such group of one Eligible Shareholder that is authorized to act on behalf of the Nominating Shareholder with respect to matters relating to the nomination, including withdrawal of the nomination;</w:t>
      </w:r>
    </w:p>
    <w:p>
      <w:pPr>
        <w:spacing w:after="0" w:line="166" w:lineRule="exact"/>
        <w:rPr>
          <w:sz w:val="20"/>
          <w:szCs w:val="20"/>
          <w:color w:val="auto"/>
        </w:rPr>
      </w:pPr>
    </w:p>
    <w:p>
      <w:pPr>
        <w:ind w:left="180" w:right="20" w:firstLine="1300"/>
        <w:spacing w:after="0" w:line="283" w:lineRule="auto"/>
        <w:tabs>
          <w:tab w:leader="none" w:pos="2011"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executed agreement, in a form deemed satisfactory by the Board of Directors, pursuant to which the Nominating Shareholder (including in the case of a group, each Eligible Shareholder in that group) agrees: (1) to comply with all applicable laws, rules and regulations in connection with the nomination, solicitation and election of the Shareholder Nominee; (2) to file any written solicitation or other communication with the Corporation’s shareholders relating to one or more of the Corporation’s Directors or Director nominees or any Shareholder Nominee with the SEC, regardless of whether any such filing is required under any rule or regulation or whether any exemption from filing is available for such materials under any rule or regulation; (3) to assume all liability stemming from any action, suit or proceeding concerning any actual or alleged legal or regulatory violation arising out of any communication by the Nominating Shareholder or any of its Shareholder Nominees with the Corporation, the shareholders of the Corporation or any other person in connection with the nomination or election of Directors, including, without limitation, the Nomination Notice; (4) to indemnify and hold harmless (jointly with all other Eligible Shareholders, in the case of a group of Eligible Shareholders)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the Nominating Shareholder or any of its Shareholder Nominees to comply with, or any breach or alleged breach of, its or their</w:t>
      </w:r>
    </w:p>
    <w:p>
      <w:pPr>
        <w:spacing w:after="0" w:line="1" w:lineRule="exact"/>
        <w:rPr>
          <w:rFonts w:ascii="Arial" w:cs="Arial" w:eastAsia="Arial" w:hAnsi="Arial"/>
          <w:sz w:val="16"/>
          <w:szCs w:val="16"/>
          <w:color w:val="auto"/>
        </w:rPr>
      </w:pPr>
    </w:p>
    <w:p>
      <w:pPr>
        <w:ind w:left="180"/>
        <w:spacing w:after="0" w:line="253" w:lineRule="auto"/>
        <w:rPr>
          <w:rFonts w:ascii="Arial" w:cs="Arial" w:eastAsia="Arial" w:hAnsi="Arial"/>
          <w:sz w:val="16"/>
          <w:szCs w:val="16"/>
          <w:color w:val="auto"/>
        </w:rPr>
      </w:pPr>
      <w:r>
        <w:rPr>
          <w:rFonts w:ascii="Arial" w:cs="Arial" w:eastAsia="Arial" w:hAnsi="Arial"/>
          <w:sz w:val="18"/>
          <w:szCs w:val="18"/>
          <w:color w:val="auto"/>
        </w:rPr>
        <w:t>obligations, agreements or representations under, this Section‎ 3.11; (5) in the event that any information included in the Nomination Notice or any other communication by the Nominating Shareholder (including with respect to any Eligible Shareholder included in a group) with the Corporation, the shareholders of the Corporation or any other person in connection with the nomination or election ceases to be true and accurate in all material respects (or omits a material</w:t>
      </w:r>
    </w:p>
    <w:p>
      <w:pPr>
        <w:spacing w:after="0" w:line="294"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26" w:name="page27"/>
    <w:bookmarkEnd w:id="26"/>
    <w:p>
      <w:pPr>
        <w:ind w:left="640" w:right="20"/>
        <w:spacing w:after="0" w:line="257" w:lineRule="auto"/>
        <w:rPr>
          <w:sz w:val="20"/>
          <w:szCs w:val="20"/>
          <w:color w:val="auto"/>
        </w:rPr>
      </w:pPr>
      <w:r>
        <w:rPr>
          <w:rFonts w:ascii="Arial" w:cs="Arial" w:eastAsia="Arial" w:hAnsi="Arial"/>
          <w:sz w:val="18"/>
          <w:szCs w:val="18"/>
          <w:color w:val="auto"/>
        </w:rPr>
        <w:t>fact necessary to make the statements made not misleading), to promptly (and in any event within 48 hours of discovering such misstatement or omission) notify the Corporation and any other recipient of such communication of the misstatement or omission in such previously provided information and of the information that is required to correct the misstatement or omission; and (6) in the event that the Nominating Shareholder (including any Eligible Shareholder in a group) has failed to continue to satisfy the eligibility requirements described in ‎Section 3.11(c), to promptly notify the Corporation; and</w:t>
      </w:r>
    </w:p>
    <w:p>
      <w:pPr>
        <w:spacing w:after="0" w:line="188" w:lineRule="exact"/>
        <w:rPr>
          <w:sz w:val="20"/>
          <w:szCs w:val="20"/>
          <w:color w:val="auto"/>
        </w:rPr>
      </w:pPr>
    </w:p>
    <w:p>
      <w:pPr>
        <w:ind w:left="640" w:firstLine="1300"/>
        <w:spacing w:after="0" w:line="273" w:lineRule="auto"/>
        <w:tabs>
          <w:tab w:leader="none" w:pos="2501" w:val="left"/>
        </w:tabs>
        <w:numPr>
          <w:ilvl w:val="2"/>
          <w:numId w:val="35"/>
        </w:numPr>
        <w:rPr>
          <w:rFonts w:ascii="Arial" w:cs="Arial" w:eastAsia="Arial" w:hAnsi="Arial"/>
          <w:sz w:val="17"/>
          <w:szCs w:val="17"/>
          <w:color w:val="auto"/>
        </w:rPr>
      </w:pPr>
      <w:r>
        <w:rPr>
          <w:rFonts w:ascii="Arial" w:cs="Arial" w:eastAsia="Arial" w:hAnsi="Arial"/>
          <w:sz w:val="17"/>
          <w:szCs w:val="17"/>
          <w:color w:val="auto"/>
        </w:rPr>
        <w:t xml:space="preserve">the Shareholder Nominee’s written representation and agreement: (1) to promptly, but in any event within 10 days after such request, provide to the Corporation the information described in </w:t>
      </w:r>
      <w:r>
        <w:rPr>
          <w:rFonts w:ascii="Arial" w:cs="Arial" w:eastAsia="Arial" w:hAnsi="Arial"/>
          <w:sz w:val="18"/>
          <w:szCs w:val="18"/>
          <w:color w:val="auto"/>
        </w:rPr>
        <w:t>‎</w:t>
      </w:r>
      <w:r>
        <w:rPr>
          <w:rFonts w:ascii="Arial" w:cs="Arial" w:eastAsia="Arial" w:hAnsi="Arial"/>
          <w:sz w:val="17"/>
          <w:szCs w:val="17"/>
          <w:color w:val="auto"/>
        </w:rPr>
        <w:t>Section 3.10(b); and (2) at the reasonable request of the Board of Directors, any committee or any officer of the Corporation, to meet with the Board of Directors, any committee or any officer of the Corporation to discuss matters relating to the nomination of such Shareholder Nominee to the Board of Directors, including the information provided by such Shareholder Nominee to the Corporation in connection with his or her nomination and such Shareholder Nominee’s eligibility to serve as a member of the Board of Directors.</w:t>
      </w:r>
    </w:p>
    <w:p>
      <w:pPr>
        <w:spacing w:after="0" w:line="175" w:lineRule="exact"/>
        <w:rPr>
          <w:rFonts w:ascii="Arial" w:cs="Arial" w:eastAsia="Arial" w:hAnsi="Arial"/>
          <w:sz w:val="17"/>
          <w:szCs w:val="17"/>
          <w:color w:val="auto"/>
        </w:rPr>
      </w:pPr>
    </w:p>
    <w:p>
      <w:pPr>
        <w:ind w:right="120" w:firstLine="1292"/>
        <w:spacing w:after="0" w:line="262" w:lineRule="auto"/>
        <w:tabs>
          <w:tab w:leader="none" w:pos="1827"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The information and documents required by this </w:t>
      </w:r>
      <w:r>
        <w:rPr>
          <w:rFonts w:ascii="Arial" w:cs="Arial" w:eastAsia="Arial" w:hAnsi="Arial"/>
          <w:sz w:val="19"/>
          <w:szCs w:val="19"/>
          <w:i w:val="1"/>
          <w:iCs w:val="1"/>
          <w:color w:val="auto"/>
        </w:rPr>
        <w:t>‎</w:t>
      </w:r>
      <w:r>
        <w:rPr>
          <w:rFonts w:ascii="Arial" w:cs="Arial" w:eastAsia="Arial" w:hAnsi="Arial"/>
          <w:sz w:val="18"/>
          <w:szCs w:val="18"/>
          <w:color w:val="auto"/>
        </w:rPr>
        <w:t>Section 3.11(d) to be provided by the Nominating Shareholder shall be provided with respect to and executed by each Eligible Shareholder in the case of a Nominating Shareholder comprised of a group of Eligible Shareholders. The Nomination Notice shall be deemed submitted on the date on which all of the information and documents referred to in this Section 3.11(d) (other than any information and documents contemplated to be provided after the date the Nomination Notice is provided) have been delivered to and received by the Secretary.</w:t>
      </w:r>
    </w:p>
    <w:p>
      <w:pPr>
        <w:spacing w:after="0" w:line="183" w:lineRule="exact"/>
        <w:rPr>
          <w:rFonts w:ascii="Arial" w:cs="Arial" w:eastAsia="Arial" w:hAnsi="Arial"/>
          <w:sz w:val="18"/>
          <w:szCs w:val="18"/>
          <w:color w:val="auto"/>
        </w:rPr>
      </w:pPr>
    </w:p>
    <w:p>
      <w:pPr>
        <w:ind w:left="1160" w:hanging="516"/>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Exceptions.</w:t>
      </w:r>
    </w:p>
    <w:p>
      <w:pPr>
        <w:spacing w:after="0" w:line="225" w:lineRule="exact"/>
        <w:rPr>
          <w:rFonts w:ascii="Arial" w:cs="Arial" w:eastAsia="Arial" w:hAnsi="Arial"/>
          <w:sz w:val="18"/>
          <w:szCs w:val="18"/>
          <w:color w:val="auto"/>
        </w:rPr>
      </w:pPr>
    </w:p>
    <w:p>
      <w:pPr>
        <w:ind w:right="100" w:firstLine="1292"/>
        <w:spacing w:after="0" w:line="285" w:lineRule="auto"/>
        <w:tabs>
          <w:tab w:leader="none" w:pos="1781" w:val="left"/>
        </w:tabs>
        <w:numPr>
          <w:ilvl w:val="1"/>
          <w:numId w:val="37"/>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Section‎ 3.11, the Corporation may omit from its proxy statement any Shareholder Nominee and any information concerning such Shareholder Nominee (including a Nominating Shareholder’s Supporting Statement) and no vote on such Shareholder Nominee will occur (notwithstanding that proxies in respect of such vote may have been received by the Corporation), and the Nominating Shareholder may not, after the last day on which a Nomination Notice would be timely, cure in any way any defect preventing the nomination of such Shareholder Nominee, if: (A) the Corporation receives a notice pursuant to the advance</w:t>
      </w:r>
    </w:p>
    <w:p>
      <w:pPr>
        <w:spacing w:after="0" w:line="1" w:lineRule="exact"/>
        <w:rPr>
          <w:rFonts w:ascii="Arial" w:cs="Arial" w:eastAsia="Arial" w:hAnsi="Arial"/>
          <w:sz w:val="16"/>
          <w:szCs w:val="16"/>
          <w:color w:val="auto"/>
        </w:rPr>
      </w:pPr>
    </w:p>
    <w:p>
      <w:pPr>
        <w:ind w:right="100"/>
        <w:spacing w:after="0" w:line="281" w:lineRule="auto"/>
        <w:rPr>
          <w:rFonts w:ascii="Arial" w:cs="Arial" w:eastAsia="Arial" w:hAnsi="Arial"/>
          <w:sz w:val="16"/>
          <w:szCs w:val="16"/>
          <w:color w:val="auto"/>
        </w:rPr>
      </w:pPr>
      <w:r>
        <w:rPr>
          <w:rFonts w:ascii="Arial" w:cs="Arial" w:eastAsia="Arial" w:hAnsi="Arial"/>
          <w:sz w:val="16"/>
          <w:szCs w:val="16"/>
          <w:color w:val="auto"/>
        </w:rPr>
        <w:t>notice requirements set forth in Section‎ 2.09 that a shareholder intends to nominate a candidate for Director at the annual meeting, whether or not such notice is subsequently withdrawn or made the subject of a settlement with the Corporation; (B) the Nominating Shareholder (or, in the case of a Nominating Shareholder consisting of a group of Eligible Shareholders, the Eligible Shareholder that is authorized to act on behalf of the Nominating Shareholder), or any Qualified Representative thereof, does not appear at the annual meeting to present the nomination submitted</w:t>
      </w:r>
    </w:p>
    <w:p>
      <w:pPr>
        <w:spacing w:after="0" w:line="2" w:lineRule="exact"/>
        <w:rPr>
          <w:rFonts w:ascii="Arial" w:cs="Arial" w:eastAsia="Arial" w:hAnsi="Arial"/>
          <w:sz w:val="16"/>
          <w:szCs w:val="16"/>
          <w:color w:val="auto"/>
        </w:rPr>
      </w:pPr>
    </w:p>
    <w:p>
      <w:pPr>
        <w:ind w:right="260"/>
        <w:spacing w:after="0" w:line="260" w:lineRule="auto"/>
        <w:rPr>
          <w:rFonts w:ascii="Arial" w:cs="Arial" w:eastAsia="Arial" w:hAnsi="Arial"/>
          <w:sz w:val="16"/>
          <w:szCs w:val="16"/>
          <w:color w:val="auto"/>
        </w:rPr>
      </w:pPr>
      <w:r>
        <w:rPr>
          <w:rFonts w:ascii="Arial" w:cs="Arial" w:eastAsia="Arial" w:hAnsi="Arial"/>
          <w:sz w:val="18"/>
          <w:szCs w:val="18"/>
          <w:color w:val="auto"/>
        </w:rPr>
        <w:t>pursuant to this Section‎ 3.11, the Nominating Shareholder withdraws its nomination or the presiding officer of the annual meeting declares that such nomination was not made in accordance with the procedures</w:t>
      </w:r>
    </w:p>
    <w:p>
      <w:pPr>
        <w:spacing w:after="0" w:line="286"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584" w:right="359" w:bottom="1440" w:gutter="0" w:footer="0" w:header="0"/>
        </w:sectPr>
      </w:pPr>
    </w:p>
    <w:bookmarkStart w:id="27" w:name="page28"/>
    <w:bookmarkEnd w:id="27"/>
    <w:p>
      <w:pPr>
        <w:ind w:left="660" w:right="200"/>
        <w:spacing w:after="0" w:line="284" w:lineRule="auto"/>
        <w:rPr>
          <w:sz w:val="20"/>
          <w:szCs w:val="20"/>
          <w:color w:val="auto"/>
        </w:rPr>
      </w:pPr>
      <w:r>
        <w:rPr>
          <w:rFonts w:ascii="Arial" w:cs="Arial" w:eastAsia="Arial" w:hAnsi="Arial"/>
          <w:sz w:val="16"/>
          <w:szCs w:val="16"/>
          <w:color w:val="auto"/>
        </w:rPr>
        <w:t xml:space="preserve">prescribed by this </w:t>
      </w:r>
      <w:r>
        <w:rPr>
          <w:rFonts w:ascii="Arial" w:cs="Arial" w:eastAsia="Arial" w:hAnsi="Arial"/>
          <w:sz w:val="16"/>
          <w:szCs w:val="16"/>
          <w:i w:val="1"/>
          <w:iCs w:val="1"/>
          <w:color w:val="auto"/>
        </w:rPr>
        <w:t>‎</w:t>
      </w:r>
      <w:r>
        <w:rPr>
          <w:rFonts w:ascii="Arial" w:cs="Arial" w:eastAsia="Arial" w:hAnsi="Arial"/>
          <w:sz w:val="16"/>
          <w:szCs w:val="16"/>
          <w:color w:val="auto"/>
        </w:rPr>
        <w:t xml:space="preserve">Section 3.11 and shall therefore be disregarded; (C) the Board of Directors in good faith determines that such Shareholder Nominee fails to satisfy all the standards set forth in </w:t>
      </w:r>
      <w:r>
        <w:rPr>
          <w:rFonts w:ascii="Arial" w:cs="Arial" w:eastAsia="Arial" w:hAnsi="Arial"/>
          <w:sz w:val="16"/>
          <w:szCs w:val="16"/>
          <w:i w:val="1"/>
          <w:iCs w:val="1"/>
          <w:color w:val="auto"/>
        </w:rPr>
        <w:t>‎</w:t>
      </w:r>
      <w:r>
        <w:rPr>
          <w:rFonts w:ascii="Arial" w:cs="Arial" w:eastAsia="Arial" w:hAnsi="Arial"/>
          <w:sz w:val="16"/>
          <w:szCs w:val="16"/>
          <w:color w:val="auto"/>
        </w:rPr>
        <w:t>Section 3.11(d)(i)(E)</w:t>
      </w:r>
      <w:r>
        <w:rPr>
          <w:rFonts w:ascii="Arial" w:cs="Arial" w:eastAsia="Arial" w:hAnsi="Arial"/>
          <w:sz w:val="16"/>
          <w:szCs w:val="16"/>
          <w:i w:val="1"/>
          <w:iCs w:val="1"/>
          <w:color w:val="auto"/>
        </w:rPr>
        <w:t>‎</w:t>
      </w:r>
      <w:r>
        <w:rPr>
          <w:rFonts w:ascii="Arial" w:cs="Arial" w:eastAsia="Arial" w:hAnsi="Arial"/>
          <w:sz w:val="16"/>
          <w:szCs w:val="16"/>
          <w:color w:val="auto"/>
        </w:rPr>
        <w:t>(6)(a)-(e), such Shareholder Nominee has been, within the past three years, an officer or director of a competitor, as defined for purposes of Section 8 of the Clayton Antitrust Act of 1914, as amended, or if such Shareholder Nominee’s nomination or election to the Board of Directors would result in the Corporation violating or failing to be in compliance with the Articles of Incorporation, the Bylaws or any applicable law, rule, regulation, order or decree to which the Corporation is subject, including any rules or regulations of any stock exchange on which the Corporation’s shares of common stock are listed; (D) such Shareholder</w:t>
      </w:r>
    </w:p>
    <w:p>
      <w:pPr>
        <w:spacing w:after="0" w:line="4" w:lineRule="exact"/>
        <w:rPr>
          <w:sz w:val="20"/>
          <w:szCs w:val="20"/>
          <w:color w:val="auto"/>
        </w:rPr>
      </w:pPr>
    </w:p>
    <w:p>
      <w:pPr>
        <w:ind w:left="660"/>
        <w:spacing w:after="0" w:line="287" w:lineRule="auto"/>
        <w:rPr>
          <w:sz w:val="20"/>
          <w:szCs w:val="20"/>
          <w:color w:val="auto"/>
        </w:rPr>
      </w:pPr>
      <w:r>
        <w:rPr>
          <w:rFonts w:ascii="Arial" w:cs="Arial" w:eastAsia="Arial" w:hAnsi="Arial"/>
          <w:sz w:val="16"/>
          <w:szCs w:val="16"/>
          <w:color w:val="auto"/>
        </w:rPr>
        <w:t>Nominee was nominated for election to the Board of Directors pursuant to this Section</w:t>
      </w:r>
      <w:r>
        <w:rPr>
          <w:rFonts w:ascii="Arial" w:cs="Arial" w:eastAsia="Arial" w:hAnsi="Arial"/>
          <w:sz w:val="16"/>
          <w:szCs w:val="16"/>
          <w:i w:val="1"/>
          <w:iCs w:val="1"/>
          <w:color w:val="auto"/>
        </w:rPr>
        <w:t>‎</w:t>
      </w:r>
      <w:r>
        <w:rPr>
          <w:rFonts w:ascii="Arial" w:cs="Arial" w:eastAsia="Arial" w:hAnsi="Arial"/>
          <w:sz w:val="16"/>
          <w:szCs w:val="16"/>
          <w:color w:val="auto"/>
        </w:rPr>
        <w:t xml:space="preserve"> 3.11 at one of the Corporation’s two preceding annual meetings of shareholders and either withdrew from or became ineligible or unavailable for election at such annual meeting or received less than 25% of the votes that all shareholders are entitled to cast in favor of the election of such Shareholder Nominee; or (E) the Corporation is notified, or the Board of Directors determines, that the Nominating Shareholder or such Shareholder Nominee has failed to continue to satisfy the eligibility requirements described in Section 3.11(c), any of the representations and warranties made in the Nomination Notice ceases to be true and accurate in all material respects (or omits a material fact necessary to make the statements made not misleading), such Shareholder Nominee becomes unwilling or unable to serve on the Board of Directors or any material violation or breach occurs of any of the obligations, agreements, representations or warranties of the Nominating Shareholder or such Shareholder Nominee under this </w:t>
      </w:r>
      <w:r>
        <w:rPr>
          <w:rFonts w:ascii="Arial" w:cs="Arial" w:eastAsia="Arial" w:hAnsi="Arial"/>
          <w:sz w:val="16"/>
          <w:szCs w:val="16"/>
          <w:i w:val="1"/>
          <w:iCs w:val="1"/>
          <w:color w:val="auto"/>
        </w:rPr>
        <w:t>‎</w:t>
      </w:r>
      <w:r>
        <w:rPr>
          <w:rFonts w:ascii="Arial" w:cs="Arial" w:eastAsia="Arial" w:hAnsi="Arial"/>
          <w:sz w:val="16"/>
          <w:szCs w:val="16"/>
          <w:color w:val="auto"/>
        </w:rPr>
        <w:t>Section 3.11.</w:t>
      </w:r>
    </w:p>
    <w:p>
      <w:pPr>
        <w:spacing w:after="0" w:line="167" w:lineRule="exact"/>
        <w:rPr>
          <w:sz w:val="20"/>
          <w:szCs w:val="20"/>
          <w:color w:val="auto"/>
        </w:rPr>
      </w:pPr>
    </w:p>
    <w:p>
      <w:pPr>
        <w:ind w:left="660" w:right="120" w:firstLine="1292"/>
        <w:spacing w:after="0" w:line="254" w:lineRule="auto"/>
        <w:tabs>
          <w:tab w:leader="none" w:pos="2491"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9"/>
          <w:szCs w:val="19"/>
          <w:i w:val="1"/>
          <w:iCs w:val="1"/>
          <w:color w:val="auto"/>
        </w:rPr>
        <w:t>‎</w:t>
      </w:r>
      <w:r>
        <w:rPr>
          <w:rFonts w:ascii="Arial" w:cs="Arial" w:eastAsia="Arial" w:hAnsi="Arial"/>
          <w:sz w:val="18"/>
          <w:szCs w:val="18"/>
          <w:color w:val="auto"/>
        </w:rPr>
        <w:t>Section 3.11, the Corporation may omit from its proxy statement, or may supplement or correct, any information, including all or any portion of the Supporting Statement or any other statement in support of a Shareholder Nominee included in the Nomination Notice, if the Board of Directors determines that: (A) such information is not true in all material respects or omits a material statement necessary to make the statements made not misleading; (B)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(C) the inclusion of such information in the proxy statement would otherwise violate SEC proxy rules or any other applicable law, rule or regulation; or (D) the inclusion of such information in the proxy statement would impose a material risk of liability upon the Corporation.</w:t>
      </w:r>
    </w:p>
    <w:p>
      <w:pPr>
        <w:spacing w:after="0" w:line="192" w:lineRule="exact"/>
        <w:rPr>
          <w:rFonts w:ascii="Arial" w:cs="Arial" w:eastAsia="Arial" w:hAnsi="Arial"/>
          <w:sz w:val="18"/>
          <w:szCs w:val="18"/>
          <w:color w:val="auto"/>
        </w:rPr>
      </w:pPr>
    </w:p>
    <w:p>
      <w:pPr>
        <w:ind w:left="2540" w:hanging="588"/>
        <w:spacing w:after="0"/>
        <w:tabs>
          <w:tab w:leader="none" w:pos="2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Corporation may solicit against, and include in the proxy statement its own statement relating to, any Shareholder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Nominee.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Election and Office</w:t>
      </w:r>
      <w:r>
        <w:rPr>
          <w:rFonts w:ascii="Arial" w:cs="Arial" w:eastAsia="Arial" w:hAnsi="Arial"/>
          <w:sz w:val="18"/>
          <w:szCs w:val="18"/>
          <w:color w:val="auto"/>
        </w:rPr>
        <w:t>. The Corporation shall have a Chairman of the Board, a Chief Executive Officer, a President, a Secretary and a Treasurer who, subject to Article</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8" w:name="page29"/>
    <w:bookmarkEnd w:id="28"/>
    <w:p>
      <w:pPr>
        <w:ind w:right="40"/>
        <w:spacing w:after="0" w:line="257" w:lineRule="auto"/>
        <w:rPr>
          <w:sz w:val="20"/>
          <w:szCs w:val="20"/>
          <w:color w:val="auto"/>
        </w:rPr>
      </w:pPr>
      <w:r>
        <w:rPr>
          <w:rFonts w:ascii="Arial" w:cs="Arial" w:eastAsia="Arial" w:hAnsi="Arial"/>
          <w:sz w:val="18"/>
          <w:szCs w:val="18"/>
          <w:color w:val="auto"/>
        </w:rPr>
        <w:t>SIXTH of the Articles of Incorporation, shall be elected by the Board of Directors. Subject to Article SIXTH of the Articles of Incorporation, the Board of Directors may create the positions of, define the powers, rank and duties of and elect additional officers or assistant officers. Any number of offices may be held by the same person. The Chairman of the Board must be a Director of the Corporation. The Board of Directors may delegate to any officer the power to appoint subordinate officers and to retain or appoint employees or other agents, and to prescribe the rank, authority and duties of such subordinate officers, employees or other agents.</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Term</w:t>
      </w:r>
      <w:r>
        <w:rPr>
          <w:rFonts w:ascii="Arial" w:cs="Arial" w:eastAsia="Arial" w:hAnsi="Arial"/>
          <w:sz w:val="18"/>
          <w:szCs w:val="18"/>
          <w:color w:val="auto"/>
        </w:rPr>
        <w:t>.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or in the case of an officer appointed by another officer of the Corporation, by such officer. The terms of the Chairman of the Board and the Chief Executive Officer are fixed pursuant to Article SIXTH of the Articles of Incorporation.</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Powers and Duties of the Chairman of the Board</w:t>
      </w:r>
      <w:r>
        <w:rPr>
          <w:rFonts w:ascii="Arial" w:cs="Arial" w:eastAsia="Arial" w:hAnsi="Arial"/>
          <w:sz w:val="18"/>
          <w:szCs w:val="18"/>
          <w:color w:val="auto"/>
        </w:rPr>
        <w:t>. The Chairman of the Board shall have such powers and shall perform such duties as are provided in Article SIXTH of the Articles of Incorporation.</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Powers and Duties of the Chief Executive Officer</w:t>
      </w:r>
      <w:r>
        <w:rPr>
          <w:rFonts w:ascii="Arial" w:cs="Arial" w:eastAsia="Arial" w:hAnsi="Arial"/>
          <w:sz w:val="18"/>
          <w:szCs w:val="18"/>
          <w:color w:val="auto"/>
        </w:rPr>
        <w:t>. The Chief Executive Officer shall have such powers and shall perform such duties as are provided in Article SIXTH of the Articles of Incorporation.</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Powers and Duties of the President</w:t>
      </w:r>
      <w:r>
        <w:rPr>
          <w:rFonts w:ascii="Arial" w:cs="Arial" w:eastAsia="Arial" w:hAnsi="Arial"/>
          <w:sz w:val="18"/>
          <w:szCs w:val="18"/>
          <w:color w:val="auto"/>
        </w:rPr>
        <w:t>. The President shall have such powers and shall perform such duties as may, subject to Article SIXTH of the Articles of Incorporation, from time to time be assigned to the President by the Board of Directors.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Powers and Duties of the Secretary</w:t>
      </w:r>
      <w:r>
        <w:rPr>
          <w:rFonts w:ascii="Arial" w:cs="Arial" w:eastAsia="Arial" w:hAnsi="Arial"/>
          <w:sz w:val="18"/>
          <w:szCs w:val="18"/>
          <w:color w:val="auto"/>
        </w:rPr>
        <w:t>. Unless otherwise determined by the Board of Directors, the Secretary shall be responsible for the keeping of the minutes of all meetings of the shareholders, the Board of Directors, and all committees of the Board,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i w:val="1"/>
          <w:iCs w:val="1"/>
          <w:color w:val="auto"/>
        </w:rPr>
        <w:t>Powers and Duties of the Treasurer</w:t>
      </w:r>
      <w:r>
        <w:rPr>
          <w:rFonts w:ascii="Arial" w:cs="Arial" w:eastAsia="Arial" w:hAnsi="Arial"/>
          <w:sz w:val="17"/>
          <w:szCs w:val="17"/>
          <w:color w:val="auto"/>
        </w:rPr>
        <w:t>.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w:t>
      </w: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Treasurer shall give such bond, if any, for the faithful performance of the duties of such office as shall be required by the Board of Directors.</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Vacancies</w:t>
      </w:r>
      <w:r>
        <w:rPr>
          <w:rFonts w:ascii="Arial" w:cs="Arial" w:eastAsia="Arial" w:hAnsi="Arial"/>
          <w:sz w:val="18"/>
          <w:szCs w:val="18"/>
          <w:color w:val="auto"/>
        </w:rPr>
        <w:t>. Subject to Article SIXTH of the Articles of Incorporation, the Board of Directors shall have the power to fill any vacancies in any office occurring for any reason.</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i w:val="1"/>
          <w:iCs w:val="1"/>
          <w:color w:val="auto"/>
        </w:rPr>
        <w:t>Delegation of Office</w:t>
      </w:r>
      <w:r>
        <w:rPr>
          <w:rFonts w:ascii="Arial" w:cs="Arial" w:eastAsia="Arial" w:hAnsi="Arial"/>
          <w:sz w:val="18"/>
          <w:szCs w:val="18"/>
          <w:color w:val="auto"/>
        </w:rPr>
        <w:t>. Subject to Article SIXTH of the Articles of Incorporation, the Board of Directors may delegate the powers or duties of any officer of the Corporation to any other person from time to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Share Certificates.</w:t>
      </w:r>
    </w:p>
    <w:p>
      <w:pPr>
        <w:spacing w:after="0" w:line="225" w:lineRule="exact"/>
        <w:rPr>
          <w:sz w:val="20"/>
          <w:szCs w:val="20"/>
          <w:color w:val="auto"/>
        </w:rPr>
      </w:pPr>
    </w:p>
    <w:p>
      <w:pPr>
        <w:ind w:firstLine="1304"/>
        <w:spacing w:after="0" w:line="273" w:lineRule="auto"/>
        <w:tabs>
          <w:tab w:leader="none" w:pos="1811"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Execution.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177" w:lineRule="exact"/>
        <w:rPr>
          <w:rFonts w:ascii="Arial" w:cs="Arial" w:eastAsia="Arial" w:hAnsi="Arial"/>
          <w:sz w:val="17"/>
          <w:szCs w:val="17"/>
          <w:color w:val="auto"/>
        </w:rPr>
      </w:pPr>
    </w:p>
    <w:p>
      <w:pPr>
        <w:ind w:right="60" w:firstLine="1304"/>
        <w:spacing w:after="0" w:line="255" w:lineRule="auto"/>
        <w:tabs>
          <w:tab w:leader="none" w:pos="1821"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192" w:lineRule="exact"/>
        <w:rPr>
          <w:rFonts w:ascii="Arial" w:cs="Arial" w:eastAsia="Arial" w:hAnsi="Arial"/>
          <w:sz w:val="18"/>
          <w:szCs w:val="18"/>
          <w:color w:val="auto"/>
        </w:rPr>
      </w:pPr>
    </w:p>
    <w:p>
      <w:pPr>
        <w:ind w:right="140" w:firstLine="1304"/>
        <w:spacing w:after="0" w:line="263" w:lineRule="auto"/>
        <w:tabs>
          <w:tab w:leader="none" w:pos="18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Transfer of Shares</w:t>
      </w:r>
      <w:r>
        <w:rPr>
          <w:rFonts w:ascii="Arial" w:cs="Arial" w:eastAsia="Arial" w:hAnsi="Arial"/>
          <w:sz w:val="18"/>
          <w:szCs w:val="18"/>
          <w:color w:val="auto"/>
        </w:rPr>
        <w:t>. Transfer of shares shall be made on the books of the Corporation as required by law. A transfer of shares represented by a share certificate shall be made only upon surrender of the share certificate, duly endorsed or with duly executed stock powers attached and otherwise in proper form for transfer, which certificate shall be canceled at the time of the transfer.</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Determination of Shareholders of Record.</w:t>
      </w:r>
    </w:p>
    <w:p>
      <w:pPr>
        <w:spacing w:after="0" w:line="225" w:lineRule="exact"/>
        <w:rPr>
          <w:sz w:val="20"/>
          <w:szCs w:val="20"/>
          <w:color w:val="auto"/>
        </w:rPr>
      </w:pPr>
    </w:p>
    <w:p>
      <w:pPr>
        <w:ind w:right="40" w:firstLine="1304"/>
        <w:spacing w:after="0" w:line="286" w:lineRule="auto"/>
        <w:tabs>
          <w:tab w:leader="none" w:pos="1811" w:val="left"/>
        </w:tabs>
        <w:numPr>
          <w:ilvl w:val="0"/>
          <w:numId w:val="40"/>
        </w:numPr>
        <w:rPr>
          <w:rFonts w:ascii="Arial" w:cs="Arial" w:eastAsia="Arial" w:hAnsi="Arial"/>
          <w:sz w:val="16"/>
          <w:szCs w:val="16"/>
          <w:color w:val="auto"/>
        </w:rPr>
      </w:pPr>
      <w:r>
        <w:rPr>
          <w:rFonts w:ascii="Arial" w:cs="Arial" w:eastAsia="Arial" w:hAnsi="Arial"/>
          <w:sz w:val="16"/>
          <w:szCs w:val="16"/>
          <w:color w:val="auto"/>
        </w:rPr>
        <w:t>Fixing Record Date for Purposes of Meetings.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When</w:t>
      </w:r>
    </w:p>
    <w:p>
      <w:pPr>
        <w:spacing w:after="0" w:line="1" w:lineRule="exact"/>
        <w:rPr>
          <w:rFonts w:ascii="Arial" w:cs="Arial" w:eastAsia="Arial" w:hAnsi="Arial"/>
          <w:sz w:val="16"/>
          <w:szCs w:val="16"/>
          <w:color w:val="auto"/>
        </w:rPr>
      </w:pPr>
    </w:p>
    <w:p>
      <w:pPr>
        <w:ind w:right="260"/>
        <w:spacing w:after="0" w:line="260" w:lineRule="auto"/>
        <w:rPr>
          <w:rFonts w:ascii="Arial" w:cs="Arial" w:eastAsia="Arial" w:hAnsi="Arial"/>
          <w:sz w:val="16"/>
          <w:szCs w:val="16"/>
          <w:color w:val="auto"/>
        </w:rPr>
      </w:pPr>
      <w:r>
        <w:rPr>
          <w:rFonts w:ascii="Arial" w:cs="Arial" w:eastAsia="Arial" w:hAnsi="Arial"/>
          <w:sz w:val="18"/>
          <w:szCs w:val="18"/>
          <w:color w:val="auto"/>
        </w:rPr>
        <w:t>a determination of shareholders of record has been made as provided in this Section‎ 5.03 for purposes of a meeting, the determination shall apply to any adjournment thereof unless the Board of Directors fixes a new record date for the adjourned meeting.</w:t>
      </w:r>
    </w:p>
    <w:p>
      <w:pPr>
        <w:spacing w:after="0" w:line="185" w:lineRule="exact"/>
        <w:rPr>
          <w:rFonts w:ascii="Arial" w:cs="Arial" w:eastAsia="Arial" w:hAnsi="Arial"/>
          <w:sz w:val="16"/>
          <w:szCs w:val="16"/>
          <w:color w:val="auto"/>
        </w:rPr>
      </w:pPr>
    </w:p>
    <w:p>
      <w:pPr>
        <w:ind w:firstLine="1304"/>
        <w:spacing w:after="0" w:line="259" w:lineRule="auto"/>
        <w:tabs>
          <w:tab w:leader="none" w:pos="1821"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Fixing Record Date for Purpose of Distributions. The Board of Directors of the Corporation may fix a time prior to the date of payment of a distribution as a record date for the determination of the shareholders entitled to be paid the distribution, which time shall be not more than 90 days prior to the date of payment. Only shareholders of record on the date fixed shall be so entitled notwithstanding any transfer of shares on the books of the Corporation after any record date fixed as provided in this subsection.</w:t>
      </w:r>
    </w:p>
    <w:p>
      <w:pPr>
        <w:spacing w:after="0" w:line="186" w:lineRule="exact"/>
        <w:rPr>
          <w:rFonts w:ascii="Arial" w:cs="Arial" w:eastAsia="Arial" w:hAnsi="Arial"/>
          <w:sz w:val="18"/>
          <w:szCs w:val="18"/>
          <w:color w:val="auto"/>
        </w:rPr>
      </w:pPr>
    </w:p>
    <w:p>
      <w:pPr>
        <w:ind w:right="20" w:firstLine="1304"/>
        <w:spacing w:after="0" w:line="263" w:lineRule="auto"/>
        <w:tabs>
          <w:tab w:leader="none" w:pos="18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Fixing Record Date for Other Purposes. The Board of Directors of the Corporation may fix a time prior to an event or action as a record date for the determination of shareholders with respect to an event or action other than a meeting of shareholders or payment of a distribution, which time shall be not more than 90 days prior to the date of the event or action.</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Determination when No Record Date Fixed. If a record date is not fixed:</w:t>
      </w:r>
    </w:p>
    <w:p>
      <w:pPr>
        <w:spacing w:after="0" w:line="225" w:lineRule="exact"/>
        <w:rPr>
          <w:rFonts w:ascii="Arial" w:cs="Arial" w:eastAsia="Arial" w:hAnsi="Arial"/>
          <w:sz w:val="18"/>
          <w:szCs w:val="18"/>
          <w:color w:val="auto"/>
        </w:rPr>
      </w:pPr>
    </w:p>
    <w:p>
      <w:pPr>
        <w:ind w:left="660" w:right="240" w:firstLine="1292"/>
        <w:spacing w:after="0" w:line="263" w:lineRule="auto"/>
        <w:tabs>
          <w:tab w:leader="none" w:pos="2437"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183" w:lineRule="exact"/>
        <w:rPr>
          <w:rFonts w:ascii="Arial" w:cs="Arial" w:eastAsia="Arial" w:hAnsi="Arial"/>
          <w:sz w:val="18"/>
          <w:szCs w:val="18"/>
          <w:color w:val="auto"/>
        </w:rPr>
      </w:pPr>
    </w:p>
    <w:p>
      <w:pPr>
        <w:ind w:left="660" w:right="80" w:firstLine="1292"/>
        <w:spacing w:after="0" w:line="277" w:lineRule="auto"/>
        <w:tabs>
          <w:tab w:leader="none" w:pos="2487"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record date for determining shareholders for any other purpose shall be at the close of business on the day on which the Board of Directors adopts the resolution relating thereto.</w:t>
      </w:r>
    </w:p>
    <w:p>
      <w:pPr>
        <w:spacing w:after="0" w:line="170" w:lineRule="exact"/>
        <w:rPr>
          <w:rFonts w:ascii="Arial" w:cs="Arial" w:eastAsia="Arial" w:hAnsi="Arial"/>
          <w:sz w:val="18"/>
          <w:szCs w:val="18"/>
          <w:color w:val="auto"/>
        </w:rPr>
      </w:pPr>
    </w:p>
    <w:p>
      <w:pPr>
        <w:ind w:firstLine="1304"/>
        <w:spacing w:after="0" w:line="263" w:lineRule="auto"/>
        <w:tabs>
          <w:tab w:leader="none" w:pos="18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183" w:lineRule="exact"/>
        <w:rPr>
          <w:rFonts w:ascii="Arial" w:cs="Arial" w:eastAsia="Arial" w:hAnsi="Arial"/>
          <w:sz w:val="18"/>
          <w:szCs w:val="18"/>
          <w:color w:val="auto"/>
        </w:rPr>
      </w:pPr>
    </w:p>
    <w:p>
      <w:pPr>
        <w:ind w:left="2440" w:hanging="488"/>
        <w:spacing w:after="0"/>
        <w:tabs>
          <w:tab w:leader="none" w:pos="24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classification of shareholder who may certify;</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purpose or purposes for which the certification may be made;</w:t>
      </w:r>
    </w:p>
    <w:p>
      <w:pPr>
        <w:spacing w:after="0" w:line="225" w:lineRule="exact"/>
        <w:rPr>
          <w:rFonts w:ascii="Arial" w:cs="Arial" w:eastAsia="Arial" w:hAnsi="Arial"/>
          <w:sz w:val="18"/>
          <w:szCs w:val="18"/>
          <w:color w:val="auto"/>
        </w:rPr>
      </w:pPr>
    </w:p>
    <w:p>
      <w:pPr>
        <w:ind w:left="2540" w:hanging="588"/>
        <w:spacing w:after="0"/>
        <w:tabs>
          <w:tab w:leader="none" w:pos="2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form of certification and information to be contained therein;</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1" w:name="page32"/>
    <w:bookmarkEnd w:id="31"/>
    <w:p>
      <w:pPr>
        <w:ind w:left="660" w:right="240" w:firstLine="1292"/>
        <w:spacing w:after="0" w:line="277" w:lineRule="auto"/>
        <w:tabs>
          <w:tab w:leader="none" w:pos="25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certification is with respect to a record date, the time after the record date within which the certification must be received by the Corporation; and</w:t>
      </w:r>
    </w:p>
    <w:p>
      <w:pPr>
        <w:spacing w:after="0" w:line="170" w:lineRule="exact"/>
        <w:rPr>
          <w:rFonts w:ascii="Arial" w:cs="Arial" w:eastAsia="Arial" w:hAnsi="Arial"/>
          <w:sz w:val="18"/>
          <w:szCs w:val="18"/>
          <w:color w:val="auto"/>
        </w:rPr>
      </w:pPr>
    </w:p>
    <w:p>
      <w:pPr>
        <w:ind w:left="2480" w:hanging="528"/>
        <w:spacing w:after="0"/>
        <w:tabs>
          <w:tab w:leader="none" w:pos="2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other provisions with respect to the procedure as are deemed necessary or desirable.</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24"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i w:val="1"/>
          <w:iCs w:val="1"/>
          <w:color w:val="auto"/>
        </w:rPr>
        <w:t>Lost Share Certificates</w:t>
      </w:r>
      <w:r>
        <w:rPr>
          <w:rFonts w:ascii="Arial" w:cs="Arial" w:eastAsia="Arial" w:hAnsi="Arial"/>
          <w:sz w:val="16"/>
          <w:szCs w:val="16"/>
          <w:color w:val="auto"/>
        </w:rPr>
        <w:t xml:space="preserve">.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request therefor and issuance thereof have been made before the Corporation has notice that such shares have been acquired by a bona fide purchaser.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 COMPUTING TIME PERIODS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i w:val="1"/>
          <w:iCs w:val="1"/>
          <w:color w:val="auto"/>
        </w:rPr>
        <w:t>Contents of Notice</w:t>
      </w:r>
      <w:r>
        <w:rPr>
          <w:rFonts w:ascii="Arial" w:cs="Arial" w:eastAsia="Arial" w:hAnsi="Arial"/>
          <w:sz w:val="17"/>
          <w:szCs w:val="17"/>
          <w:color w:val="auto"/>
        </w:rPr>
        <w:t>. Whenever any notice of a meeting of the Board of Directors or of shareholders is required to be given pursuant to these Bylaws or the Articles of Incorporation of the Corporation, as the same may be 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Method of Notice</w:t>
      </w:r>
      <w:r>
        <w:rPr>
          <w:rFonts w:ascii="Arial" w:cs="Arial" w:eastAsia="Arial" w:hAnsi="Arial"/>
          <w:sz w:val="17"/>
          <w:szCs w:val="17"/>
          <w:color w:val="auto"/>
        </w:rPr>
        <w:t>. Any notice required to be given to any person under the provisions of the Articles of Incorporation or these Bylaws shall be given to the person either personally or by sending a copy thereof (a) by first class or express mail, postage prepaid, or courier service, charges prepaid, to such person’s postal address appearing on the books of the Corporation, or, in the case of a Director, supplied by such Director to the Corporation for the purpose of notice or (b) by facsimile transmission, e-mail or other electronic communication to such person’s facsimile number or address for e-mail or other electronic communication supplied by such person to the Corporation for purposes of notice. Notice delivered pursuant to clause ‎(a) of the preceding sentence shall be deemed to have been given to the person entitled thereto when deposited in the United States mail or with a courier service for delivery to that person, and notice pursuant to clause ‎(b) of the preceding sentence shall be deemed to have been given to the person entitled thereto when sent. Except as otherwise provided in these Bylaws, or as otherwise</w:t>
      </w: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directed by the Board of Directors, notices of meetings may be given by, or at the direction of, the Secretary.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Computing Time Periods</w:t>
      </w:r>
      <w:r>
        <w:rPr>
          <w:rFonts w:ascii="Arial" w:cs="Arial" w:eastAsia="Arial" w:hAnsi="Arial"/>
          <w:sz w:val="18"/>
          <w:szCs w:val="18"/>
          <w:color w:val="auto"/>
        </w:rPr>
        <w:t>.</w:t>
      </w:r>
    </w:p>
    <w:p>
      <w:pPr>
        <w:spacing w:after="0" w:line="225" w:lineRule="exact"/>
        <w:rPr>
          <w:sz w:val="20"/>
          <w:szCs w:val="20"/>
          <w:color w:val="auto"/>
        </w:rPr>
      </w:pPr>
    </w:p>
    <w:p>
      <w:pPr>
        <w:ind w:right="20" w:firstLine="1304"/>
        <w:spacing w:after="0" w:line="311" w:lineRule="auto"/>
        <w:tabs>
          <w:tab w:leader="none" w:pos="1811" w:val="left"/>
        </w:tabs>
        <w:numPr>
          <w:ilvl w:val="0"/>
          <w:numId w:val="42"/>
        </w:numPr>
        <w:rPr>
          <w:rFonts w:ascii="Arial" w:cs="Arial" w:eastAsia="Arial" w:hAnsi="Arial"/>
          <w:sz w:val="16"/>
          <w:szCs w:val="16"/>
          <w:color w:val="auto"/>
        </w:rPr>
      </w:pPr>
      <w:r>
        <w:rPr>
          <w:rFonts w:ascii="Arial" w:cs="Arial" w:eastAsia="Arial" w:hAnsi="Arial"/>
          <w:sz w:val="16"/>
          <w:szCs w:val="16"/>
          <w:color w:val="auto"/>
        </w:rPr>
        <w:t>Days to be Counted. Except as otherwise provided by law, the Articles of Incorporation or these Bylaws, in computing the number of days for purposes of these Bylaws, all days shall be counted, including Saturdays, Sundays and any Holiday. In computing the number of days for the purpose of giving notice of any meeting, the date upon which the notice is given shall be counted but the day set for the meeting shall not be counted.</w:t>
      </w:r>
    </w:p>
    <w:p>
      <w:pPr>
        <w:spacing w:after="0" w:line="148" w:lineRule="exact"/>
        <w:rPr>
          <w:rFonts w:ascii="Arial" w:cs="Arial" w:eastAsia="Arial" w:hAnsi="Arial"/>
          <w:sz w:val="16"/>
          <w:szCs w:val="16"/>
          <w:color w:val="auto"/>
        </w:rPr>
      </w:pPr>
    </w:p>
    <w:p>
      <w:pPr>
        <w:ind w:right="140" w:firstLine="1304"/>
        <w:spacing w:after="0" w:line="342" w:lineRule="auto"/>
        <w:tabs>
          <w:tab w:leader="none" w:pos="1821"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One Day Notice. In any case where only one day’s notice is being given, notice must be given at least 24 hours in advance of the date and time specified for the meeting in question by delivery in person or by telephone, facsimile, email or other means of electronic communication.</w:t>
      </w:r>
    </w:p>
    <w:p>
      <w:pPr>
        <w:spacing w:after="0" w:line="12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Waiver of Notice</w:t>
      </w:r>
      <w:r>
        <w:rPr>
          <w:rFonts w:ascii="Arial" w:cs="Arial" w:eastAsia="Arial" w:hAnsi="Arial"/>
          <w:sz w:val="17"/>
          <w:szCs w:val="17"/>
          <w:color w:val="auto"/>
        </w:rPr>
        <w:t>.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77"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i w:val="1"/>
          <w:iCs w:val="1"/>
          <w:color w:val="auto"/>
        </w:rPr>
        <w:t>Modification of Proposal Contained in Notice</w:t>
      </w:r>
      <w:r>
        <w:rPr>
          <w:rFonts w:ascii="Arial" w:cs="Arial" w:eastAsia="Arial" w:hAnsi="Arial"/>
          <w:sz w:val="17"/>
          <w:szCs w:val="17"/>
          <w:color w:val="auto"/>
        </w:rPr>
        <w:t>.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16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Bulk Mail</w:t>
      </w:r>
      <w:r>
        <w:rPr>
          <w:rFonts w:ascii="Arial" w:cs="Arial" w:eastAsia="Arial" w:hAnsi="Arial"/>
          <w:sz w:val="18"/>
          <w:szCs w:val="18"/>
          <w:color w:val="auto"/>
        </w:rPr>
        <w:t>.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18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Shareholders Without Forwarding Addresses</w:t>
      </w:r>
      <w:r>
        <w:rPr>
          <w:rFonts w:ascii="Arial" w:cs="Arial" w:eastAsia="Arial" w:hAnsi="Arial"/>
          <w:sz w:val="18"/>
          <w:szCs w:val="18"/>
          <w:color w:val="auto"/>
        </w:rPr>
        <w:t>. Notice or other communications need not be sent to any shareholder with whom the 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current address, the Corporation shall commence sending notices and other communications to the shareholder in the same manner as to other shareholders.</w:t>
      </w:r>
    </w:p>
    <w:p>
      <w:pPr>
        <w:sectPr>
          <w:pgSz w:w="11900" w:h="16838" w:orient="portrait"/>
          <w:cols w:equalWidth="0" w:num="1">
            <w:col w:w="11220"/>
          </w:cols>
          <w:pgMar w:left="320" w:top="584" w:right="359" w:bottom="1440" w:gutter="0" w:footer="0" w:header="0"/>
        </w:sect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INDEMNIFICATION OF DIRECTORS, OFFICERS AND OTHER PERSONS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Indemnification and Insurance.</w:t>
      </w:r>
    </w:p>
    <w:p>
      <w:pPr>
        <w:spacing w:after="0" w:line="225" w:lineRule="exact"/>
        <w:rPr>
          <w:sz w:val="20"/>
          <w:szCs w:val="20"/>
          <w:color w:val="auto"/>
        </w:rPr>
      </w:pPr>
    </w:p>
    <w:p>
      <w:pPr>
        <w:ind w:left="1820" w:hanging="516"/>
        <w:spacing w:after="0"/>
        <w:tabs>
          <w:tab w:leader="none" w:pos="1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Indemnification of Directors and Officers.</w:t>
      </w:r>
    </w:p>
    <w:p>
      <w:pPr>
        <w:spacing w:after="0" w:line="225" w:lineRule="exact"/>
        <w:rPr>
          <w:rFonts w:ascii="Arial" w:cs="Arial" w:eastAsia="Arial" w:hAnsi="Arial"/>
          <w:sz w:val="18"/>
          <w:szCs w:val="18"/>
          <w:color w:val="auto"/>
        </w:rPr>
      </w:pPr>
    </w:p>
    <w:p>
      <w:pPr>
        <w:ind w:left="660" w:right="20" w:firstLine="1292"/>
        <w:spacing w:after="0" w:line="271" w:lineRule="auto"/>
        <w:tabs>
          <w:tab w:leader="none" w:pos="2441"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Each Indemnitee (as defined below) shall be indemnified and held harmless by the Corporation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arising out of or related to Indemnitee’s service at any time in a Covered Capacity. No indemnification pursuant to this Section shall be made, however: (A) in any case where the act or failure to act giving rise to the claim for indemnification is determined by a court to have constituted willful misconduct or recklessness; or (B) in connection with a Proceeding (or part thereof) initiated by an Indemnitee (except in connection with a Proceeding to enforce a right to indemnification or advancement of expenses under this </w:t>
      </w:r>
      <w:r>
        <w:rPr>
          <w:rFonts w:ascii="Arial" w:cs="Arial" w:eastAsia="Arial" w:hAnsi="Arial"/>
          <w:sz w:val="18"/>
          <w:szCs w:val="18"/>
          <w:i w:val="1"/>
          <w:iCs w:val="1"/>
          <w:color w:val="auto"/>
        </w:rPr>
        <w:t>‎</w:t>
      </w:r>
      <w:r>
        <w:rPr>
          <w:rFonts w:ascii="Arial" w:cs="Arial" w:eastAsia="Arial" w:hAnsi="Arial"/>
          <w:sz w:val="17"/>
          <w:szCs w:val="17"/>
          <w:color w:val="auto"/>
        </w:rPr>
        <w:t>Article 7), unless the Proceeding (or part thereof) was authorized by the Board of Directors.</w:t>
      </w:r>
    </w:p>
    <w:p>
      <w:pPr>
        <w:spacing w:after="0" w:line="178" w:lineRule="exact"/>
        <w:rPr>
          <w:rFonts w:ascii="Arial" w:cs="Arial" w:eastAsia="Arial" w:hAnsi="Arial"/>
          <w:sz w:val="17"/>
          <w:szCs w:val="17"/>
          <w:color w:val="auto"/>
        </w:rPr>
      </w:pPr>
    </w:p>
    <w:p>
      <w:pPr>
        <w:ind w:left="660" w:right="120" w:firstLine="1292"/>
        <w:spacing w:after="0" w:line="254" w:lineRule="auto"/>
        <w:tabs>
          <w:tab w:leader="none" w:pos="2487"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The right to indemnification provided in this Section shall include the right to have the expenses incurred by the Indemnitee in participating in any Proceeding paid by the Corporation in advance of the final disposition of the Proceeding arising out of or related to Indemnitee’s service at any time in a Covered Capacity automatically and without any action or approval required by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190" w:lineRule="exact"/>
        <w:rPr>
          <w:rFonts w:ascii="Arial" w:cs="Arial" w:eastAsia="Arial" w:hAnsi="Arial"/>
          <w:sz w:val="18"/>
          <w:szCs w:val="18"/>
          <w:color w:val="auto"/>
        </w:rPr>
      </w:pPr>
    </w:p>
    <w:p>
      <w:pPr>
        <w:ind w:left="660" w:firstLine="1292"/>
        <w:spacing w:after="0" w:line="273" w:lineRule="auto"/>
        <w:tabs>
          <w:tab w:leader="none" w:pos="2541" w:val="left"/>
        </w:tabs>
        <w:numPr>
          <w:ilvl w:val="1"/>
          <w:numId w:val="43"/>
        </w:numPr>
        <w:rPr>
          <w:rFonts w:ascii="Arial" w:cs="Arial" w:eastAsia="Arial" w:hAnsi="Arial"/>
          <w:sz w:val="17"/>
          <w:szCs w:val="17"/>
          <w:color w:val="auto"/>
        </w:rPr>
      </w:pPr>
      <w:r>
        <w:rPr>
          <w:rFonts w:ascii="Arial" w:cs="Arial" w:eastAsia="Arial" w:hAnsi="Arial"/>
          <w:sz w:val="17"/>
          <w:szCs w:val="17"/>
          <w:color w:val="auto"/>
        </w:rPr>
        <w:t>For purposes of this Article, (A) “</w:t>
      </w:r>
      <w:r>
        <w:rPr>
          <w:rFonts w:ascii="Arial" w:cs="Arial" w:eastAsia="Arial" w:hAnsi="Arial"/>
          <w:sz w:val="17"/>
          <w:szCs w:val="17"/>
          <w:b w:val="1"/>
          <w:bCs w:val="1"/>
          <w:color w:val="auto"/>
        </w:rPr>
        <w:t>Indemnitee</w:t>
      </w:r>
      <w:r>
        <w:rPr>
          <w:rFonts w:ascii="Arial" w:cs="Arial" w:eastAsia="Arial" w:hAnsi="Arial"/>
          <w:sz w:val="17"/>
          <w:szCs w:val="17"/>
          <w:color w:val="auto"/>
        </w:rPr>
        <w:t>” shall mean each Director and each officer of the Corporation (including Directors and officers who have ceased serving in any such capacity) who was or is a party to, or is threatened to be made a party to, or is a witness or other participant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limited liability company, partnership, joint venture, trust, employee benefit plan, or other entity; (B) “</w:t>
      </w:r>
      <w:r>
        <w:rPr>
          <w:rFonts w:ascii="Arial" w:cs="Arial" w:eastAsia="Arial" w:hAnsi="Arial"/>
          <w:sz w:val="17"/>
          <w:szCs w:val="17"/>
          <w:b w:val="1"/>
          <w:bCs w:val="1"/>
          <w:color w:val="auto"/>
        </w:rPr>
        <w:t>Proceeding</w:t>
      </w:r>
      <w:r>
        <w:rPr>
          <w:rFonts w:ascii="Arial" w:cs="Arial" w:eastAsia="Arial" w:hAnsi="Arial"/>
          <w:sz w:val="17"/>
          <w:szCs w:val="17"/>
          <w:color w:val="auto"/>
        </w:rPr>
        <w:t>” shall mean any threatened, pending or completed action, suit, claim, counterclaim, cross claim, arbitration, alternate dispute resolution mechanism, investigation, inquiry, administrative hearing or any other actual, threatened</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type w:val="continuous"/>
        </w:sectPr>
      </w:pPr>
    </w:p>
    <w:bookmarkStart w:id="34" w:name="page35"/>
    <w:bookmarkEnd w:id="34"/>
    <w:p>
      <w:pPr>
        <w:ind w:left="660" w:right="20"/>
        <w:spacing w:after="0" w:line="263" w:lineRule="auto"/>
        <w:rPr>
          <w:sz w:val="20"/>
          <w:szCs w:val="20"/>
          <w:color w:val="auto"/>
        </w:rPr>
      </w:pPr>
      <w:r>
        <w:rPr>
          <w:rFonts w:ascii="Arial" w:cs="Arial" w:eastAsia="Arial" w:hAnsi="Arial"/>
          <w:sz w:val="18"/>
          <w:szCs w:val="18"/>
          <w:color w:val="auto"/>
        </w:rPr>
        <w:t>or completed proceeding, whether civil, criminal, administrative or investigative, including any appeal therefrom, and whether instituted by or on behalf of the Corporation or any other party; and (C) service as a Director or officer of the Corporation or in any other capacity of the type referred to in clause (A)</w:t>
      </w:r>
      <w:r>
        <w:rPr>
          <w:rFonts w:ascii="Arial" w:cs="Arial" w:eastAsia="Arial" w:hAnsi="Arial"/>
          <w:sz w:val="18"/>
          <w:szCs w:val="18"/>
          <w:i w:val="1"/>
          <w:iCs w:val="1"/>
          <w:color w:val="auto"/>
        </w:rPr>
        <w:t>‎</w:t>
      </w:r>
      <w:r>
        <w:rPr>
          <w:rFonts w:ascii="Arial" w:cs="Arial" w:eastAsia="Arial" w:hAnsi="Arial"/>
          <w:sz w:val="18"/>
          <w:szCs w:val="18"/>
          <w:color w:val="auto"/>
        </w:rPr>
        <w:t xml:space="preserve"> of this paragraph shall be deemed service in a “</w:t>
      </w:r>
      <w:r>
        <w:rPr>
          <w:rFonts w:ascii="Arial" w:cs="Arial" w:eastAsia="Arial" w:hAnsi="Arial"/>
          <w:sz w:val="18"/>
          <w:szCs w:val="18"/>
          <w:b w:val="1"/>
          <w:bCs w:val="1"/>
          <w:color w:val="auto"/>
        </w:rPr>
        <w:t>Covered Capacity</w:t>
      </w:r>
      <w:r>
        <w:rPr>
          <w:rFonts w:ascii="Arial" w:cs="Arial" w:eastAsia="Arial" w:hAnsi="Arial"/>
          <w:sz w:val="18"/>
          <w:szCs w:val="18"/>
          <w:color w:val="auto"/>
        </w:rPr>
        <w:t>.”</w:t>
      </w:r>
    </w:p>
    <w:p>
      <w:pPr>
        <w:spacing w:after="0" w:line="184" w:lineRule="exact"/>
        <w:rPr>
          <w:sz w:val="20"/>
          <w:szCs w:val="20"/>
          <w:color w:val="auto"/>
        </w:rPr>
      </w:pPr>
    </w:p>
    <w:p>
      <w:pPr>
        <w:ind w:left="660" w:right="580" w:firstLine="1292"/>
        <w:spacing w:after="0" w:line="277" w:lineRule="auto"/>
        <w:tabs>
          <w:tab w:leader="none" w:pos="2527"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provisions of this Article shall inure to the benefit of and be enforceable by an Indemnitee’s heirs, executors, administrators and legal representatives.</w:t>
      </w:r>
    </w:p>
    <w:p>
      <w:pPr>
        <w:spacing w:after="0" w:line="170" w:lineRule="exact"/>
        <w:rPr>
          <w:rFonts w:ascii="Arial" w:cs="Arial" w:eastAsia="Arial" w:hAnsi="Arial"/>
          <w:sz w:val="18"/>
          <w:szCs w:val="18"/>
          <w:color w:val="auto"/>
        </w:rPr>
      </w:pPr>
    </w:p>
    <w:p>
      <w:pPr>
        <w:ind w:firstLine="1304"/>
        <w:spacing w:after="0" w:line="284" w:lineRule="auto"/>
        <w:tabs>
          <w:tab w:leader="none" w:pos="1821"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Indemnification of Employees and Other Persons. The Corporation may, by action of its Board of Directors and to the extent provided in such action, indemnify employees and other persons, and provide for advancement of expenses to such persons in the manner set forth in (a)‎‎ (ii),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persons may be indemnified by the Board of Directors pursuant to the first sentence of this Section‎ 7.01(b).</w:t>
      </w:r>
    </w:p>
    <w:p>
      <w:pPr>
        <w:spacing w:after="0" w:line="210" w:lineRule="exact"/>
        <w:rPr>
          <w:rFonts w:ascii="Arial" w:cs="Arial" w:eastAsia="Arial" w:hAnsi="Arial"/>
          <w:sz w:val="16"/>
          <w:szCs w:val="16"/>
          <w:color w:val="auto"/>
        </w:rPr>
      </w:pPr>
    </w:p>
    <w:p>
      <w:pPr>
        <w:ind w:right="100" w:firstLine="1304"/>
        <w:spacing w:after="0" w:line="263" w:lineRule="auto"/>
        <w:tabs>
          <w:tab w:leader="none" w:pos="18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183" w:lineRule="exact"/>
        <w:rPr>
          <w:rFonts w:ascii="Arial" w:cs="Arial" w:eastAsia="Arial" w:hAnsi="Arial"/>
          <w:sz w:val="18"/>
          <w:szCs w:val="18"/>
          <w:color w:val="auto"/>
        </w:rPr>
      </w:pPr>
    </w:p>
    <w:p>
      <w:pPr>
        <w:ind w:right="80" w:firstLine="1304"/>
        <w:spacing w:after="0" w:line="259" w:lineRule="auto"/>
        <w:tabs>
          <w:tab w:leader="none" w:pos="1821"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86" w:lineRule="exact"/>
        <w:rPr>
          <w:rFonts w:ascii="Arial" w:cs="Arial" w:eastAsia="Arial" w:hAnsi="Arial"/>
          <w:sz w:val="18"/>
          <w:szCs w:val="18"/>
          <w:color w:val="auto"/>
        </w:rPr>
      </w:pPr>
    </w:p>
    <w:p>
      <w:pPr>
        <w:ind w:right="160" w:firstLine="1304"/>
        <w:spacing w:after="0" w:line="263" w:lineRule="auto"/>
        <w:tabs>
          <w:tab w:leader="none" w:pos="18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Amendment</w:t>
      </w:r>
      <w:r>
        <w:rPr>
          <w:rFonts w:ascii="Arial" w:cs="Arial" w:eastAsia="Arial" w:hAnsi="Arial"/>
          <w:sz w:val="18"/>
          <w:szCs w:val="18"/>
          <w:color w:val="auto"/>
        </w:rPr>
        <w:t>. The provisions of this ‎Article 7 shall constitute a contract between the Corporation and each of its Directors and officers which may be modified as to any Indemnitee only with that person’s consent or as specifically provided in this Section. Notwithstanding any other provision of these Bylaws relating to their amendment generally, any repeal or amendment of this ‎Article 7 which is adverse to any Indemnitee shall apply to such Indemnitee only on a prospective basis, and shall not reduce or limit the rights of an Indemnitee to indemnification or to the advancement of expenses with respect to any action or failure to act</w:t>
      </w: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ind w:right="40"/>
        <w:spacing w:after="0" w:line="257" w:lineRule="auto"/>
        <w:rPr>
          <w:sz w:val="20"/>
          <w:szCs w:val="20"/>
          <w:color w:val="auto"/>
        </w:rPr>
      </w:pPr>
      <w:r>
        <w:rPr>
          <w:rFonts w:ascii="Arial" w:cs="Arial" w:eastAsia="Arial" w:hAnsi="Arial"/>
          <w:sz w:val="18"/>
          <w:szCs w:val="18"/>
          <w:color w:val="auto"/>
        </w:rPr>
        <w:t xml:space="preserve">occurring prior to the time of such repeal or amendment. Notwithstanding any other provision of these Bylaws, no repeal or amendment of these Bylaws shall affect any or all of this Article so as either to reduce or limit indemnification or the advancement of expenses in any manner unless adopted by (a) the unanimous vote of the Directors of the Corporation then-serving, or (b) the affirmative vote of shareholders entitled to cast at least 80% of the votes that all shareholders are entitled to cast in the election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amendment shall have retroactive effect inconsistent with the preceding sentence.</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Changes in Pennsylvania Law</w:t>
      </w:r>
      <w:r>
        <w:rPr>
          <w:rFonts w:ascii="Arial" w:cs="Arial" w:eastAsia="Arial" w:hAnsi="Arial"/>
          <w:sz w:val="18"/>
          <w:szCs w:val="18"/>
          <w:color w:val="auto"/>
        </w:rPr>
        <w:t xml:space="preserve">. References in this Article to Pennsylvania law or to any provision thereof shall be to such law, as it existed on the date this Article was adopted or as such law thereafter may be changed;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change which: (a) limits the indemnification rights or the rights to advancement of expenses which the Corporation may provide, the rights to indemnification and to the advancement of expenses provided in this Article shall continue as theretofore to the extent permitted by law; and (b) permits the Corporation, without the requirement of any further action by shareholders or Directors, to provide broader indemnification rights or rights to the advancement of expenses than the Corporation was permitted to provide prior to such change, then the rights to indemnification and the advancement of expenses shall be so broadened to the extent permitted by law.</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Determination of Fiscal Year</w:t>
      </w:r>
      <w:r>
        <w:rPr>
          <w:rFonts w:ascii="Arial" w:cs="Arial" w:eastAsia="Arial" w:hAnsi="Arial"/>
          <w:sz w:val="18"/>
          <w:szCs w:val="18"/>
          <w:color w:val="auto"/>
        </w:rPr>
        <w:t>. The Board of Directors shall have the power by resolution to fix the fiscal year of the Corporation. If the Board of Directors shall fail to do so, the Chief Executive Officer shall fix the fiscal year.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INCORPORATION</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Inconsistent Provisions</w:t>
      </w:r>
      <w:r>
        <w:rPr>
          <w:rFonts w:ascii="Arial" w:cs="Arial" w:eastAsia="Arial" w:hAnsi="Arial"/>
          <w:sz w:val="18"/>
          <w:szCs w:val="18"/>
          <w:color w:val="auto"/>
        </w:rPr>
        <w:t>.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Amendments</w:t>
      </w:r>
      <w:r>
        <w:rPr>
          <w:rFonts w:ascii="Arial" w:cs="Arial" w:eastAsia="Arial" w:hAnsi="Arial"/>
          <w:sz w:val="18"/>
          <w:szCs w:val="18"/>
          <w:color w:val="auto"/>
        </w:rPr>
        <w:t>. Except as otherwise provided in these Bylaws or in the Articles of Incorporation, including Article SIXTH, Article SEVENTH and Article TENTH of the Articles of Incorporation:</w:t>
      </w:r>
    </w:p>
    <w:p>
      <w:pPr>
        <w:spacing w:after="0" w:line="170" w:lineRule="exact"/>
        <w:rPr>
          <w:sz w:val="20"/>
          <w:szCs w:val="20"/>
          <w:color w:val="auto"/>
        </w:rPr>
      </w:pPr>
    </w:p>
    <w:p>
      <w:pPr>
        <w:ind w:right="40" w:firstLine="1304"/>
        <w:spacing w:after="0" w:line="308" w:lineRule="auto"/>
        <w:tabs>
          <w:tab w:leader="none" w:pos="1811" w:val="left"/>
        </w:tabs>
        <w:numPr>
          <w:ilvl w:val="0"/>
          <w:numId w:val="46"/>
        </w:numPr>
        <w:rPr>
          <w:rFonts w:ascii="Arial" w:cs="Arial" w:eastAsia="Arial" w:hAnsi="Arial"/>
          <w:sz w:val="17"/>
          <w:szCs w:val="17"/>
          <w:color w:val="auto"/>
        </w:rPr>
      </w:pPr>
      <w:r>
        <w:rPr>
          <w:rFonts w:ascii="Arial" w:cs="Arial" w:eastAsia="Arial" w:hAnsi="Arial"/>
          <w:sz w:val="17"/>
          <w:szCs w:val="17"/>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w:t>
      </w:r>
    </w:p>
    <w:p>
      <w:pPr>
        <w:spacing w:after="0" w:line="24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jc w:val="both"/>
        <w:spacing w:after="0" w:line="263" w:lineRule="auto"/>
        <w:rPr>
          <w:sz w:val="20"/>
          <w:szCs w:val="20"/>
          <w:color w:val="auto"/>
        </w:rPr>
      </w:pPr>
      <w:r>
        <w:rPr>
          <w:rFonts w:ascii="Arial" w:cs="Arial" w:eastAsia="Arial" w:hAnsi="Arial"/>
          <w:sz w:val="18"/>
          <w:szCs w:val="18"/>
          <w:color w:val="auto"/>
        </w:rPr>
        <w:t>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184" w:lineRule="exact"/>
        <w:rPr>
          <w:sz w:val="20"/>
          <w:szCs w:val="20"/>
          <w:color w:val="auto"/>
        </w:rPr>
      </w:pPr>
    </w:p>
    <w:p>
      <w:pPr>
        <w:ind w:right="100" w:firstLine="1304"/>
        <w:spacing w:after="0" w:line="259" w:lineRule="auto"/>
        <w:tabs>
          <w:tab w:leader="none" w:pos="1821"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Board of Directors shall not have the power to amend these Bylaws on any subject that is expressly committed to the shareholders by the express terms hereof, by the Pennsylvania BCL or otherwise.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INTERPRETATION OF BYLAWS; SEPARABILITY</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Interpretation</w:t>
      </w:r>
      <w:r>
        <w:rPr>
          <w:rFonts w:ascii="Arial" w:cs="Arial" w:eastAsia="Arial" w:hAnsi="Arial"/>
          <w:sz w:val="18"/>
          <w:szCs w:val="18"/>
          <w:color w:val="auto"/>
        </w:rPr>
        <w:t>. All words, terms and provisions of these Bylaws shall be interpreted and defined by and in accordance with the Pennsylvania BCL.</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Separability</w:t>
      </w:r>
      <w:r>
        <w:rPr>
          <w:rFonts w:ascii="Arial" w:cs="Arial" w:eastAsia="Arial" w:hAnsi="Arial"/>
          <w:sz w:val="16"/>
          <w:szCs w:val="16"/>
          <w:color w:val="auto"/>
        </w:rPr>
        <w:t>.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DETERMINATIONS BY THE BOARD</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Effect of Board Determinations</w:t>
      </w:r>
      <w:r>
        <w:rPr>
          <w:rFonts w:ascii="Arial" w:cs="Arial" w:eastAsia="Arial" w:hAnsi="Arial"/>
          <w:sz w:val="18"/>
          <w:szCs w:val="18"/>
          <w:color w:val="auto"/>
        </w:rPr>
        <w:t>. Any determination involving interpretation or application of these Bylaws made in good faith by the Board of Directors shall be final, binding and conclusive on all parties in interest.</w:t>
      </w: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5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lowerLetter"/>
      <w:start w:val="1"/>
    </w:lvl>
  </w:abstractNum>
  <w:abstractNum w:abstractNumId="2">
    <w:nsid w:val="79838CB2"/>
    <w:multiLevelType w:val="hybridMultilevel"/>
    <w:lvl w:ilvl="0">
      <w:lvlJc w:val="left"/>
      <w:lvlText w:val="(%1)"/>
      <w:numFmt w:val="lowerLetter"/>
      <w:start w:val="2"/>
    </w:lvl>
  </w:abstractNum>
  <w:abstractNum w:abstractNumId="3">
    <w:nsid w:val="4353D0CD"/>
    <w:multiLevelType w:val="hybridMultilevel"/>
    <w:lvl w:ilvl="0">
      <w:lvlJc w:val="left"/>
      <w:lvlText w:val="(%1)"/>
      <w:numFmt w:val="lowerLetter"/>
      <w:start w:val="1"/>
    </w:lvl>
  </w:abstractNum>
  <w:abstractNum w:abstractNumId="4">
    <w:nsid w:val="B03E0C6"/>
    <w:multiLevelType w:val="hybridMultilevel"/>
    <w:lvl w:ilvl="0">
      <w:lvlJc w:val="left"/>
      <w:lvlText w:val="(%1)"/>
      <w:numFmt w:val="lowerLetter"/>
      <w:start w:val="5"/>
    </w:lvl>
  </w:abstractNum>
  <w:abstractNum w:abstractNumId="5">
    <w:nsid w:val="189A769B"/>
    <w:multiLevelType w:val="hybridMultilevel"/>
    <w:lvl w:ilvl="0">
      <w:lvlJc w:val="left"/>
      <w:lvlText w:val="(%1)"/>
      <w:numFmt w:val="lowerLetter"/>
      <w:start w:val="1"/>
    </w:lvl>
  </w:abstractNum>
  <w:abstractNum w:abstractNumId="6">
    <w:nsid w:val="54E49EB4"/>
    <w:multiLevelType w:val="hybridMultilevel"/>
    <w:lvl w:ilvl="0">
      <w:lvlJc w:val="left"/>
      <w:lvlText w:val="(%1)"/>
      <w:numFmt w:val="lowerLetter"/>
      <w:start w:val="1"/>
    </w:lvl>
  </w:abstractNum>
  <w:abstractNum w:abstractNumId="7">
    <w:nsid w:val="71F32454"/>
    <w:multiLevelType w:val="hybridMultilevel"/>
    <w:lvl w:ilvl="0">
      <w:lvlJc w:val="left"/>
      <w:lvlText w:val="(%1)"/>
      <w:numFmt w:val="lowerLetter"/>
      <w:start w:val="3"/>
    </w:lvl>
  </w:abstractNum>
  <w:abstractNum w:abstractNumId="8">
    <w:nsid w:val="2CA88611"/>
    <w:multiLevelType w:val="hybridMultilevel"/>
    <w:lvl w:ilvl="0">
      <w:lvlJc w:val="left"/>
      <w:lvlText w:val="(%1)"/>
      <w:numFmt w:val="lowerLetter"/>
      <w:start w:val="1"/>
    </w:lvl>
    <w:lvl w:ilvl="1">
      <w:lvlJc w:val="left"/>
      <w:lvlText w:val="(%2)"/>
      <w:numFmt w:val="lowerRoman"/>
      <w:start w:val="1"/>
    </w:lvl>
  </w:abstractNum>
  <w:abstractNum w:abstractNumId="9">
    <w:nsid w:val="836C40E"/>
    <w:multiLevelType w:val="hybridMultilevel"/>
    <w:lvl w:ilvl="0">
      <w:lvlJc w:val="left"/>
      <w:lvlText w:val="(%1)"/>
      <w:numFmt w:val="lowerRoman"/>
      <w:start w:val="3"/>
    </w:lvl>
    <w:lvl w:ilvl="1">
      <w:lvlJc w:val="left"/>
      <w:lvlText w:val="(%2)"/>
      <w:numFmt w:val="upperLetter"/>
      <w:start w:val="1"/>
    </w:lvl>
  </w:abstractNum>
  <w:abstractNum w:abstractNumId="10">
    <w:nsid w:val="2901D82"/>
    <w:multiLevelType w:val="hybridMultilevel"/>
    <w:lvl w:ilvl="0">
      <w:lvlJc w:val="left"/>
      <w:lvlText w:val="%1"/>
      <w:numFmt w:val="lowerRoman"/>
      <w:start w:val="1"/>
    </w:lvl>
    <w:lvl w:ilvl="1">
      <w:lvlJc w:val="left"/>
      <w:lvlText w:val="(%2)"/>
      <w:numFmt w:val="upperLetter"/>
      <w:start w:val="4"/>
    </w:lvl>
  </w:abstractNum>
  <w:abstractNum w:abstractNumId="11">
    <w:nsid w:val="3A95F874"/>
    <w:multiLevelType w:val="hybridMultilevel"/>
    <w:lvl w:ilvl="0">
      <w:lvlJc w:val="left"/>
      <w:lvlText w:val="(%1)"/>
      <w:numFmt w:val="lowerRoman"/>
      <w:start w:val="4"/>
    </w:lvl>
    <w:lvl w:ilvl="1">
      <w:lvlJc w:val="left"/>
      <w:lvlText w:val="%2"/>
      <w:numFmt w:val="upperLetter"/>
      <w:start w:val="1"/>
    </w:lvl>
  </w:abstractNum>
  <w:abstractNum w:abstractNumId="12">
    <w:nsid w:val="8138641"/>
    <w:multiLevelType w:val="hybridMultilevel"/>
    <w:lvl w:ilvl="0">
      <w:lvlJc w:val="left"/>
      <w:lvlText w:val="(%1)"/>
      <w:numFmt w:val="lowerLetter"/>
      <w:start w:val="2"/>
    </w:lvl>
  </w:abstractNum>
  <w:abstractNum w:abstractNumId="13">
    <w:nsid w:val="1E7FF521"/>
    <w:multiLevelType w:val="hybridMultilevel"/>
    <w:lvl w:ilvl="0">
      <w:lvlJc w:val="left"/>
      <w:lvlText w:val="(%1)"/>
      <w:numFmt w:val="lowerLetter"/>
      <w:start w:val="4"/>
    </w:lvl>
    <w:lvl w:ilvl="1">
      <w:lvlJc w:val="left"/>
      <w:lvlText w:val="(%2)"/>
      <w:numFmt w:val="lowerRoman"/>
      <w:start w:val="1"/>
    </w:lvl>
  </w:abstractNum>
  <w:abstractNum w:abstractNumId="14">
    <w:nsid w:val="7C3DBD3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4"/>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lowerLetter"/>
      <w:start w:val="3"/>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1)"/>
      <w:numFmt w:val="lowerLetter"/>
      <w:start w:val="1"/>
    </w:lvl>
    <w:lvl w:ilvl="1">
      <w:lvlJc w:val="left"/>
      <w:lvlText w:val="(%2)"/>
      <w:numFmt w:val="lowerRoman"/>
      <w:start w:val="1"/>
    </w:lvl>
  </w:abstractNum>
  <w:abstractNum w:abstractNumId="20">
    <w:nsid w:val="614FD4A1"/>
    <w:multiLevelType w:val="hybridMultilevel"/>
    <w:lvl w:ilvl="0">
      <w:lvlJc w:val="left"/>
      <w:lvlText w:val="(%1)"/>
      <w:numFmt w:val="lowerLetter"/>
      <w:start w:val="1"/>
    </w:lvl>
  </w:abstractNum>
  <w:abstractNum w:abstractNumId="21">
    <w:nsid w:val="419AC241"/>
    <w:multiLevelType w:val="hybridMultilevel"/>
    <w:lvl w:ilvl="0">
      <w:lvlJc w:val="left"/>
      <w:lvlText w:val="%1"/>
      <w:numFmt w:val="lowerLetter"/>
      <w:start w:val="1"/>
    </w:lvl>
    <w:lvl w:ilvl="1">
      <w:lvlJc w:val="left"/>
      <w:lvlText w:val="(%2)"/>
      <w:numFmt w:val="lowerRoman"/>
      <w:start w:val="1"/>
    </w:lvl>
  </w:abstractNum>
  <w:abstractNum w:abstractNumId="22">
    <w:nsid w:val="5577F8E1"/>
    <w:multiLevelType w:val="hybridMultilevel"/>
    <w:lvl w:ilvl="0">
      <w:lvlJc w:val="left"/>
      <w:lvlText w:val="(%1)"/>
      <w:numFmt w:val="lowerLetter"/>
      <w:start w:val="2"/>
    </w:lvl>
    <w:lvl w:ilvl="1">
      <w:lvlJc w:val="left"/>
      <w:lvlText w:val="%2"/>
      <w:numFmt w:val="lowerRoman"/>
      <w:start w:val="1"/>
    </w:lvl>
  </w:abstractNum>
  <w:abstractNum w:abstractNumId="23">
    <w:nsid w:val="440BADFC"/>
    <w:multiLevelType w:val="hybridMultilevel"/>
    <w:lvl w:ilvl="0">
      <w:lvlJc w:val="left"/>
      <w:lvlText w:val="(%1)"/>
      <w:numFmt w:val="lowerLetter"/>
      <w:start w:val="4"/>
    </w:lvl>
  </w:abstractNum>
  <w:abstractNum w:abstractNumId="24">
    <w:nsid w:val="5072367"/>
    <w:multiLevelType w:val="hybridMultilevel"/>
    <w:lvl w:ilvl="0">
      <w:lvlJc w:val="left"/>
      <w:lvlText w:val="(%1)"/>
      <w:numFmt w:val="lowerLetter"/>
      <w:start w:val="1"/>
    </w:lvl>
    <w:lvl w:ilvl="1">
      <w:lvlJc w:val="left"/>
      <w:lvlText w:val="(%2)"/>
      <w:numFmt w:val="lowerLetter"/>
      <w:start w:val="9"/>
    </w:lvl>
  </w:abstractNum>
  <w:abstractNum w:abstractNumId="25">
    <w:nsid w:val="3804823E"/>
    <w:multiLevelType w:val="hybridMultilevel"/>
    <w:lvl w:ilvl="0">
      <w:lvlJc w:val="left"/>
      <w:lvlText w:val="%1"/>
      <w:numFmt w:val="lowerLetter"/>
      <w:start w:val="1"/>
    </w:lvl>
    <w:lvl w:ilvl="1">
      <w:lvlJc w:val="left"/>
      <w:lvlText w:val="(%2)"/>
      <w:numFmt w:val="lowerLetter"/>
      <w:start w:val="35"/>
    </w:lvl>
  </w:abstractNum>
  <w:abstractNum w:abstractNumId="26">
    <w:nsid w:val="77465F01"/>
    <w:multiLevelType w:val="hybridMultilevel"/>
    <w:lvl w:ilvl="0">
      <w:lvlJc w:val="left"/>
      <w:lvlText w:val="(%1)"/>
      <w:numFmt w:val="lowerLetter"/>
      <w:start w:val="2"/>
    </w:lvl>
    <w:lvl w:ilvl="1">
      <w:lvlJc w:val="left"/>
      <w:lvlText w:val="(%2)"/>
      <w:numFmt w:val="lowerLetter"/>
      <w:start w:val="9"/>
    </w:lvl>
  </w:abstractNum>
  <w:abstractNum w:abstractNumId="27">
    <w:nsid w:val="7724C67E"/>
    <w:multiLevelType w:val="hybridMultilevel"/>
    <w:lvl w:ilvl="0">
      <w:lvlJc w:val="left"/>
      <w:lvlText w:val="(%1)"/>
      <w:numFmt w:val="lowerRoman"/>
      <w:start w:val="2"/>
    </w:lvl>
  </w:abstractNum>
  <w:abstractNum w:abstractNumId="28">
    <w:nsid w:val="5C482A97"/>
    <w:multiLevelType w:val="hybridMultilevel"/>
    <w:lvl w:ilvl="0">
      <w:lvlJc w:val="left"/>
      <w:lvlText w:val="(%1)"/>
      <w:numFmt w:val="lowerLetter"/>
      <w:start w:val="3"/>
    </w:lvl>
    <w:lvl w:ilvl="1">
      <w:lvlJc w:val="left"/>
      <w:lvlText w:val="(%2)"/>
      <w:numFmt w:val="lowerRoman"/>
      <w:start w:val="1"/>
    </w:lvl>
  </w:abstractNum>
  <w:abstractNum w:abstractNumId="29">
    <w:nsid w:val="2463B9EA"/>
    <w:multiLevelType w:val="hybridMultilevel"/>
    <w:lvl w:ilvl="0">
      <w:lvlJc w:val="left"/>
      <w:lvlText w:val="(%1)"/>
      <w:numFmt w:val="lowerRoman"/>
      <w:start w:val="3"/>
    </w:lvl>
  </w:abstractNum>
  <w:abstractNum w:abstractNumId="30">
    <w:nsid w:val="5E884AD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1">
    <w:nsid w:val="51EAD36B"/>
    <w:multiLevelType w:val="hybridMultilevel"/>
    <w:lvl w:ilvl="0">
      <w:lvlJc w:val="left"/>
      <w:lvlText w:val="%1"/>
      <w:numFmt w:val="decimal"/>
      <w:start w:val="1"/>
    </w:lvl>
    <w:lvl w:ilvl="1">
      <w:lvlJc w:val="left"/>
      <w:lvlText w:val="(%2)"/>
      <w:numFmt w:val="upperLetter"/>
      <w:start w:val="5"/>
    </w:lvl>
  </w:abstractNum>
  <w:abstractNum w:abstractNumId="32">
    <w:nsid w:val="2D517796"/>
    <w:multiLevelType w:val="hybridMultilevel"/>
    <w:lvl w:ilvl="0">
      <w:lvlJc w:val="left"/>
      <w:lvlText w:val="(%1)"/>
      <w:numFmt w:val="decimal"/>
      <w:start w:val="1"/>
    </w:lvl>
    <w:lvl w:ilvl="1">
      <w:lvlJc w:val="left"/>
      <w:lvlText w:val="%2"/>
      <w:numFmt w:val="upperLetter"/>
      <w:start w:val="1"/>
    </w:lvl>
  </w:abstractNum>
  <w:abstractNum w:abstractNumId="33">
    <w:nsid w:val="580BD78F"/>
    <w:multiLevelType w:val="hybridMultilevel"/>
    <w:lvl w:ilvl="0">
      <w:lvlJc w:val="left"/>
      <w:lvlText w:val="(%1)"/>
      <w:numFmt w:val="upperLetter"/>
      <w:start w:val="6"/>
    </w:lvl>
  </w:abstractNum>
  <w:abstractNum w:abstractNumId="34">
    <w:nsid w:val="153EA43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7"/>
    </w:lvl>
  </w:abstractNum>
  <w:abstractNum w:abstractNumId="35">
    <w:nsid w:val="3855585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6">
    <w:nsid w:val="70A64E2A"/>
    <w:multiLevelType w:val="hybridMultilevel"/>
    <w:lvl w:ilvl="0">
      <w:lvlJc w:val="left"/>
      <w:lvlText w:val="(%1)"/>
      <w:numFmt w:val="lowerLetter"/>
      <w:start w:val="5"/>
    </w:lvl>
    <w:lvl w:ilvl="1">
      <w:lvlJc w:val="left"/>
      <w:lvlText w:val="(%2)"/>
      <w:numFmt w:val="lowerLetter"/>
      <w:start w:val="9"/>
    </w:lvl>
    <w:lvl w:ilvl="2">
      <w:lvlJc w:val="left"/>
      <w:lvlText w:val="%3"/>
      <w:numFmt w:val="upperLetter"/>
      <w:start w:val="1"/>
    </w:lvl>
  </w:abstractNum>
  <w:abstractNum w:abstractNumId="37">
    <w:nsid w:val="6A2342EC"/>
    <w:multiLevelType w:val="hybridMultilevel"/>
    <w:lvl w:ilvl="0">
      <w:lvlJc w:val="left"/>
      <w:lvlText w:val="(%1)"/>
      <w:numFmt w:val="lowerRoman"/>
      <w:start w:val="2"/>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lowerLetter"/>
      <w:start w:val="1"/>
    </w:lvl>
    <w:lvl w:ilvl="1">
      <w:lvlJc w:val="left"/>
      <w:lvlText w:val="(%2)"/>
      <w:numFmt w:val="lowerRoman"/>
      <w:start w:val="1"/>
    </w:lvl>
  </w:abstractNum>
  <w:abstractNum w:abstractNumId="40">
    <w:nsid w:val="725A06FB"/>
    <w:multiLevelType w:val="hybridMultilevel"/>
    <w:lvl w:ilvl="0">
      <w:lvlJc w:val="left"/>
      <w:lvlText w:val="(%1)"/>
      <w:numFmt w:val="lowerRoman"/>
      <w:start w:val="4"/>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1)"/>
      <w:numFmt w:val="lowerLetter"/>
      <w:start w:val="1"/>
    </w:lvl>
    <w:lvl w:ilvl="1">
      <w:lvlJc w:val="left"/>
      <w:lvlText w:val="(%2)"/>
      <w:numFmt w:val="lowerRoman"/>
      <w:start w:val="1"/>
    </w:lvl>
  </w:abstractNum>
  <w:abstractNum w:abstractNumId="43">
    <w:nsid w:val="7A6D8D3C"/>
    <w:multiLevelType w:val="hybridMultilevel"/>
    <w:lvl w:ilvl="0">
      <w:lvlJc w:val="left"/>
      <w:lvlText w:val="%1"/>
      <w:numFmt w:val="lowerLetter"/>
      <w:start w:val="1"/>
    </w:lvl>
    <w:lvl w:ilvl="1">
      <w:lvlJc w:val="left"/>
      <w:lvlText w:val="(%2)"/>
      <w:numFmt w:val="lowerRoman"/>
      <w:start w:val="4"/>
    </w:lvl>
  </w:abstractNum>
  <w:abstractNum w:abstractNumId="44">
    <w:nsid w:val="4B588F54"/>
    <w:multiLevelType w:val="hybridMultilevel"/>
    <w:lvl w:ilvl="0">
      <w:lvlJc w:val="left"/>
      <w:lvlText w:val="(%1)"/>
      <w:numFmt w:val="lowerLetter"/>
      <w:start w:val="2"/>
    </w:lvl>
    <w:lvl w:ilvl="1">
      <w:lvlJc w:val="left"/>
      <w:lvlText w:val="%2"/>
      <w:numFmt w:val="lowerRoman"/>
      <w:start w:val="1"/>
    </w:lvl>
  </w:abstractNum>
  <w:abstractNum w:abstractNumId="45">
    <w:nsid w:val="542289EC"/>
    <w:multiLevelType w:val="hybridMultilevel"/>
    <w:lvl w:ilvl="0">
      <w:lvlJc w:val="left"/>
      <w:lvlText w:val="(%1)"/>
      <w:numFmt w:val="lowerLetter"/>
      <w:start w:val="1"/>
    </w:lvl>
  </w:abstractNum>
  <w:abstractNum w:abstractNumId="46">
    <w:nsid w:val="6DE91B1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2022-12-27T05:07:48Z</dcterms:created>
  <dcterms:modified xsi:type="dcterms:W3CDTF">2022-12-27T05:07:48Z</dcterms:modified>
</cp:coreProperties>
</file>