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7"/>
          <w:szCs w:val="17"/>
          <w:b w:val="1"/>
          <w:bCs w:val="1"/>
          <w:color w:val="auto"/>
        </w:rPr>
        <w:t>September 12, 2005</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COMCAST HOLDINGS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380" w:type="dxa"/>
        <w:tblCellMar>
          <w:top w:w="0" w:type="dxa"/>
          <w:left w:w="0" w:type="dxa"/>
          <w:bottom w:w="0" w:type="dxa"/>
          <w:right w:w="0" w:type="dxa"/>
        </w:tblCellMar>
      </w:tblPr>
      <w:tr>
        <w:trPr>
          <w:trHeight w:val="220"/>
        </w:trPr>
        <w:tc>
          <w:tcPr>
            <w:tcW w:w="3640" w:type="dxa"/>
            <w:vAlign w:val="bottom"/>
          </w:tcPr>
          <w:p>
            <w:pPr>
              <w:jc w:val="center"/>
              <w:ind w:right="650"/>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001-15471</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23-1709202</w:t>
            </w:r>
          </w:p>
        </w:tc>
      </w:tr>
      <w:tr>
        <w:trPr>
          <w:trHeight w:val="216"/>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1"/>
              </w:rPr>
              <w:t>(State or Other Jurisdiction</w:t>
            </w:r>
          </w:p>
        </w:tc>
        <w:tc>
          <w:tcPr>
            <w:tcW w:w="380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4"/>
              </w:rPr>
              <w:t>of Incorporation)</w:t>
            </w:r>
          </w:p>
        </w:tc>
        <w:tc>
          <w:tcPr>
            <w:tcW w:w="380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1500 Market Street</w:t>
            </w:r>
          </w:p>
        </w:tc>
        <w:tc>
          <w:tcPr>
            <w:tcW w:w="38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36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Philadelphia, PA</w:t>
            </w:r>
          </w:p>
        </w:tc>
        <w:tc>
          <w:tcPr>
            <w:tcW w:w="3800" w:type="dxa"/>
            <w:vAlign w:val="bottom"/>
          </w:tcPr>
          <w:p>
            <w:pPr>
              <w:spacing w:after="0"/>
              <w:rPr>
                <w:sz w:val="19"/>
                <w:szCs w:val="19"/>
                <w:color w:val="auto"/>
              </w:rPr>
            </w:pP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19102-2148</w:t>
            </w:r>
          </w:p>
        </w:tc>
      </w:tr>
      <w:tr>
        <w:trPr>
          <w:trHeight w:val="230"/>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spacing w:after="0"/>
              <w:rPr>
                <w:sz w:val="20"/>
                <w:szCs w:val="20"/>
                <w:color w:val="auto"/>
              </w:rPr>
            </w:pPr>
          </w:p>
        </w:tc>
        <w:tc>
          <w:tcPr>
            <w:tcW w:w="244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Item 3.03. Material Modification to Rights of Security Holders</w:t>
      </w:r>
    </w:p>
    <w:p>
      <w:pPr>
        <w:spacing w:after="0" w:line="225"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As described in more detail below, Comcast Corporation (“Comcast”) has fully and unconditionally guaranteed the Listed ZONES and the 10 5/8% Senior Subordinated Debentures due 2012 issued by Comcast Holdings Corporation (the “Company”).</w:t>
      </w:r>
    </w:p>
    <w:p>
      <w:pPr>
        <w:spacing w:after="0" w:line="170"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Listed ZONES</w:t>
      </w:r>
      <w:r>
        <w:rPr>
          <w:rFonts w:ascii="Arial" w:cs="Arial" w:eastAsia="Arial" w:hAnsi="Arial"/>
          <w:sz w:val="18"/>
          <w:szCs w:val="18"/>
          <w:color w:val="auto"/>
        </w:rPr>
        <w:t>. On September 12, 2005, the Company, Comcast and Deutsche Bank Trust Company Americas (formerly known as Bankers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Trustee, entered into a supplemental indenture (the “ZONES First Supplemental Indenture”), which amended the Indenture dated as of June 15, 1999 between the Company and Bankers Trust Company (the “ZONES Indenture”), pursuant to which the Company issued certain debt securities, including its 2.0% Exchangeable Subordinated Debentures due (October) 2029 (the “Listed ZONES”).</w:t>
      </w:r>
    </w:p>
    <w:p>
      <w:pPr>
        <w:spacing w:after="0" w:line="187"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Under the terms of the ZONES First Supplemental Indenture, Comcast has fully and unconditionally guaranteed the Listed ZONES. Any payments under this guaranty are subordinated in right of payment to the prior payment in full of all of Comcast’s senior indebtedness, all upon the terms and subject to the conditions set out in the ZONES First Supplemental Indenture.</w:t>
      </w:r>
    </w:p>
    <w:p>
      <w:pPr>
        <w:spacing w:after="0" w:line="181" w:lineRule="exact"/>
        <w:rPr>
          <w:sz w:val="24"/>
          <w:szCs w:val="24"/>
          <w:color w:val="auto"/>
        </w:rPr>
      </w:pPr>
    </w:p>
    <w:p>
      <w:pPr>
        <w:ind w:right="240" w:firstLine="648"/>
        <w:spacing w:after="0" w:line="264" w:lineRule="auto"/>
        <w:rPr>
          <w:sz w:val="20"/>
          <w:szCs w:val="20"/>
          <w:color w:val="auto"/>
        </w:rPr>
      </w:pPr>
      <w:r>
        <w:rPr>
          <w:rFonts w:ascii="Arial" w:cs="Arial" w:eastAsia="Arial" w:hAnsi="Arial"/>
          <w:sz w:val="18"/>
          <w:szCs w:val="18"/>
          <w:color w:val="auto"/>
        </w:rPr>
        <w:t>The guaranty extends to the Listed ZONES, which were issued in October 1999, but not to the Company’s 2.0% Exchangeable Subordinated Debentures due November 2029 (the “Unlisted ZONES”) issued in November 1999. The Listed Zones are, and will continue to be listed on the New York Stock Exchange, Inc., under the symbol “CCZ”.</w:t>
      </w:r>
    </w:p>
    <w:p>
      <w:pPr>
        <w:spacing w:after="0" w:line="181"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10 5/8% Senior Subordinated Debentures due 2012. </w:t>
      </w:r>
      <w:r>
        <w:rPr>
          <w:rFonts w:ascii="Arial" w:cs="Arial" w:eastAsia="Arial" w:hAnsi="Arial"/>
          <w:sz w:val="18"/>
          <w:szCs w:val="18"/>
          <w:color w:val="auto"/>
        </w:rPr>
        <w:t>On September 12, 2005, the Company, Comcast and The Bank of New York (successor to</w:t>
      </w:r>
      <w:r>
        <w:rPr>
          <w:rFonts w:ascii="Arial" w:cs="Arial" w:eastAsia="Arial" w:hAnsi="Arial"/>
          <w:sz w:val="18"/>
          <w:szCs w:val="18"/>
          <w:i w:val="1"/>
          <w:iCs w:val="1"/>
          <w:color w:val="auto"/>
        </w:rPr>
        <w:t xml:space="preserve"> </w:t>
      </w:r>
      <w:r>
        <w:rPr>
          <w:rFonts w:ascii="Arial" w:cs="Arial" w:eastAsia="Arial" w:hAnsi="Arial"/>
          <w:sz w:val="18"/>
          <w:szCs w:val="18"/>
          <w:color w:val="auto"/>
        </w:rPr>
        <w:t>Morgan Guaranty Trust Company of New York), as Trustee, entered into a supplemental indenture (the “Senior Debentures First Supplemental Indenture”), which amended the Indenture dated as of October 17, 1991 between the Company and Morgan Guaranty Trust Company of New York, pursuant to which the Company issued its 10 5/8% Senior Subordinated Debentures due 2012.</w:t>
      </w:r>
    </w:p>
    <w:p>
      <w:pPr>
        <w:spacing w:after="0" w:line="187" w:lineRule="exact"/>
        <w:rPr>
          <w:sz w:val="24"/>
          <w:szCs w:val="24"/>
          <w:color w:val="auto"/>
        </w:rPr>
      </w:pPr>
    </w:p>
    <w:p>
      <w:pPr>
        <w:ind w:right="180" w:firstLine="648"/>
        <w:spacing w:after="0" w:line="286" w:lineRule="auto"/>
        <w:rPr>
          <w:sz w:val="20"/>
          <w:szCs w:val="20"/>
          <w:color w:val="auto"/>
        </w:rPr>
      </w:pPr>
      <w:r>
        <w:rPr>
          <w:rFonts w:ascii="Arial" w:cs="Arial" w:eastAsia="Arial" w:hAnsi="Arial"/>
          <w:sz w:val="17"/>
          <w:szCs w:val="17"/>
          <w:color w:val="auto"/>
        </w:rPr>
        <w:t>Under the terms of the Senior Debentures First Supplemental Indenture, Comcast has fully and unconditionally guaranteed the 10 5/8% Senior Subordinated Debentures due 2012. Any payments under this guaranty are subordinated in right of payment to the prior payment in full of all of Comcast’s senior indebtedness, all upon the terms and subject to the conditions set out in the Senior Debentures First Supplemental Indenture.</w:t>
      </w:r>
    </w:p>
    <w:p>
      <w:pPr>
        <w:spacing w:after="0" w:line="166" w:lineRule="exact"/>
        <w:rPr>
          <w:sz w:val="24"/>
          <w:szCs w:val="24"/>
          <w:color w:val="auto"/>
        </w:rPr>
      </w:pPr>
    </w:p>
    <w:p>
      <w:pPr>
        <w:ind w:right="700" w:firstLine="648"/>
        <w:spacing w:after="0" w:line="277" w:lineRule="auto"/>
        <w:rPr>
          <w:sz w:val="20"/>
          <w:szCs w:val="20"/>
          <w:color w:val="auto"/>
        </w:rPr>
      </w:pPr>
      <w:r>
        <w:rPr>
          <w:rFonts w:ascii="Arial" w:cs="Arial" w:eastAsia="Arial" w:hAnsi="Arial"/>
          <w:sz w:val="18"/>
          <w:szCs w:val="18"/>
          <w:color w:val="auto"/>
        </w:rPr>
        <w:t>Copies of the ZONES First Supplemental Indenture and the Senior Debentures First Supplemental Indenture are included as exhibits to and incorporated by reference in this Current Report on Form 8-K.</w:t>
      </w:r>
    </w:p>
    <w:p>
      <w:pPr>
        <w:sectPr>
          <w:pgSz w:w="11900" w:h="16902" w:orient="portrait"/>
          <w:cols w:equalWidth="0" w:num="1">
            <w:col w:w="11400"/>
          </w:cols>
          <w:pgMar w:left="240" w:top="585" w:right="25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8.01. Other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September 13, 2005, the Company filed a Form 15 with the Securities and Exchange Commission in respect of the Unlisted ZONES.</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a result of the guaranties by Comcast of the Listed ZONES and the 10 5/8% Senior Subordinated Debentures due 2012, as described above in Item 3.03, and the filing of the Form 15</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respect of the Unlisted ZONES, the Company will no longer be required to file quarterly reports on Form 10-Q, annual reports on Form 10-K or other periodic reports pursuant to Sections 13 or 15(d) of the Securities Exchange Act of 1934, as amended. Condensed consolidated financial information relating to the Company will appear in the notes to consolidated financial statements in Comcast’s quarterly reports on Form 10-Q and annual reports on Form 10-K beginning with the quarterly report on Form 10-Q as and for the nine months ended September 30,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Financial Statements and Exhibits</w:t>
      </w:r>
    </w:p>
    <w:p>
      <w:pPr>
        <w:spacing w:after="0" w:line="225" w:lineRule="exact"/>
        <w:rPr>
          <w:sz w:val="20"/>
          <w:szCs w:val="20"/>
          <w:color w:val="auto"/>
        </w:rPr>
      </w:pPr>
    </w:p>
    <w:p>
      <w:pPr>
        <w:ind w:left="1320" w:hanging="66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4.1 First Supplemental Indenture dated as of September 12, 2005 among Comcast Holdings Corporation, Comcast Corporation, and Deutsche Bank Trust Company Americas (formerly known as Bankers Trust Company), as Trustee, relating to Comcast Holdings Corporation’s 2.0% Exchangeable Subordinated Debentures due 2029</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4.2 First Supplemental Indenture dated as of September 12, 2005 among Comcast Holdings Corporation, Comcast Corporation and The Bank of New York (successor to Morgan Guaranty Trust Company of New York), as Trustee, relating to Comcast Holdings Corporation’s 10 5/8% Senior Subordinated Debentures due 2012</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Comcast Holdings Corporation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3"/>
          </w:tcPr>
          <w:p>
            <w:pPr>
              <w:spacing w:after="0"/>
              <w:rPr>
                <w:sz w:val="20"/>
                <w:szCs w:val="20"/>
                <w:color w:val="auto"/>
              </w:rPr>
            </w:pPr>
            <w:r>
              <w:rPr>
                <w:rFonts w:ascii="Arial" w:cs="Arial" w:eastAsia="Arial" w:hAnsi="Arial"/>
                <w:sz w:val="18"/>
                <w:szCs w:val="18"/>
                <w:color w:val="auto"/>
              </w:rPr>
              <w:t>Dated: September 13, 2005</w:t>
            </w:r>
          </w:p>
        </w:tc>
        <w:tc>
          <w:tcPr>
            <w:tcW w:w="6500" w:type="dxa"/>
            <w:vAlign w:val="bottom"/>
            <w:gridSpan w:val="2"/>
          </w:tcPr>
          <w:p>
            <w:pPr>
              <w:ind w:left="1900"/>
              <w:spacing w:after="0"/>
              <w:rPr>
                <w:sz w:val="20"/>
                <w:szCs w:val="20"/>
                <w:color w:val="auto"/>
              </w:rPr>
            </w:pPr>
            <w:r>
              <w:rPr>
                <w:rFonts w:ascii="Arial" w:cs="Arial" w:eastAsia="Arial" w:hAnsi="Arial"/>
                <w:sz w:val="18"/>
                <w:szCs w:val="18"/>
                <w:color w:val="auto"/>
              </w:rPr>
              <w:t>By:  /s/ LAWRENCE J. SALVA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and Controller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20" w:type="dxa"/>
            <w:vAlign w:val="bottom"/>
          </w:tcPr>
          <w:p>
            <w:pPr>
              <w:jc w:val="center"/>
              <w:ind w:right="654"/>
              <w:spacing w:after="0"/>
              <w:rPr>
                <w:sz w:val="20"/>
                <w:szCs w:val="20"/>
                <w:color w:val="auto"/>
              </w:rPr>
            </w:pPr>
            <w:r>
              <w:rPr>
                <w:rFonts w:ascii="Arial" w:cs="Arial" w:eastAsia="Arial" w:hAnsi="Arial"/>
                <w:sz w:val="18"/>
                <w:szCs w:val="18"/>
                <w:color w:val="auto"/>
                <w:w w:val="99"/>
              </w:rPr>
              <w:t>4</w:t>
            </w: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8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650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00" w:type="dxa"/>
            <w:vAlign w:val="bottom"/>
            <w:gridSpan w:val="2"/>
          </w:tcPr>
          <w:p>
            <w:pPr>
              <w:jc w:val="center"/>
              <w:ind w:right="481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720" w:type="dxa"/>
            <w:vAlign w:val="bottom"/>
          </w:tcPr>
          <w:p>
            <w:pPr>
              <w:spacing w:after="0"/>
              <w:rPr>
                <w:sz w:val="24"/>
                <w:szCs w:val="24"/>
                <w:color w:val="auto"/>
              </w:rPr>
            </w:pPr>
          </w:p>
        </w:tc>
        <w:tc>
          <w:tcPr>
            <w:tcW w:w="6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DOCUMENT 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720" w:type="dxa"/>
            <w:vAlign w:val="bottom"/>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Borders>
              <w:top w:val="single" w:sz="8" w:color="auto"/>
            </w:tcBorders>
          </w:tcPr>
          <w:p>
            <w:pPr>
              <w:jc w:val="right"/>
              <w:ind w:right="237"/>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First Supplemental Indenture dated as of September 12, 2005 among Comcast Holdings Corporation, Comcast Corporation, and Deutsche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2"/>
              </w:rPr>
              <w:t>Bank Trust Company Americas (formerly known as Bankers Trust Company), as Trustee, relating to Comcast Holdings Corporation’s 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1"/>
              </w:rPr>
              <w:t>Exchangeable Subordinated Debentures due 2029</w:t>
            </w:r>
          </w:p>
        </w:tc>
        <w:tc>
          <w:tcPr>
            <w:tcW w:w="23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jc w:val="right"/>
              <w:ind w:right="237"/>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1"/>
              </w:rPr>
              <w:t>First Supplemental Indenture dated as of September 12, 2005 among Comcast Holdings Corporation, Comcast Corporation and The Bank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3"/>
              </w:rPr>
              <w:t>New York (successor to Morgan Guaranty Trust Company of New York), as Trustee, relating to Comcast Holdings Corporation’s 10 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Senior Subordinated Debentures due 2012</w:t>
            </w:r>
          </w:p>
        </w:tc>
        <w:tc>
          <w:tcPr>
            <w:tcW w:w="23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20" w:type="dxa"/>
            <w:vAlign w:val="bottom"/>
          </w:tcPr>
          <w:p>
            <w:pPr>
              <w:jc w:val="center"/>
              <w:ind w:right="654"/>
              <w:spacing w:after="0"/>
              <w:rPr>
                <w:sz w:val="20"/>
                <w:szCs w:val="20"/>
                <w:color w:val="auto"/>
              </w:rPr>
            </w:pPr>
            <w:r>
              <w:rPr>
                <w:rFonts w:ascii="Arial" w:cs="Arial" w:eastAsia="Arial" w:hAnsi="Arial"/>
                <w:sz w:val="18"/>
                <w:szCs w:val="18"/>
                <w:color w:val="auto"/>
                <w:w w:val="99"/>
              </w:rPr>
              <w:t>5</w:t>
            </w: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-2286635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-2286635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12,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 dated as of June 15,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THIS FIRST SUPPLEMENTAL INDENTURE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 is made as of September 12, 2005 among Comcast Holdings Corporation (formerly known as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Comcast Corporation, a Pennsylvania corporation and the parent of the Issuer (the “</w:t>
      </w:r>
      <w:r>
        <w:rPr>
          <w:rFonts w:ascii="Arial" w:cs="Arial" w:eastAsia="Arial" w:hAnsi="Arial"/>
          <w:sz w:val="18"/>
          <w:szCs w:val="18"/>
          <w:b w:val="1"/>
          <w:bCs w:val="1"/>
          <w:color w:val="auto"/>
        </w:rPr>
        <w:t>Guarantor</w:t>
      </w:r>
      <w:r>
        <w:rPr>
          <w:rFonts w:ascii="Arial" w:cs="Arial" w:eastAsia="Arial" w:hAnsi="Arial"/>
          <w:sz w:val="18"/>
          <w:szCs w:val="18"/>
          <w:color w:val="auto"/>
        </w:rPr>
        <w:t>”), and Deutsche Bank Trust Company Americas (formerly known as Bankers Trust Company),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WHEREAS, the Issuer executed and delivered an Indenture providing for the issuance from time to time of its unsecured debentures, notes or other evidences of indebtedness to be issued in one or more series, dated as of June 15, 1999 between the Issuer and the Trustee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2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WHEREAS, the Issuer issued 16,079,418 of its 2.0% Exchangeable Subordinated Debentures due 2029 (the “</w:t>
      </w:r>
      <w:r>
        <w:rPr>
          <w:rFonts w:ascii="Arial" w:cs="Arial" w:eastAsia="Arial" w:hAnsi="Arial"/>
          <w:sz w:val="18"/>
          <w:szCs w:val="18"/>
          <w:b w:val="1"/>
          <w:bCs w:val="1"/>
          <w:color w:val="auto"/>
        </w:rPr>
        <w:t>Notes</w:t>
      </w:r>
      <w:r>
        <w:rPr>
          <w:rFonts w:ascii="Arial" w:cs="Arial" w:eastAsia="Arial" w:hAnsi="Arial"/>
          <w:sz w:val="18"/>
          <w:szCs w:val="18"/>
          <w:color w:val="auto"/>
        </w:rPr>
        <w:t>”) pursuant to the terms of the Indenture;</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WHEREAS, the Issuer and the Guarantor desire by this Supplemental Indenture to add the Guarantor as a party to the Indenture and to provide for the full and unconditional guarantee by the Guarantor of the due and punctual payment of the Principal of (and premium, if any) and interest on, the Outstanding Notes, when and as the same shall become due and payable, whether at the stated maturity, by acceleration, or call for redemption, or otherwise, all according to the terms thereof and the terms of the Indenture;</w:t>
      </w:r>
    </w:p>
    <w:p>
      <w:pPr>
        <w:spacing w:after="0" w:line="187"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WHEREAS, for the avoidance of doubt, although the Issuer issued 2.0% Exchangeable Subordinated Debentures due November 2029 (the “</w:t>
      </w:r>
      <w:r>
        <w:rPr>
          <w:rFonts w:ascii="Arial" w:cs="Arial" w:eastAsia="Arial" w:hAnsi="Arial"/>
          <w:sz w:val="16"/>
          <w:szCs w:val="16"/>
          <w:b w:val="1"/>
          <w:bCs w:val="1"/>
          <w:color w:val="auto"/>
        </w:rPr>
        <w:t>November Notes”</w:t>
      </w:r>
      <w:r>
        <w:rPr>
          <w:rFonts w:ascii="Arial" w:cs="Arial" w:eastAsia="Arial" w:hAnsi="Arial"/>
          <w:sz w:val="16"/>
          <w:szCs w:val="16"/>
          <w:color w:val="auto"/>
        </w:rPr>
        <w:t>) pursuant to the terms of the Indenture, the guarantee hereunder shall not extend to any Outstanding November Notes;</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Section 7.01 of the Indenture provides that the Indenture may be amended, subject to certain exceptions specified in such Section 7.01, without the consent of the Holders of the Outstanding Notes; and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all other conditions and requirements necessary to make this Supplemental Indenture a valid and binding instrument in accordance with its terms and the terms of the Indenture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Issuer, the Guarantor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covenant and agree, for the equal and proportionate benefit of all Holders of the Notes,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The Guarantee.</w:t>
      </w:r>
      <w:r>
        <w:rPr>
          <w:rFonts w:ascii="Arial" w:cs="Arial" w:eastAsia="Arial" w:hAnsi="Arial"/>
          <w:sz w:val="18"/>
          <w:szCs w:val="18"/>
          <w:color w:val="auto"/>
        </w:rPr>
        <w:t xml:space="preserve"> Subject to the provisions of this Article, the Guarantor hereby irrevocably, fully and unconditionally guarantees the full and punctual payment (whether at maturity, upon redemption, or otherwise) of the Principal of (and premium, if any) and interest on, and all other amounts payable under the Notes, and the full and punctual payment of all other amounts payable by the Issuer to the Holders of the Notes under the Indenture. Upon the failure by the Issuer to pay punctually any such amount, the Guarantor shall forthwith on demand pay the amount not so paid at the place and in the manner specified in the Indenture.</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Guarantee Unconditional.</w:t>
      </w:r>
      <w:r>
        <w:rPr>
          <w:rFonts w:ascii="Arial" w:cs="Arial" w:eastAsia="Arial" w:hAnsi="Arial"/>
          <w:sz w:val="18"/>
          <w:szCs w:val="18"/>
          <w:color w:val="auto"/>
        </w:rPr>
        <w:t xml:space="preserve"> The obligations of the Guarantor hereunder are unconditional and absolute and, without limiting the generality of the foregoing, will not be released, discharged or otherwise affected by:</w:t>
      </w:r>
    </w:p>
    <w:p>
      <w:pPr>
        <w:sectPr>
          <w:pgSz w:w="11900" w:h="16838" w:orient="portrait"/>
          <w:cols w:equalWidth="0" w:num="1">
            <w:col w:w="11420"/>
          </w:cols>
          <w:pgMar w:left="240" w:top="121" w:right="239" w:bottom="0" w:gutter="0" w:footer="0" w:header="0"/>
        </w:sectPr>
      </w:pPr>
    </w:p>
    <w:bookmarkStart w:id="3" w:name="page4"/>
    <w:bookmarkEnd w:id="3"/>
    <w:p>
      <w:pPr>
        <w:ind w:right="380" w:firstLine="656"/>
        <w:spacing w:after="0" w:line="277" w:lineRule="auto"/>
        <w:tabs>
          <w:tab w:leader="none" w:pos="13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the Notes, by operation of law or otherwise;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the Notes;</w:t>
      </w:r>
    </w:p>
    <w:p>
      <w:pPr>
        <w:spacing w:after="0" w:line="225" w:lineRule="exact"/>
        <w:rPr>
          <w:rFonts w:ascii="Arial" w:cs="Arial" w:eastAsia="Arial" w:hAnsi="Arial"/>
          <w:sz w:val="18"/>
          <w:szCs w:val="18"/>
          <w:color w:val="auto"/>
        </w:rPr>
      </w:pPr>
    </w:p>
    <w:p>
      <w:pPr>
        <w:ind w:right="160" w:firstLine="656"/>
        <w:spacing w:after="0" w:line="342" w:lineRule="auto"/>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the Notes;</w:t>
      </w:r>
    </w:p>
    <w:p>
      <w:pPr>
        <w:spacing w:after="0" w:line="123" w:lineRule="exact"/>
        <w:rPr>
          <w:rFonts w:ascii="Arial" w:cs="Arial" w:eastAsia="Arial" w:hAnsi="Arial"/>
          <w:sz w:val="16"/>
          <w:szCs w:val="16"/>
          <w:color w:val="auto"/>
        </w:rPr>
      </w:pPr>
    </w:p>
    <w:p>
      <w:pPr>
        <w:ind w:right="320" w:firstLine="656"/>
        <w:spacing w:after="0" w:line="264" w:lineRule="auto"/>
        <w:tabs>
          <w:tab w:leader="none" w:pos="1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existence of any claim, set-off or other rights which the Guarantor may have at any time against the Issuer, the Trustee or any other Person, whether in connection with the Indenture or an unrelated transaction, provided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Issuer for any reason of the Indenture or the Notes, or any provision of applicable law or regulation purporting to prohibit the payment by the Issuer of the Principal of or interest on the Notes or any other amount payable by the Issuer under the Indenture; or</w:t>
      </w:r>
    </w:p>
    <w:p>
      <w:pPr>
        <w:spacing w:after="0" w:line="181" w:lineRule="exact"/>
        <w:rPr>
          <w:rFonts w:ascii="Arial" w:cs="Arial" w:eastAsia="Arial" w:hAnsi="Arial"/>
          <w:sz w:val="18"/>
          <w:szCs w:val="18"/>
          <w:color w:val="auto"/>
        </w:rPr>
      </w:pPr>
    </w:p>
    <w:p>
      <w:pPr>
        <w:ind w:right="180" w:firstLine="656"/>
        <w:spacing w:after="0" w:line="342" w:lineRule="auto"/>
        <w:tabs>
          <w:tab w:leader="none" w:pos="1368"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the Guarantor’s obligations hereunder.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1.03</w:t>
      </w:r>
      <w:r>
        <w:rPr>
          <w:rFonts w:ascii="Arial" w:cs="Arial" w:eastAsia="Arial" w:hAnsi="Arial"/>
          <w:sz w:val="16"/>
          <w:szCs w:val="16"/>
          <w:i w:val="1"/>
          <w:iCs w:val="1"/>
          <w:color w:val="auto"/>
        </w:rPr>
        <w:t>. Subordination.</w:t>
      </w:r>
      <w:r>
        <w:rPr>
          <w:rFonts w:ascii="Arial" w:cs="Arial" w:eastAsia="Arial" w:hAnsi="Arial"/>
          <w:sz w:val="16"/>
          <w:szCs w:val="16"/>
          <w:color w:val="auto"/>
        </w:rPr>
        <w:t xml:space="preserve"> The obligations of the Guarantor hereunder are, to the extent and in the manner set forth in Article 2, subordinated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subject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right of payment to the prior payment in full of the principal of (and premium, if any) and interest on all Senior Indebtedness of the Guarantor and is made subject to such provisions of this Supplemental Indenture.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Section 1.04</w:t>
      </w:r>
      <w:r>
        <w:rPr>
          <w:rFonts w:ascii="Arial" w:cs="Arial" w:eastAsia="Arial" w:hAnsi="Arial"/>
          <w:sz w:val="16"/>
          <w:szCs w:val="16"/>
          <w:i w:val="1"/>
          <w:iCs w:val="1"/>
          <w:color w:val="auto"/>
        </w:rPr>
        <w:t>. Discharge; Reinstatement.</w:t>
      </w:r>
      <w:r>
        <w:rPr>
          <w:rFonts w:ascii="Arial" w:cs="Arial" w:eastAsia="Arial" w:hAnsi="Arial"/>
          <w:sz w:val="16"/>
          <w:szCs w:val="16"/>
          <w:color w:val="auto"/>
        </w:rPr>
        <w:t xml:space="preserve"> The Guarantor’s obligations hereunder will remain in full force and effect until the Principal of (and premium, if any) and interest on the Notes and all other amounts payable by the Issuer with respect to the Notes under the Indenture have been paid in full. If at any time any payment of the Principal of (and premium, if any) or interest on the Notes or any other amount payable by the Issuer with respect to the Notes under the Indenture is rescinded or must be otherwise restored or returned upon the insolvency, bankruptcy or reorganization of the Issuer or otherwise, the Guarantor’s obligations hereunder with respect to such payment will be reinstated as though such payment had been due but not made at such time.</w:t>
      </w:r>
    </w:p>
    <w:p>
      <w:pPr>
        <w:spacing w:after="0" w:line="15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Section 1.05</w:t>
      </w:r>
      <w:r>
        <w:rPr>
          <w:rFonts w:ascii="Arial" w:cs="Arial" w:eastAsia="Arial" w:hAnsi="Arial"/>
          <w:sz w:val="16"/>
          <w:szCs w:val="16"/>
          <w:i w:val="1"/>
          <w:iCs w:val="1"/>
          <w:color w:val="auto"/>
        </w:rPr>
        <w:t>. Waiver by the Guarantor.</w:t>
      </w:r>
      <w:r>
        <w:rPr>
          <w:rFonts w:ascii="Arial" w:cs="Arial" w:eastAsia="Arial" w:hAnsi="Arial"/>
          <w:sz w:val="16"/>
          <w:szCs w:val="16"/>
          <w:color w:val="auto"/>
        </w:rPr>
        <w:t xml:space="preserve"> The Guarantor irrevocably waives acceptance hereof, presentment, demand, protest and any notice not provided for herein, as well as any requirement that at any time any action be taken by any Person against the Issuer or any other Person.</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Section 1.06</w:t>
      </w:r>
      <w:r>
        <w:rPr>
          <w:rFonts w:ascii="Arial" w:cs="Arial" w:eastAsia="Arial" w:hAnsi="Arial"/>
          <w:sz w:val="17"/>
          <w:szCs w:val="17"/>
          <w:i w:val="1"/>
          <w:iCs w:val="1"/>
          <w:color w:val="auto"/>
        </w:rPr>
        <w:t>. Stay of Acceleration.</w:t>
      </w:r>
      <w:r>
        <w:rPr>
          <w:rFonts w:ascii="Arial" w:cs="Arial" w:eastAsia="Arial" w:hAnsi="Arial"/>
          <w:sz w:val="17"/>
          <w:szCs w:val="17"/>
          <w:color w:val="auto"/>
        </w:rPr>
        <w:t xml:space="preserve"> If acceleration of the time for payment of any amount payable by the Issuer under the Indenture or the Notes is stayed upon the insolvency, bankruptcy or reorganization of the Issuer, all such amounts otherwise subject to acceleration under the terms of the Indenture are nonetheless payable by the Guarantor hereunder forthwith on demand by the Trustee or the Holders of the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1.07</w:t>
      </w:r>
      <w:r>
        <w:rPr>
          <w:rFonts w:ascii="Arial" w:cs="Arial" w:eastAsia="Arial" w:hAnsi="Arial"/>
          <w:sz w:val="18"/>
          <w:szCs w:val="18"/>
          <w:i w:val="1"/>
          <w:iCs w:val="1"/>
          <w:color w:val="auto"/>
        </w:rPr>
        <w:t>. Release of Guarantor.</w:t>
      </w:r>
      <w:r>
        <w:rPr>
          <w:rFonts w:ascii="Arial" w:cs="Arial" w:eastAsia="Arial" w:hAnsi="Arial"/>
          <w:sz w:val="18"/>
          <w:szCs w:val="18"/>
          <w:color w:val="auto"/>
        </w:rPr>
        <w:t xml:space="preserve"> The Guarantor’s obligation under the guarantee will terminate upon:</w:t>
      </w:r>
    </w:p>
    <w:p>
      <w:pPr>
        <w:spacing w:after="0" w:line="225" w:lineRule="exact"/>
        <w:rPr>
          <w:sz w:val="20"/>
          <w:szCs w:val="20"/>
          <w:color w:val="auto"/>
        </w:rPr>
      </w:pPr>
    </w:p>
    <w:p>
      <w:pPr>
        <w:ind w:firstLine="656"/>
        <w:spacing w:after="0" w:line="342" w:lineRule="auto"/>
        <w:tabs>
          <w:tab w:leader="none" w:pos="1343"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sale or other disposition (including by way of consolidation or merger) of the Issuer or the sale or disposition of all or substantially all the assets of the Issuer (in each case other than to the Guarantor or a Person who, prior to such sale or other disposition, is an affiliate of the Guarantor); or</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defeasance or discharge of the Notes, as provided in Article 9 of the Indenture.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delivery by the Issuer to the Trustee of an Officers’ Certificate and an Opinion of Counsel to the foregoing effect, the Trustee will execute any documents reasonably required in order to evidence the release of the Guarantor from its obligations under the guarantee.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GUARANTEE</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Agreement of Subordination.</w:t>
      </w:r>
      <w:r>
        <w:rPr>
          <w:rFonts w:ascii="Arial" w:cs="Arial" w:eastAsia="Arial" w:hAnsi="Arial"/>
          <w:sz w:val="18"/>
          <w:szCs w:val="18"/>
          <w:color w:val="auto"/>
        </w:rPr>
        <w:t xml:space="preserve"> The Guarantor covenants and agrees, and each Holder of the Notes by his acceptance thereof likewise covenants and agrees, that the Notes shall be issued subject to the provisions of this Article 2; and each Holder of the Notes, whether upon original issue or upon transfer or assignment thereof, accepts and agrees to be bound by such provisions.</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obligations of the Guarantor to make any payment of the Principal of (and premium, if any) and interest on the Notes pursuant to Article 1 of this Supplemental Indenture shall, to the extent and in the manner hereinafter set forth, be subordinated and subject in the right of payment to the prior payment in full of all Senior Indebtedness of the Guarantor, whether outstanding at the date of this Supplemental Indenture or thereafter incurred.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2 shall prevent the occurrence of any default or Event of Default hereunder.</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Payments to Holders of the Notes.</w:t>
      </w:r>
      <w:r>
        <w:rPr>
          <w:rFonts w:ascii="Arial" w:cs="Arial" w:eastAsia="Arial" w:hAnsi="Arial"/>
          <w:sz w:val="16"/>
          <w:szCs w:val="16"/>
          <w:color w:val="auto"/>
        </w:rPr>
        <w:t xml:space="preserve"> In the event and during the continuation of any default in the payment of principal, premium, interest or any other payment due on any Senior Indebtedness of the Guarantor continuing beyond the period of grace, if any, specified in the instrument or lease evidencing such Senior Indebtedness, then, unless and until such default shall have been cured or waived or shall have ceased to exist, no payment shall be made by the Guarantor pursuant to Article 1 of this Supplemental Indenture with respect to the Principal of, or premium, if any, or interest on the Notes, except sinking fund payments, if any, made by the acquisition of the Notes under Section 11.05 of the Indenture prior to the happening of such default and payments made pursuant to Article 9 of the Indenture from monies deposited with the Trustee pursuant thereto prior to the happening of such default.</w:t>
      </w:r>
    </w:p>
    <w:p>
      <w:pPr>
        <w:sectPr>
          <w:pgSz w:w="11900" w:h="16838" w:orient="portrait"/>
          <w:cols w:equalWidth="0" w:num="1">
            <w:col w:w="11380"/>
          </w:cols>
          <w:pgMar w:left="240" w:top="125" w:right="279" w:bottom="0" w:gutter="0" w:footer="0" w:header="0"/>
        </w:sectPr>
      </w:pPr>
    </w:p>
    <w:bookmarkStart w:id="4" w:name="page5"/>
    <w:bookmarkEnd w:id="4"/>
    <w:p>
      <w:pPr>
        <w:ind w:right="20" w:firstLine="648"/>
        <w:spacing w:after="0" w:line="290" w:lineRule="auto"/>
        <w:rPr>
          <w:sz w:val="20"/>
          <w:szCs w:val="20"/>
          <w:color w:val="auto"/>
        </w:rPr>
      </w:pPr>
      <w:r>
        <w:rPr>
          <w:rFonts w:ascii="Arial" w:cs="Arial" w:eastAsia="Arial" w:hAnsi="Arial"/>
          <w:sz w:val="16"/>
          <w:szCs w:val="16"/>
          <w:color w:val="auto"/>
        </w:rPr>
        <w:t>Upon any payment by the Guarantor, or distribution of assets of the Guarantor of any kind or character, whether in cash, property, or securities, to creditors upon any dissolution or winding-up or liquidation or reorganization of the Guarantor, whether voluntary or involuntary or in bankruptcy, insolvency, receivership or other proceedings, all amounts due or to become due upon all Senior Indebtedness of the Guarantor shall first be paid in full, or payment thereof provided for in money in accordance with its terms, before any payment is made on account of the Principal (and premium, if any) or interest on the Notes (except payments made pursuant to Article 9 of the Indenture from the monies deposited with the Trustee pursuant thereto prior to the happening of such dissolution, winding-up, liquidation or reorganization); and upon any such dissolution, winding-up or liquidation or reorganization any payment by the Guarantor, or distribution of assets of the Guarantor of any kind or character, whether in cash, property or securities, to which the Holders of the Notes or the Trustee would be entitled pursuant to Article 1 of this Supplemental Indenture, except for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provisions of this Article 2, shall (except as aforesaid) be paid by the Guarantor or by any receiver, trustee in bankruptcy, liquidating trustee, agent or other Person making such payment or distribution, or by the Holders of the Notes or by the Trustee under the Indenture if received by them or it, directly to the holders of Senior Indebtedness of the Guarantor (pro rata to such holders on the basis of the respective amounts of Senior Indebtedness of the Guarantor held by such holders, as calculated by the Guarantor) or their representative or representatives, or to the trustee or trustees under any indenture pursuant to which any instruments evidencing any Senior Indebtedness of the Guarantor may have been issued, as their respective interest may appear, to the extent necessary to pay all Senior Indebtedness of the Guarantor in full, in money or money’s worth, after giving effect to any concurrent payment or distribution to or for the holders of Senior Indebtedness of the Guarantor, before any payment or distribution is made to the Holders of the Notes or to the Trustee.</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Guarantor of any kind or character, whether in cash, property or securities, prohibited by the foregoing, shall be received by the Trustee or the Holders of the Notes before all Senior Indebtedness of the Guarantor is paid in full, or provision is made for such payment in money in accordance with its terms, such payment or distribution shall be held in trust for the benefit of and shall be paid over or delivered to the holders of Senior Indebtedness of the Guarantor or their representative or representatives, or to the trustee or trustees under any indenture pursuant to which any instruments evidencing any Senior Indebtedness of the Guarantor may have been issued, as their respective interest may appear, as calculated by the Guarantor, for application to the payment of all Senior Indebtedness of the Guarantor remaining unpaid to the extent necessary to pay all Senior Indebtedness of the Guarantor in full in money in accordance with its terms, after giving effect to any concurrent payment or distribution to or for the holders of such Senior Indebtedness.</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purposes of this Article 2, the words “cash, property or securities” shall not be deemed to include shares of stock of the Guarantor as reorganized or readjusted, or securities of the Guarantor or any other corporation provided for by a plan of reorganization or readjustment, the payment of which is subordinated at least to the extent provided in this Article 2 with respect to the Notes to the payment of all Senior Indebtedness of the Guarantor which may at the time be outstanding; provided that (i) the Senior Indebtedness of the Guarantor is assumed by the new corporation, if any, resulting from any such reorganization or readjustment, and (ii) the rights of the holders of the Senior Indebtedness of the Guarantor (other than leases) and of leases which are assumed are not, without the consent of such holders, altered by such reorganization or readjustment. The consolidation of the Guarantor with, or the merger of the Guarantor into, another corporation or the liquidation or dissolution of the Guarantor following the conveyance or transfer of its property as an entirety, or substantially as an entirety, to another corporation upon the terms and conditions provided for in Article 8 of the Indenture shall not be deemed a dissolution, winding-up,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liquidation or reorganization for the purposes of this Section 2.02 if such other corporation shall, as part of such consolidation, merger, conveyance or transfer, comply with the conditions stated in Article 8 of the Indenture.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Subrogation of Notes.</w:t>
      </w:r>
      <w:r>
        <w:rPr>
          <w:rFonts w:ascii="Arial" w:cs="Arial" w:eastAsia="Arial" w:hAnsi="Arial"/>
          <w:sz w:val="17"/>
          <w:szCs w:val="17"/>
          <w:color w:val="auto"/>
        </w:rPr>
        <w:t xml:space="preserve"> Subject to the payment in full of all Senior Indebtedness of the Guarantor, the rights of the Holders of the Notes shall be subrogated to the rights of the holders of Senior Indebtedness of the Guarantor to receive payments or distributions of cash, property or securities of the Guarantor applicable to the Senior Indebtedness of the Guarantor until the Principal of (and premium, if any) and interest on the Notes shall be paid in full; and, for the purposes of such subrogation, no payments or distributions to the holders of the Senior Indebtedness of the Guarantor of any cash, property or securities to which the Holders of the Notes or the Trustee would be entitled except for the provisions of this Article 2, and no payment pursuant to the provisions of this Article 2, to or for the benefit of the holders of Senior Indebtedness of the Guarantor, by Holders of the Notes or the Trustee, shall, as between the Guarantor, its creditors other than holders of Senior Indebtedness of the Guarantor, and the Holders of the Notes, be deemed to be a payment by the Guarantor to or on account of the Senior Indebtedness of the Guarantor. It is understood that the provisions of this Article 2 are and are intended solely for the purpose of defining the relative rights of the Holders of the Notes, on the one hand, and the holders of the Senior Indebtedness of the Guarantor, on the other hand.</w:t>
      </w:r>
    </w:p>
    <w:p>
      <w:pPr>
        <w:spacing w:after="0" w:line="178" w:lineRule="exact"/>
        <w:rPr>
          <w:sz w:val="20"/>
          <w:szCs w:val="20"/>
          <w:color w:val="auto"/>
        </w:rPr>
      </w:pPr>
    </w:p>
    <w:p>
      <w:pPr>
        <w:ind w:right="340" w:firstLine="648"/>
        <w:spacing w:after="0" w:line="271" w:lineRule="auto"/>
        <w:rPr>
          <w:sz w:val="20"/>
          <w:szCs w:val="20"/>
          <w:color w:val="auto"/>
        </w:rPr>
      </w:pPr>
      <w:r>
        <w:rPr>
          <w:rFonts w:ascii="Arial" w:cs="Arial" w:eastAsia="Arial" w:hAnsi="Arial"/>
          <w:sz w:val="17"/>
          <w:szCs w:val="17"/>
          <w:color w:val="auto"/>
        </w:rPr>
        <w:t>Nothing contained in this Article 2 or elsewhere in this Supplemental Indenture, in the Indenture or in the Notes is intended to or shall impair, as between the Guarantor, its creditors other than the holders of Senior Indebtedness of the Guarantor, and the Holders of the Notes, the obligation of the Guarantor, which is absolute and unconditional, to pay to the Holders of the Notes the Principal of (and premium, if any) and interest on the Notes in accordance with the terms of Article 1 of this Supplemental Indenture, or is intended to or shall affect the relative rights of the Holders of the Notes and creditors of the Guarantor other than the holders of the Senior Indebtedness of the Guarantor, nor shall anything herein or therein prevent the Trustee or a Holder of the Notes from exercising all remedies otherwise permitted by applicable law upon default under this Supplemental Indenture or the Indenture, subject to the rights, if any, under this Article 2 of the holders of Senior Indebtedness of the Guarantor, in respect of cash, property or securities of the Guarantor received upon the exercise of any such remedy.</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Upon any payment or distribution of assets of the Guarantor referred to in this Article 2, the Trustee, subject to the provisions of Section 5.01 of the Indenture, and the Holders of the Notes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the Holders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5" w:name="page6"/>
    <w:bookmarkEnd w:id="5"/>
    <w:p>
      <w:pPr>
        <w:spacing w:after="0" w:line="4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Notes, for the purpose of ascertaining the Persons entitled to participate in such distribution, the holders of the Senior Indebtedness of the Guarantor and other indebtedness of the Guarantor, the amount thereof or payable thereon, the amount or amounts paid or distributed thereon and all other facts pertinent thereto or to this Article 2.</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Authorization by Holders of the Notes.</w:t>
      </w:r>
      <w:r>
        <w:rPr>
          <w:rFonts w:ascii="Arial" w:cs="Arial" w:eastAsia="Arial" w:hAnsi="Arial"/>
          <w:sz w:val="18"/>
          <w:szCs w:val="18"/>
          <w:color w:val="auto"/>
        </w:rPr>
        <w:t xml:space="preserve"> Each Holder of the Notes by his acceptance thereof authorizes and directs the Trustee on his behalf to take such action as may be necessary or appropriate to effectuate the subordination provided in this Article 2 and appoints the Trustee his attorney-in-fact for any and all such purposes.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Notice to Trustee.</w:t>
      </w:r>
      <w:r>
        <w:rPr>
          <w:rFonts w:ascii="Arial" w:cs="Arial" w:eastAsia="Arial" w:hAnsi="Arial"/>
          <w:sz w:val="17"/>
          <w:szCs w:val="17"/>
          <w:color w:val="auto"/>
        </w:rPr>
        <w:t xml:space="preserve"> The Guarantor shall give prompt written notice to a Responsible Officer of the Trustee of any fact known to the Guarantor which would prohibit the making of any payment of monies to or by the Trustee in respect of the Notes pursuant to the provisions of this Article 2. Notwithstanding the provisions of this Article 2 or any other provision of this Supplemental Indenture or the Indenture, the Trustee shall not be charged with knowledge of the existence of any facts which would prohibit the making of any payment of monies to or by the Trustee in respect of the Notes pursuant to the provisions of this Article 2, unless and until a Responsible Officer of the Trustee shall have received written notice thereof at the Corporate Trust Office of the Trustee from the Guarantor or a holder or holders of the Senior Indebtedness of the Guarantor or from any trustee therefor; and before the receipt of any such written notice, the Trustee, subject to the provisions of Section 5.01 of the Indenture,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the Notes) the Trustee shall not have received, with respect to such monies, the notice provided for in this Section 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to the contrary hereinbefore set forth, nothing shall prevent any payment by the Guarantor or the Trustee to the Holders of the Notes of monies in connection with a redemption of the Notes if (i) notice of such redemption has been given pursuant to Article 11 or Section 9.01 of the Indenture prior to the receipt by the Trustee of written notice as aforesaid, and (ii) such notice of redemption is given not earlier than 60 days before the redemption date.</w:t>
      </w:r>
    </w:p>
    <w:p>
      <w:pPr>
        <w:spacing w:after="0" w:line="187"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The Trustee shall be entitled to conclusively rely on the delivery to it of a written notice by a Person representing himself to be a holder of Senior Indebtedness of the Guarantor (or a trustee on behalf of such holder) to establish that such notice has been given by a holder of Senior Indebtedness of the Guarantor or a trustee on behalf of any such holder or holders. In the event that the Trustee determines in good faith that further evidence is required with respect to the right of any Person as a holder of Senior Indebtedness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Guarantor to participate in any payment or distribution pursuant to this Article 2, the Trustee may request such Person to furnish evidence to the reasonable satisfaction of the Trustee as to the amount of Senior Indebtedness of the Guarantor held by such Person, the extent to which such person is entitled to participate in such payment or distribution and any other facts pertinent to the rights of such Person under this Article 2, and if such evidence is not furnished the Trustee may defer any payment to such Person pending judicial determination as to the right of such Person to receive payment.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Section 2.06</w:t>
      </w:r>
      <w:r>
        <w:rPr>
          <w:rFonts w:ascii="Arial" w:cs="Arial" w:eastAsia="Arial" w:hAnsi="Arial"/>
          <w:sz w:val="18"/>
          <w:szCs w:val="18"/>
          <w:color w:val="auto"/>
        </w:rPr>
        <w:t>.</w:t>
      </w:r>
      <w:r>
        <w:rPr>
          <w:rFonts w:ascii="Arial" w:cs="Arial" w:eastAsia="Arial" w:hAnsi="Arial"/>
          <w:sz w:val="18"/>
          <w:szCs w:val="18"/>
          <w:i w:val="1"/>
          <w:iCs w:val="1"/>
          <w:color w:val="auto"/>
        </w:rPr>
        <w:t xml:space="preserve"> Trustee’s Relation to Senior Indebtedness of the Guarantor. </w:t>
      </w:r>
      <w:r>
        <w:rPr>
          <w:rFonts w:ascii="Arial" w:cs="Arial" w:eastAsia="Arial" w:hAnsi="Arial"/>
          <w:sz w:val="18"/>
          <w:szCs w:val="18"/>
          <w:color w:val="auto"/>
        </w:rPr>
        <w:t>The Trustee in its individual capacity shall be entitled to all the rights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this Article 2 in respect of any Senior Indebtedness of the Guarantor at any time held by it, to the same extent as any other holder of Senior Indebtedness of the Guarantor and nothing elsewhere in this Supplemental Indenture or in the Indenture shall deprive the Trustee of any of its rights as such holder.</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With respect to the holders of Senior Indebtedness of the Guarantor, the Trustee undertakes to perform or to observe only such of its covenants and obligations as are specifically set forth in this Article 2, and no implied covenants or obligations with respect to the holders of Senior Indebtedness of the Guarantor shall be read into this Supplemental Indenture or the Indenture against the Trustee. The Trustee shall not be deemed to owe any fiduciary duty to the holders of Senior Indebtedness of the Guarantor and the Trustee shall not be liable to any holder of Senior Indebtedness of the Guarantor if it shall pay over or deliver to the Holders of the Notes, the Guarantor or any other Person money or assets to which any holder of Senior Indebtedness of the Guarantor shall be entitled by virtue of this Article 2 or otherwise.</w:t>
      </w:r>
    </w:p>
    <w:p>
      <w:pPr>
        <w:spacing w:after="0" w:line="19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No Impairment of Subordination.</w:t>
      </w:r>
      <w:r>
        <w:rPr>
          <w:rFonts w:ascii="Arial" w:cs="Arial" w:eastAsia="Arial" w:hAnsi="Arial"/>
          <w:sz w:val="17"/>
          <w:szCs w:val="17"/>
          <w:color w:val="auto"/>
        </w:rPr>
        <w:t xml:space="preserve"> No right of any present or future holder of any Senior Indebtedness of the Guarantor to enforce subordination as herein provided shall at any time in any way be prejudiced or impaired by any act or failure to act on the part of the Guarantor or by any act or failure to act, in good faith, by any such holder, or by any noncompliance by the Guarantor with the terms, provisions and covenants of this Supplemental Indenture, regardless of any knowledge thereof which any such holder may have or otherwise be charged with.</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Section 2.08. Definition of Senior Indebtedness of the Guarantor. </w:t>
      </w:r>
      <w:r>
        <w:rPr>
          <w:rFonts w:ascii="Arial" w:cs="Arial" w:eastAsia="Arial" w:hAnsi="Arial"/>
          <w:sz w:val="18"/>
          <w:szCs w:val="18"/>
          <w:color w:val="auto"/>
        </w:rPr>
        <w:t>For purposes of this Supplemental Indenture, “Senior Indebtedness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means the principal of, premium, if any, interest on, and any other payment due pursuant to any of the following, whether outstanding at the date hereof or hereafter incurred or created: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56"/>
        <w:spacing w:after="0" w:line="291" w:lineRule="auto"/>
        <w:tabs>
          <w:tab w:leader="none" w:pos="893"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indebtedness of the Guarantor for money borrowed (including any indebtedness secured by a mortgage, conditional sales contract or other lien which is (i) given to secure all or part of the purchase price of property subject thereto, whether given to the vendor of such property or to another or</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on property at the time of acquisition thereof);</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indebtedness of the Guarantor evidenced by notes, debent ures, bonds or other securities sold by the Guarantor for money;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lease obligations of the Guarantor which are capitalized on the books of the Guarantor in accordance with generally accepted accounting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principles;</w:t>
      </w:r>
    </w:p>
    <w:p>
      <w:pPr>
        <w:spacing w:after="0" w:line="210" w:lineRule="exact"/>
        <w:rPr>
          <w:rFonts w:ascii="Arial" w:cs="Arial" w:eastAsia="Arial" w:hAnsi="Arial"/>
          <w:sz w:val="17"/>
          <w:szCs w:val="17"/>
          <w:color w:val="auto"/>
        </w:rPr>
      </w:pPr>
    </w:p>
    <w:p>
      <w:pPr>
        <w:ind w:right="660" w:firstLine="656"/>
        <w:spacing w:after="0" w:line="342" w:lineRule="auto"/>
        <w:tabs>
          <w:tab w:leader="none" w:pos="903"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in debtedness of others of the kinds described in either of the preceding clause (a) or (b) and all lease obligations of others of the kind described in the preceding clause (c) assumed by or guaranteed in any manner by the Guarantor or in effect guaranteed by the Guarantor through an</w:t>
      </w:r>
    </w:p>
    <w:p>
      <w:pPr>
        <w:sectPr>
          <w:pgSz w:w="11900" w:h="16881" w:orient="portrait"/>
          <w:cols w:equalWidth="0" w:num="1">
            <w:col w:w="11400"/>
          </w:cols>
          <w:pgMar w:left="240" w:top="125" w:right="259" w:bottom="0" w:gutter="0" w:footer="0" w:header="0"/>
        </w:sectPr>
      </w:pPr>
    </w:p>
    <w:bookmarkStart w:id="6" w:name="page7"/>
    <w:bookmarkEnd w:id="6"/>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agreement to purchase, contingent or otherwise; and</w:t>
      </w:r>
    </w:p>
    <w:p>
      <w:pPr>
        <w:spacing w:after="0" w:line="225" w:lineRule="exact"/>
        <w:rPr>
          <w:sz w:val="20"/>
          <w:szCs w:val="20"/>
          <w:color w:val="auto"/>
        </w:rPr>
      </w:pPr>
    </w:p>
    <w:p>
      <w:pPr>
        <w:ind w:right="220" w:firstLine="656"/>
        <w:spacing w:after="0" w:line="277"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 (c) or (d);</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Holders of the Notes pursuant to Article 1 of this Supplemental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TO CERTAIN PROVISIONS OF THE INDENTURE</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Amendments to Certain Provisions of the Indenture.</w:t>
      </w:r>
      <w:r>
        <w:rPr>
          <w:rFonts w:ascii="Arial" w:cs="Arial" w:eastAsia="Arial" w:hAnsi="Arial"/>
          <w:sz w:val="18"/>
          <w:szCs w:val="18"/>
          <w:color w:val="auto"/>
        </w:rPr>
        <w:t xml:space="preserve"> The following definition in Section 1.01 is replaced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“Corporate Trust Office” means the office of the Trustee at which the corporate trust business of the Trustee shall, at any time, be principally administered,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which office is, at the date as of which this Supplemental Indenture is dated, located at 60 Wall Street,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10005, Attention:</w:t>
      </w:r>
    </w:p>
    <w:p>
      <w:pPr>
        <w:spacing w:after="0"/>
        <w:rPr>
          <w:sz w:val="20"/>
          <w:szCs w:val="20"/>
          <w:color w:val="auto"/>
        </w:rPr>
      </w:pPr>
      <w:r>
        <w:rPr>
          <w:rFonts w:ascii="Arial" w:cs="Arial" w:eastAsia="Arial" w:hAnsi="Arial"/>
          <w:sz w:val="18"/>
          <w:szCs w:val="18"/>
          <w:color w:val="auto"/>
        </w:rPr>
        <w:t>Trust and Securities Services.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Effect of Supplemental Indenture.</w:t>
      </w:r>
      <w:r>
        <w:rPr>
          <w:rFonts w:ascii="Arial" w:cs="Arial" w:eastAsia="Arial" w:hAnsi="Arial"/>
          <w:sz w:val="18"/>
          <w:szCs w:val="18"/>
          <w:color w:val="auto"/>
        </w:rPr>
        <w:t xml:space="preserve"> Upon the execution of this Supplemental Indenture, the Indenture shall be and be deemed to be modified and amended in accordance herewith and the respective rights, limitations of rights, obligations, duties and immunities under the Indenture of the Trustee, the Issuer and the Holders of the Notes affected thereby shall hereafter be determined, exercised and enforced hereunder subject in all respects to such modifications and amendments, and all the terms and conditions of this Supplemental Indenture shall be and be deemed to be part of the terms and conditions of this Indenture for any and all purposes.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Indenture Remains in Full Force and Effect.</w:t>
      </w:r>
      <w:r>
        <w:rPr>
          <w:rFonts w:ascii="Arial" w:cs="Arial" w:eastAsia="Arial" w:hAnsi="Arial"/>
          <w:sz w:val="18"/>
          <w:szCs w:val="18"/>
          <w:color w:val="auto"/>
        </w:rPr>
        <w:t xml:space="preserve"> Except as amended and supplemented hereby, all provisions in the Indenture shall remain in full force and effect and are in all respects ratified and confirmed.</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Indenture and Supplemental Indenture Construed Together.</w:t>
      </w:r>
      <w:r>
        <w:rPr>
          <w:rFonts w:ascii="Arial" w:cs="Arial" w:eastAsia="Arial" w:hAnsi="Arial"/>
          <w:sz w:val="17"/>
          <w:szCs w:val="17"/>
          <w:color w:val="auto"/>
        </w:rPr>
        <w:t xml:space="preserve"> This Supplemental Indenture is an indenture supplemental to and in implementation of the Indenture, and the Indenture and this Supplemental Indenture shall henceforth be read and construed together.</w:t>
      </w:r>
    </w:p>
    <w:p>
      <w:pPr>
        <w:spacing w:after="0" w:line="14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Section 4.04</w:t>
      </w:r>
      <w:r>
        <w:rPr>
          <w:rFonts w:ascii="Arial" w:cs="Arial" w:eastAsia="Arial" w:hAnsi="Arial"/>
          <w:sz w:val="17"/>
          <w:szCs w:val="17"/>
          <w:i w:val="1"/>
          <w:iCs w:val="1"/>
          <w:color w:val="auto"/>
        </w:rPr>
        <w:t>. Incorporators, Stockholders, Officers and Directors of Guarantor Exempt from Individual Liability.</w:t>
      </w:r>
      <w:r>
        <w:rPr>
          <w:rFonts w:ascii="Arial" w:cs="Arial" w:eastAsia="Arial" w:hAnsi="Arial"/>
          <w:sz w:val="17"/>
          <w:szCs w:val="17"/>
          <w:color w:val="auto"/>
        </w:rPr>
        <w:t xml:space="preserve"> No recourse under or upon any obligation, covenant or agreement contained in this Supplemental Indenture or the Indenture, or in the Notes, or because of any indebtedness evidenced thereby, shall be had against any incorporator, as such, or against any past, present or future stockholder, officer, director or employee, as such, of the Guarantor or of any successor, either directly or through the Guarantor or any successor, under any rule of law, statute or constitutional provision or by the enforcement of any assessment or by any legal or equitable proceeding or otherwise, all such liability being expressly waived and released by the acceptance of the Notes by the Holders thereof and as part of the consideration for the issue of the Notes.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Notices and Demands on Guarantor.</w:t>
      </w:r>
      <w:r>
        <w:rPr>
          <w:rFonts w:ascii="Arial" w:cs="Arial" w:eastAsia="Arial" w:hAnsi="Arial"/>
          <w:sz w:val="18"/>
          <w:szCs w:val="18"/>
          <w:color w:val="auto"/>
        </w:rPr>
        <w:t xml:space="preserve"> Any notice or demand which by any provision of this Supplemental Indenture or the Indenture is required or permitted to be given or served by the Trustee or by the Holders of the Notes to or on the Guarantor may be given or served by being deposited postage prepaid, first-class mail (except as otherwise specifically provided herein) addressed (until another address of the Guarantor is filed by the Guarantor with the Trustee) to Comcast Corporation at 1500 Market Street, Philadelphia, Pennsylvania 19102-2148, attention: General Counsel. Any notice, direction, request or demand by the Guarantor to or upon the Trustee shall be deemed to have been sufficiently given or made, for all purposes, if given or made at the Corporate Trust Office.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Section 4.06</w:t>
      </w:r>
      <w:r>
        <w:rPr>
          <w:rFonts w:ascii="Arial" w:cs="Arial" w:eastAsia="Arial" w:hAnsi="Arial"/>
          <w:sz w:val="16"/>
          <w:szCs w:val="16"/>
          <w:i w:val="1"/>
          <w:iCs w:val="1"/>
          <w:color w:val="auto"/>
        </w:rPr>
        <w:t>. Officers’ Certificates and Opinions of Counsel; Statements to Be Contained Therein.</w:t>
      </w:r>
      <w:r>
        <w:rPr>
          <w:rFonts w:ascii="Arial" w:cs="Arial" w:eastAsia="Arial" w:hAnsi="Arial"/>
          <w:sz w:val="16"/>
          <w:szCs w:val="16"/>
          <w:color w:val="auto"/>
        </w:rPr>
        <w:t xml:space="preserve"> Upon any application or demand by the Guarantor to the Trustee to take any action under any of the provisions of this Supplemental Indenture or the Indenture, the Guarantor shall furnish to the Trustee an Officers’ Certificate stating that all conditions precedent provided for in this Supplemental Indenture or the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Supplemental Indenture or the Indenture relating to such particular application or demand, no additional certificate or opinion need be furnished.</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certificate or opinion provided for in this Supplemental Indenture or the Indenture and delivered to the Trustee with respect to compliance with a condition or covenant provided for in this Supplemental Indenture or the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certificate, statement or opinion of an officer of the Guarantor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Guarantor, upon the certificate, statement or opinion of or representations by an officer of officers of the Guarantor,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ectPr>
          <w:pgSz w:w="11900" w:h="16867" w:orient="portrait"/>
          <w:cols w:equalWidth="0" w:num="1">
            <w:col w:w="11420"/>
          </w:cols>
          <w:pgMar w:left="240" w:top="125" w:right="239" w:bottom="0" w:gutter="0" w:footer="0" w:header="0"/>
        </w:sectPr>
      </w:pPr>
    </w:p>
    <w:bookmarkStart w:id="7" w:name="page8"/>
    <w:bookmarkEnd w:id="7"/>
    <w:p>
      <w:pPr>
        <w:ind w:right="20" w:firstLine="648"/>
        <w:spacing w:after="0" w:line="259" w:lineRule="auto"/>
        <w:rPr>
          <w:sz w:val="20"/>
          <w:szCs w:val="20"/>
          <w:color w:val="auto"/>
        </w:rPr>
      </w:pPr>
      <w:r>
        <w:rPr>
          <w:rFonts w:ascii="Arial" w:cs="Arial" w:eastAsia="Arial" w:hAnsi="Arial"/>
          <w:sz w:val="18"/>
          <w:szCs w:val="18"/>
          <w:color w:val="auto"/>
        </w:rPr>
        <w:t>Any certificate, statement or opinion of an officer of the Guarantor or of counsel may be based, insofar as it relates to accounting matters, upon a certificate or opinion of or representations by an accountant or firm of accountants in the employ of the Guarantor, unless such officer or counsel, as the case may be, knows that the certificate or opinion or representations with respect to the accounting matters upon which his certificate, statement or opinion may be based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aforesaid are erroneous, or in the exercise of reasonable care should know that the same are erroneous.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4.07</w:t>
      </w:r>
      <w:r>
        <w:rPr>
          <w:rFonts w:ascii="Arial" w:cs="Arial" w:eastAsia="Arial" w:hAnsi="Arial"/>
          <w:sz w:val="17"/>
          <w:szCs w:val="17"/>
          <w:i w:val="1"/>
          <w:iCs w:val="1"/>
          <w:color w:val="auto"/>
        </w:rPr>
        <w:t>. Provisions of Supplemental Indenture and Indenture for the Sole Benefit of Parties and Holders of the Notes.</w:t>
      </w:r>
      <w:r>
        <w:rPr>
          <w:rFonts w:ascii="Arial" w:cs="Arial" w:eastAsia="Arial" w:hAnsi="Arial"/>
          <w:sz w:val="17"/>
          <w:szCs w:val="17"/>
          <w:color w:val="auto"/>
        </w:rPr>
        <w:t xml:space="preserve"> Nothing in the Indenture, this Supplemental Indenture or in the Notes, express or implied, shall give or be construed to give to any person, firm or corporation, other than the parties thereto and hereto and their successors thereunder and hereunder and the Holders of the Notes, any legal or equitable right, remedy or claim under the Indenture, this Supplemental Indenture or under any covenant or provision therein and herein contained, all such covenants and provisions being for the sole benefit of the parties thereto and hereto and their successors thereunder and hereunder and of the Holders of the Notes.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Successors and Assigns of Issuer and Guarantor Bound by Supplemental Indenture.</w:t>
      </w:r>
      <w:r>
        <w:rPr>
          <w:rFonts w:ascii="Arial" w:cs="Arial" w:eastAsia="Arial" w:hAnsi="Arial"/>
          <w:sz w:val="18"/>
          <w:szCs w:val="18"/>
          <w:color w:val="auto"/>
        </w:rPr>
        <w:t xml:space="preserve"> All the covenants, stipulations, promises and agreements in this Supplemental Indenture contained by or in behalf of the Issuer or the Guarantor shall bind its successors and assigns, whether so expressed or not.</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Section 4.09</w:t>
      </w:r>
      <w:r>
        <w:rPr>
          <w:rFonts w:ascii="Arial" w:cs="Arial" w:eastAsia="Arial" w:hAnsi="Arial"/>
          <w:sz w:val="16"/>
          <w:szCs w:val="16"/>
          <w:i w:val="1"/>
          <w:iCs w:val="1"/>
          <w:color w:val="auto"/>
        </w:rPr>
        <w:t>. Conflict of Any Provision of Supplemental Indenture with Trust Indenture Act of 1939.</w:t>
      </w:r>
      <w:r>
        <w:rPr>
          <w:rFonts w:ascii="Arial" w:cs="Arial" w:eastAsia="Arial" w:hAnsi="Arial"/>
          <w:sz w:val="16"/>
          <w:szCs w:val="16"/>
          <w:color w:val="auto"/>
        </w:rPr>
        <w:t xml:space="preserve"> If and to the extent that any provision of this Supplemental Indenture limits, qualifies or conflicts with another provision included in this Supplemental Indenture or the Indenture by operation of Sections 310 to 317, inclusive, of the Trust Indenture Act of 1939, as amended (an </w:t>
      </w:r>
      <w:r>
        <w:rPr>
          <w:rFonts w:ascii="Arial" w:cs="Arial" w:eastAsia="Arial" w:hAnsi="Arial"/>
          <w:sz w:val="16"/>
          <w:szCs w:val="16"/>
          <w:b w:val="1"/>
          <w:bCs w:val="1"/>
          <w:color w:val="auto"/>
        </w:rPr>
        <w:t>“incorporated provision”</w:t>
      </w:r>
      <w:r>
        <w:rPr>
          <w:rFonts w:ascii="Arial" w:cs="Arial" w:eastAsia="Arial" w:hAnsi="Arial"/>
          <w:sz w:val="16"/>
          <w:szCs w:val="16"/>
          <w:color w:val="auto"/>
        </w:rPr>
        <w:t>), such incorporated provision shall control.</w:t>
      </w:r>
    </w:p>
    <w:p>
      <w:pPr>
        <w:spacing w:after="0" w:line="14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Separability Clause.</w:t>
      </w:r>
      <w:r>
        <w:rPr>
          <w:rFonts w:ascii="Arial" w:cs="Arial" w:eastAsia="Arial" w:hAnsi="Arial"/>
          <w:sz w:val="18"/>
          <w:szCs w:val="18"/>
          <w:color w:val="auto"/>
        </w:rPr>
        <w:t xml:space="preserve"> In case any provision in this Supplemental Indenture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New York Law to Govern.</w:t>
      </w:r>
      <w:r>
        <w:rPr>
          <w:rFonts w:ascii="Arial" w:cs="Arial" w:eastAsia="Arial" w:hAnsi="Arial"/>
          <w:sz w:val="16"/>
          <w:szCs w:val="16"/>
          <w:color w:val="auto"/>
        </w:rPr>
        <w:t xml:space="preserve"> This Supplemental Indenture shall be deemed to be a contract under the laws of the State of New York, and for all purposes shall be construed in accordance with the laws of such State, except as may otherwise be required by mandatory provisions of law.</w:t>
      </w:r>
    </w:p>
    <w:p>
      <w:pPr>
        <w:spacing w:after="0" w:line="124"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4.13</w:t>
      </w:r>
      <w:r>
        <w:rPr>
          <w:rFonts w:ascii="Arial" w:cs="Arial" w:eastAsia="Arial" w:hAnsi="Arial"/>
          <w:sz w:val="18"/>
          <w:szCs w:val="18"/>
          <w:i w:val="1"/>
          <w:iCs w:val="1"/>
          <w:color w:val="auto"/>
        </w:rPr>
        <w:t>. Terms Defined in the Indenture.</w:t>
      </w:r>
      <w:r>
        <w:rPr>
          <w:rFonts w:ascii="Arial" w:cs="Arial" w:eastAsia="Arial" w:hAnsi="Arial"/>
          <w:sz w:val="18"/>
          <w:szCs w:val="18"/>
          <w:color w:val="auto"/>
        </w:rPr>
        <w:t xml:space="preserve"> All capitalized terms not otherwise defined herein shall have the meanings ascribed to them in the Indenture.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Section 4.14</w:t>
      </w:r>
      <w:r>
        <w:rPr>
          <w:rFonts w:ascii="Arial" w:cs="Arial" w:eastAsia="Arial" w:hAnsi="Arial"/>
          <w:sz w:val="17"/>
          <w:szCs w:val="17"/>
          <w:i w:val="1"/>
          <w:iCs w:val="1"/>
          <w:color w:val="auto"/>
        </w:rPr>
        <w:t>. 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620"/>
        <w:spacing w:after="0"/>
        <w:tabs>
          <w:tab w:leader="none" w:pos="7300" w:val="left"/>
        </w:tabs>
        <w:rPr>
          <w:sz w:val="20"/>
          <w:szCs w:val="20"/>
          <w:color w:val="auto"/>
        </w:rPr>
      </w:pPr>
      <w:r>
        <w:rPr>
          <w:rFonts w:ascii="Arial" w:cs="Arial" w:eastAsia="Arial" w:hAnsi="Arial"/>
          <w:sz w:val="18"/>
          <w:szCs w:val="18"/>
          <w:color w:val="auto"/>
        </w:rPr>
        <w:t>Name:</w:t>
        <w:tab/>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-130810</wp:posOffset>
            </wp:positionV>
            <wp:extent cx="304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jc w:val="center"/>
        <w:ind w:left="6600"/>
        <w:spacing w:after="0"/>
        <w:tabs>
          <w:tab w:leader="none" w:pos="200" w:val="left"/>
        </w:tabs>
        <w:rPr>
          <w:sz w:val="20"/>
          <w:szCs w:val="20"/>
          <w:color w:val="auto"/>
        </w:rPr>
      </w:pPr>
      <w:r>
        <w:rPr>
          <w:rFonts w:ascii="Arial" w:cs="Arial" w:eastAsia="Arial" w:hAnsi="Arial"/>
          <w:sz w:val="18"/>
          <w:szCs w:val="18"/>
          <w:color w:val="auto"/>
        </w:rPr>
        <w:t>Title:</w:t>
        <w:tab/>
        <w:t>Vice President Finance and</w:t>
      </w:r>
    </w:p>
    <w:p>
      <w:pPr>
        <w:spacing w:after="0" w:line="9"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3" w:lineRule="exact"/>
        <w:rPr>
          <w:sz w:val="20"/>
          <w:szCs w:val="20"/>
          <w:color w:val="auto"/>
        </w:rPr>
      </w:pPr>
    </w:p>
    <w:p>
      <w:pPr>
        <w:jc w:val="center"/>
        <w:ind w:right="7340"/>
        <w:spacing w:after="0"/>
        <w:tabs>
          <w:tab w:leader="none" w:pos="16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right="778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3044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8" w:name="page9"/>
    <w:bookmarkEnd w:id="8"/>
    <w:p>
      <w:pPr>
        <w:ind w:left="6620"/>
        <w:spacing w:after="0"/>
        <w:tabs>
          <w:tab w:leader="none" w:pos="7300" w:val="left"/>
        </w:tabs>
        <w:rPr>
          <w:sz w:val="20"/>
          <w:szCs w:val="20"/>
          <w:color w:val="auto"/>
        </w:rPr>
      </w:pPr>
      <w:r>
        <w:rPr>
          <w:rFonts w:ascii="Arial" w:cs="Arial" w:eastAsia="Arial" w:hAnsi="Arial"/>
          <w:sz w:val="18"/>
          <w:szCs w:val="18"/>
          <w:color w:val="auto"/>
        </w:rPr>
        <w:t>Name:</w:t>
        <w:tab/>
        <w:t>William E. Dordelman</w:t>
      </w:r>
    </w:p>
    <w:p>
      <w:pPr>
        <w:spacing w:after="0" w:line="23"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6"/>
          <w:szCs w:val="16"/>
          <w:color w:val="auto"/>
        </w:rPr>
        <w:t>Title:</w:t>
        <w:tab/>
        <w:t>Vice President Finance and</w:t>
      </w:r>
    </w:p>
    <w:p>
      <w:pPr>
        <w:spacing w:after="0" w:line="3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3" w:lineRule="exact"/>
        <w:rPr>
          <w:sz w:val="20"/>
          <w:szCs w:val="20"/>
          <w:color w:val="auto"/>
        </w:rPr>
      </w:pPr>
    </w:p>
    <w:p>
      <w:pPr>
        <w:jc w:val="center"/>
        <w:ind w:right="6159"/>
        <w:spacing w:after="0"/>
        <w:tabs>
          <w:tab w:leader="none" w:pos="16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DEUTSCHE BANK TRUST COMPANY</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AMERICAS, as Trustee,</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Irina Golovashchuk</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1183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12,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 dated as of October 17,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THIS FIRST SUPPLEMENTAL INDENTURE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is made as of September 12, 2005 among Comcast Holdings Corporation (formerly known as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Comcast Corporation, a Pennsylvania corporation and the parent of the Company (the “</w:t>
      </w:r>
      <w:r>
        <w:rPr>
          <w:rFonts w:ascii="Arial" w:cs="Arial" w:eastAsia="Arial" w:hAnsi="Arial"/>
          <w:sz w:val="17"/>
          <w:szCs w:val="17"/>
          <w:b w:val="1"/>
          <w:bCs w:val="1"/>
          <w:color w:val="auto"/>
        </w:rPr>
        <w:t>Guarantor</w:t>
      </w:r>
      <w:r>
        <w:rPr>
          <w:rFonts w:ascii="Arial" w:cs="Arial" w:eastAsia="Arial" w:hAnsi="Arial"/>
          <w:sz w:val="17"/>
          <w:szCs w:val="17"/>
          <w:color w:val="auto"/>
        </w:rPr>
        <w:t>”), and The Bank of New York, a New York banking corporation,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WHEREAS, the Company executed and delivered an Indenture providing for the issuance from time to time of its debentures, notes or other evidences of indebtedness to be issued in one or more series (the “</w:t>
      </w:r>
      <w:r>
        <w:rPr>
          <w:rFonts w:ascii="Arial" w:cs="Arial" w:eastAsia="Arial" w:hAnsi="Arial"/>
          <w:sz w:val="18"/>
          <w:szCs w:val="18"/>
          <w:b w:val="1"/>
          <w:bCs w:val="1"/>
          <w:color w:val="auto"/>
        </w:rPr>
        <w:t>Debentures</w:t>
      </w:r>
      <w:r>
        <w:rPr>
          <w:rFonts w:ascii="Arial" w:cs="Arial" w:eastAsia="Arial" w:hAnsi="Arial"/>
          <w:sz w:val="18"/>
          <w:szCs w:val="18"/>
          <w:color w:val="auto"/>
        </w:rPr>
        <w:t>”), dated as of October 17, 1991 between the Company and the Trustee’s predecessor, Morgan Guaranty Trust Company of New York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7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WHEREAS, the Company issued $300,000,000 aggregate principal amount of 10 5/8% Senior Subordinated Debentures due 2012 (the “</w:t>
      </w:r>
      <w:r>
        <w:rPr>
          <w:rFonts w:ascii="Arial" w:cs="Arial" w:eastAsia="Arial" w:hAnsi="Arial"/>
          <w:sz w:val="18"/>
          <w:szCs w:val="18"/>
          <w:b w:val="1"/>
          <w:bCs w:val="1"/>
          <w:color w:val="auto"/>
        </w:rPr>
        <w:t>Notes</w:t>
      </w:r>
      <w:r>
        <w:rPr>
          <w:rFonts w:ascii="Arial" w:cs="Arial" w:eastAsia="Arial" w:hAnsi="Arial"/>
          <w:sz w:val="18"/>
          <w:szCs w:val="18"/>
          <w:color w:val="auto"/>
        </w:rPr>
        <w:t>”) pursuant to the terms of the Indenture;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the Company and the Guarantor desire by this Supplemental Indenture to add the Guarantor as a party to the Indenture and to provide for the full and unconditional guarantee by the Guarantor of the due and punctual payment of the Principal of (and premium, if any) and interest on, all of the Debentures, including the Notes, Outstanding, when and as the same shall become due and payable, whether at the stated maturity, by acceleration, or call for redemption, or otherwise, all according to the terms thereof and the terms of the Indenture;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Section 12.1 of the Indenture provides that the Indenture may be amended, subject to certain exceptions specified in such Section 12.1, without the consent of the holders of the Outstanding Debentures; and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all other conditions and requirements necessary to make this Supplemental Indenture a valid and binding instrument in accordance with its terms and the terms of the Indenture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agreements, provisions and covenants contained herein, the Company, the Guarantor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covenant and agree, for the equal and proportionate benefit of all holders from time to time of the Debentures,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The guarantee.</w:t>
      </w:r>
      <w:r>
        <w:rPr>
          <w:rFonts w:ascii="Arial" w:cs="Arial" w:eastAsia="Arial" w:hAnsi="Arial"/>
          <w:sz w:val="16"/>
          <w:szCs w:val="16"/>
          <w:color w:val="auto"/>
        </w:rPr>
        <w:t xml:space="preserve"> Subject to the provisions of this Article, the Guarantor hereby irrevocably, fully and unconditionally guarantees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punctual payment (whether at maturity, upon redemption, or otherwise) of the Principal of (and premium, if any) and interest on, and all other amounts payable under, each Debenture, and the full and punctual payment of all other amounts payable by the Company under the Indenture. Upon the failure by the Company to pay punctually any such amount, the Guarantor shall forthwith on demand pay the amount not so paid at the place and in the manner specified in the Indenture.</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Guarantee unconditional.</w:t>
      </w:r>
      <w:r>
        <w:rPr>
          <w:rFonts w:ascii="Arial" w:cs="Arial" w:eastAsia="Arial" w:hAnsi="Arial"/>
          <w:sz w:val="18"/>
          <w:szCs w:val="18"/>
          <w:color w:val="auto"/>
        </w:rPr>
        <w:t xml:space="preserve"> The obligations of the Guarantor hereunder are unconditional and absolute and, without limiting the generality of the foregoing, will not be released, discharged or otherwise affected by:</w:t>
      </w:r>
    </w:p>
    <w:p>
      <w:pPr>
        <w:sectPr>
          <w:pgSz w:w="11900" w:h="16838" w:orient="portrait"/>
          <w:cols w:equalWidth="0" w:num="1">
            <w:col w:w="11420"/>
          </w:cols>
          <w:pgMar w:left="240" w:top="121" w:right="239" w:bottom="99" w:gutter="0" w:footer="0" w:header="0"/>
        </w:sectPr>
      </w:pPr>
    </w:p>
    <w:bookmarkStart w:id="10" w:name="page11"/>
    <w:bookmarkEnd w:id="10"/>
    <w:p>
      <w:pPr>
        <w:spacing w:after="0" w:line="19" w:lineRule="exact"/>
        <w:rPr>
          <w:sz w:val="20"/>
          <w:szCs w:val="20"/>
          <w:color w:val="auto"/>
        </w:rPr>
      </w:pPr>
    </w:p>
    <w:p>
      <w:pPr>
        <w:ind w:right="120" w:firstLine="656"/>
        <w:spacing w:after="0" w:line="277"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Debenture, by operation of law or otherwise;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Debenture;</w:t>
      </w:r>
    </w:p>
    <w:p>
      <w:pPr>
        <w:spacing w:after="0" w:line="225" w:lineRule="exact"/>
        <w:rPr>
          <w:rFonts w:ascii="Arial" w:cs="Arial" w:eastAsia="Arial" w:hAnsi="Arial"/>
          <w:sz w:val="18"/>
          <w:szCs w:val="18"/>
          <w:color w:val="auto"/>
        </w:rPr>
      </w:pPr>
    </w:p>
    <w:p>
      <w:pPr>
        <w:ind w:right="260" w:firstLine="656"/>
        <w:spacing w:after="0" w:line="264"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Debenture;</w:t>
      </w:r>
    </w:p>
    <w:p>
      <w:pPr>
        <w:spacing w:after="0" w:line="181" w:lineRule="exact"/>
        <w:rPr>
          <w:rFonts w:ascii="Arial" w:cs="Arial" w:eastAsia="Arial" w:hAnsi="Arial"/>
          <w:sz w:val="18"/>
          <w:szCs w:val="18"/>
          <w:color w:val="auto"/>
        </w:rPr>
      </w:pPr>
    </w:p>
    <w:p>
      <w:pPr>
        <w:ind w:right="100" w:firstLine="656"/>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any claim, set-off or other rights which the Guarantor may have at any time against the Company, the Trustee or any other Person, whether in connection with the Indenture or an unrelated transaction, provided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Company for any reason of the Indenture or any Debenture, or any provision of applicable law or regulation purporting to prohibit the payment by the Company of the Principal of or interest on any Debenture or any other amount payable by the Company under the Indenture; or</w:t>
      </w:r>
    </w:p>
    <w:p>
      <w:pPr>
        <w:spacing w:after="0" w:line="181" w:lineRule="exact"/>
        <w:rPr>
          <w:rFonts w:ascii="Arial" w:cs="Arial" w:eastAsia="Arial" w:hAnsi="Arial"/>
          <w:sz w:val="18"/>
          <w:szCs w:val="18"/>
          <w:color w:val="auto"/>
        </w:rPr>
      </w:pPr>
    </w:p>
    <w:p>
      <w:pPr>
        <w:ind w:right="620" w:firstLine="656"/>
        <w:spacing w:after="0" w:line="264"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Guarantor’s obligations hereunder.</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Subordination.</w:t>
      </w:r>
      <w:r>
        <w:rPr>
          <w:rFonts w:ascii="Arial" w:cs="Arial" w:eastAsia="Arial" w:hAnsi="Arial"/>
          <w:sz w:val="18"/>
          <w:szCs w:val="18"/>
          <w:color w:val="auto"/>
        </w:rPr>
        <w:t xml:space="preserve"> The obligations of the Guarantor hereunder are, to the extent and in the manner set forth in Article 2, subordinated and subject in right of payment to the prior payment in full of the principal of (and premium, if any) and interest on all Senior Indebtedness of the Guarantor and is made subject to such provisions of this Supplemental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1.04</w:t>
      </w:r>
      <w:r>
        <w:rPr>
          <w:rFonts w:ascii="Arial" w:cs="Arial" w:eastAsia="Arial" w:hAnsi="Arial"/>
          <w:sz w:val="18"/>
          <w:szCs w:val="18"/>
          <w:i w:val="1"/>
          <w:iCs w:val="1"/>
          <w:color w:val="auto"/>
        </w:rPr>
        <w:t>. Discharge; reinstatement.</w:t>
      </w:r>
      <w:r>
        <w:rPr>
          <w:rFonts w:ascii="Arial" w:cs="Arial" w:eastAsia="Arial" w:hAnsi="Arial"/>
          <w:sz w:val="18"/>
          <w:szCs w:val="18"/>
          <w:color w:val="auto"/>
        </w:rPr>
        <w:t xml:space="preserve"> The Guarantor’s obligations hereunder will remain in full force and effect until the Principal of (and premium, if any) and interest on the Debentures of each series and all other amounts payable by the Company under the Indenture have been paid in full. If at any time any payment of the Principal of (and premium, if any) or interest on any Debenture or any other amount payable by the Company with respect to any Debenture under the Indenture is rescinded or must be otherwise restored or returned upon the insolvency, bankruptcy or reorganization of the Company or otherwise, the Guarantor’s obligations hereunder with respect to such payment will be reinstated as though such payment had been due but not made at such time.</w:t>
      </w:r>
    </w:p>
    <w:p>
      <w:pPr>
        <w:spacing w:after="0" w:line="19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Section 1.05</w:t>
      </w:r>
      <w:r>
        <w:rPr>
          <w:rFonts w:ascii="Arial" w:cs="Arial" w:eastAsia="Arial" w:hAnsi="Arial"/>
          <w:sz w:val="16"/>
          <w:szCs w:val="16"/>
          <w:i w:val="1"/>
          <w:iCs w:val="1"/>
          <w:color w:val="auto"/>
        </w:rPr>
        <w:t>. Waiver by the Guarantor.</w:t>
      </w:r>
      <w:r>
        <w:rPr>
          <w:rFonts w:ascii="Arial" w:cs="Arial" w:eastAsia="Arial" w:hAnsi="Arial"/>
          <w:sz w:val="16"/>
          <w:szCs w:val="16"/>
          <w:color w:val="auto"/>
        </w:rPr>
        <w:t xml:space="preserve"> The Guarantor irrevocably waives acceptance hereof, presentment, demand, protest and any notice not provided for herein, as well as any requirement that at any time any action be taken by any Person against the Company or any other Person.</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Section 1.06</w:t>
      </w:r>
      <w:r>
        <w:rPr>
          <w:rFonts w:ascii="Arial" w:cs="Arial" w:eastAsia="Arial" w:hAnsi="Arial"/>
          <w:sz w:val="17"/>
          <w:szCs w:val="17"/>
          <w:i w:val="1"/>
          <w:iCs w:val="1"/>
          <w:color w:val="auto"/>
        </w:rPr>
        <w:t>. Stay of acceleration.</w:t>
      </w:r>
      <w:r>
        <w:rPr>
          <w:rFonts w:ascii="Arial" w:cs="Arial" w:eastAsia="Arial" w:hAnsi="Arial"/>
          <w:sz w:val="17"/>
          <w:szCs w:val="17"/>
          <w:color w:val="auto"/>
        </w:rPr>
        <w:t xml:space="preserve"> If acceleration of the time for payment of any amount payable by the Company under the Indenture or the Debentures is stayed upon the insolvency, bankruptcy or reorganization of the Company, all such amounts otherwise subject to acceleration under the terms of the Indenture are nonetheless payable by the Guarantor hereunder forthwith on demand by the Trustee or the holders of Debentures.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1.07</w:t>
      </w:r>
      <w:r>
        <w:rPr>
          <w:rFonts w:ascii="Arial" w:cs="Arial" w:eastAsia="Arial" w:hAnsi="Arial"/>
          <w:sz w:val="18"/>
          <w:szCs w:val="18"/>
          <w:i w:val="1"/>
          <w:iCs w:val="1"/>
          <w:color w:val="auto"/>
        </w:rPr>
        <w:t>. Release of Guarantor.</w:t>
      </w:r>
      <w:r>
        <w:rPr>
          <w:rFonts w:ascii="Arial" w:cs="Arial" w:eastAsia="Arial" w:hAnsi="Arial"/>
          <w:sz w:val="18"/>
          <w:szCs w:val="18"/>
          <w:color w:val="auto"/>
        </w:rPr>
        <w:t xml:space="preserve"> The Guarantor’s obligation under the guarantee will terminate upon:</w:t>
      </w:r>
    </w:p>
    <w:p>
      <w:pPr>
        <w:spacing w:after="0" w:line="225" w:lineRule="exact"/>
        <w:rPr>
          <w:sz w:val="20"/>
          <w:szCs w:val="20"/>
          <w:color w:val="auto"/>
        </w:rPr>
      </w:pPr>
    </w:p>
    <w:p>
      <w:pPr>
        <w:ind w:right="40" w:firstLine="656"/>
        <w:spacing w:after="0" w:line="264" w:lineRule="auto"/>
        <w:tabs>
          <w:tab w:leader="none" w:pos="1343"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Company or the sale or disposition of all or substantially all the assets of the Company (in each case other than to the Guarantor or a Person who, prior to such sale or other disposition, is an Affiliate of the Guarantor); or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defeasance, satisfaction or discharge of the Debentures, as provided in Article VI of the Indenture.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Upon delivery by the Company to the Trustee of an Officers’ Certificate and an Opinion of Counsel to the foregoing effect, the Trustee will execute any documents reasonably required in order to evidence the release of the Guarantor from its obligations under the guarantee.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OF GUARANTEE</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Agreement of subordination.</w:t>
      </w:r>
      <w:r>
        <w:rPr>
          <w:rFonts w:ascii="Arial" w:cs="Arial" w:eastAsia="Arial" w:hAnsi="Arial"/>
          <w:sz w:val="18"/>
          <w:szCs w:val="18"/>
          <w:color w:val="auto"/>
        </w:rPr>
        <w:t xml:space="preserve"> The Guarantor covenants and agrees, and each holder of the Debentures by his acceptance thereof likewise covenants and agrees, that the Debentures shall be issued subject to the provisions of this Article 2; and each holder of the Debentures, whether upon original issue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or upon transfer or assignment thereof, accepts and agrees to be bound by such provisions.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obligations of the Guarantor to make any payment of the Principal of (and premium, if any) and interest on the Debentures pursuant to Article 1 of this Supplemental Indenture shall, to the extent and in the manner hereinafter set forth, be subordinated and subject in the right of payment to the prior payment in full of all Senior Indebtedness of the Guarantor, whether outstanding at the date of this Supplemental Indenture or thereafter incurred.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2 shall prevent the occurrence of any default or Event of Default hereunder.</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Payments to holders of the</w:t>
      </w:r>
      <w:r>
        <w:rPr>
          <w:rFonts w:ascii="Arial" w:cs="Arial" w:eastAsia="Arial" w:hAnsi="Arial"/>
          <w:sz w:val="16"/>
          <w:szCs w:val="16"/>
          <w:color w:val="auto"/>
        </w:rPr>
        <w:t xml:space="preserve"> Debentures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and during the continuation of any default in the payment of principal, premium, interest or any other payment due on any Senior Indebtedness of the Guarantor continuing beyond the period of grace, if any, specified in the instrument or lease evidencing such Senior Indebtedness, then, unless and until such default shall have been cured or waived or shall have ceased to exist, no payment shall</w:t>
      </w:r>
    </w:p>
    <w:p>
      <w:pPr>
        <w:sectPr>
          <w:pgSz w:w="11900" w:h="16858" w:orient="portrait"/>
          <w:cols w:equalWidth="0" w:num="1">
            <w:col w:w="11420"/>
          </w:cols>
          <w:pgMar w:left="240" w:top="125" w:right="239" w:bottom="0" w:gutter="0" w:footer="0" w:header="0"/>
        </w:sectPr>
      </w:pPr>
    </w:p>
    <w:bookmarkStart w:id="11" w:name="page12"/>
    <w:bookmarkEnd w:id="11"/>
    <w:p>
      <w:pPr>
        <w:spacing w:after="0" w:line="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 made by the Guarantor pursuant to Article 1 of this Supplemental Indenture with respect to the Principal of, or premium, if any, or interest on the Debentures, except sinking fund payments, if any, made by the acquisition of the Debentures under Section 5.5 of the Indenture prior to the happening of such default and payments made pursuant to Article VI of the Indenture from monies deposited with the Trustee pursuant thereto prior to the happening of such default.</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Upon any payment by the Guarantor, or distribution of assets of the Guarantor of any kind or character, whether in cash, property, or securities, to creditors upon any dissolution or winding-up or liquidation or reorganization of the Guarantor, whether voluntary or involuntary or in bankruptcy, insolvency, receivership or other proceedings, all amounts due or to become due upon all Senior Indebtedness of the Guarantor shall first be paid in full, or payment thereof provided for in money in accordance with its terms, before any payment is made on account of the Principal (and premium, if any) or interest on the Debentures (except payments made pursuant to Article VI of the Indenture from the monies deposited with the Trustee pursuant thereto prior to the happening of such dissolution, winding-up, liquidation or reorganization); and upon any such dissolution, winding-up or liquidation or reorganization any payment by the Guarantor, or distribution of assets of the Guarantor of any kind or character, whether in cash, property or securities, to which the holders of the Debentures or the Trustee would be entitled pursuant to Article 1 of this Supplemental Indenture, except for the provisions of this Article 2, shall (except as aforesaid) be paid by the Guarantor or by any receiver, trustee in bankruptcy, liquidating trustee, agent or other Person making such payment or distribution, or by the holders of the Debentures or by the Trustee under the Indenture if received by them or it, directly to the holders of Senior Indebtedness of the Guarantor (pro rata to such holders on the basis of the respective amounts of Senior Indebtedness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of the Guarantor held by such holders, as calculated by the Guarantor) or their representative or representatives, or to the trustee or trustees under any indenture pursuant to which any instruments evidencing any Senior Indebtedness of the Guarantor may have been issued, as their respective interest may appear, to the extent necessary to pay all Senior Indebtedness of the Guarantor in full, in money or money’s worth, after giving effect to any concurrent payment or distribution to or for the holders of Senior Indebtedness of the Guarantor, before any payment or distribution is made to the holders of the Debentures or to the Trustee.</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Guarantor of any kind or character, whether in cash, property or securities, prohibited by the foregoing, shall be received by the Trustee or the holders of the Debentures before all Senior Indebtedness of the Guarantor is paid in full, or provision is made for such payment in money in accordance with its terms, such payment or distribution shall be held in trust for the benefit of and shall be paid over or delivered to the holders of Senior Indebtedness of the Guarantor or their representative or representatives, or to the trustee or trustees under any indenture pursuant to which any instruments evidencing any Senior Indebtedness of the Guarantor may have been issued, as their respective interest may appear, as calculated by the Guarantor, for application to the payment of all Senior Indebtedness of the Guarantor remaining unpaid to the extent necessary to pay all Senior Indebtedness of the Guarantor in full in money in accordance with its terms, after giving effect to any concurrent payment or distribution to or for the holders of such Senior Indebtedness.</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purposes of this Article 2, the words “cash, property or securities” shall not be deemed to include shares of stock of the Guarantor as reorganized or readjusted, or securities of the Guarantor or any other corporation provided for by a plan of reorganization or readjustment, the payment of which is subordinated at least to the extent provided in this Article 2 with respect to the Debentures to the payment of all Senior Indebtedness of the Guarantor which may at the time be outstanding; provided that (i) the Senior Indebtedness of the Guarantor is assumed by the new corporation, if any, resulting from any such reorganization or readjustment, and (ii) the rights of the holders of the Senior Indebtedness of the Guarantor (other than leases) and of leases which are assumed are not, without the consent of such holders, altered by such reorganization or readjustment. The consolidation of the Guarantor with, or the merger of the Guarantor into, another corporation or the liquidation or dissolution of the Guarantor following the conveyance or transfer of its property as an entirety, or substantially as an entirety, to another corporation upon the terms and conditions provided for in Article X of the Indenture shall not be deemed a dissolution, winding-up, liquidation or reorganization for the purposes of this Section 2.02 if such other corporation shall, as part of such consolidation, merger, conveyance or transfer, comply with the conditions stated in Article X of the Indenture.</w:t>
      </w:r>
    </w:p>
    <w:p>
      <w:pPr>
        <w:spacing w:after="0" w:line="178"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Subrogation of Debentures.</w:t>
      </w:r>
      <w:r>
        <w:rPr>
          <w:rFonts w:ascii="Arial" w:cs="Arial" w:eastAsia="Arial" w:hAnsi="Arial"/>
          <w:sz w:val="16"/>
          <w:szCs w:val="16"/>
          <w:color w:val="auto"/>
        </w:rPr>
        <w:t xml:space="preserve"> Subject to the payment in full of all Senior Indebtedness of the Guarantor, the rights of the holders of the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Debentures shall be subrogated to the rights of the holders of Senior Indebtedness of the Guarantor to receive payments or distributions of cash, property or securities of the Guarantor applicable to the Senior Indebtedness of the Guarantor until the Principal of (and premium, if any) and interest on the Debentures shall be paid in full; and, for the purposes of such subrogation, no payments or distributions to the holders of the Senior Indebtedness of the Guarantor of any cash, property or securities to which the holders of the Debentures or the Trustee would be entitled except for the provisions of this Article 2, and no payment pursuant to the provisions of this Article 2, to or for the benefit of the holders of Senior Indebtedness of the Guarantor, by holders of the Debentures or the Trustee, shall, as between the Guarantor, its creditors other than holders of Senior Indebtedness of the Guarantor, and the holders of the Debentures, be deemed to be a payment by the Guarantor to or on account of the Senior Indebtedness of the Guarantor. It is understood that the provisions of this Article 2 are and are intended solely for the purpose of defining the relative rights of the holders of the Debentures, on the one hand, and the holders of the Senior Indebtedness of the Guarantor, on the other hand.</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Nothing contained in this Article 2 or elsewhere in this Supplemental Indenture, in the Indenture or in the Debentures is intended to or shall impair, as between the Guarantor, its creditors other than the holders of Senior Indebtedness of the Guarantor, and the holders of the Debentures, the obligation of the Guarantor, which is absolute and unconditional, to pay to the holders of the Debentures the Principal of (and premium, if any) and interest on the Debentures in accordance with the terms of Article 1 of this Supplemental Indenture, or is intended to or shall affect the relative rights of the holders of the Debentures and creditors of the Guarantor other than the holders of the Senior Indebtedness of the Guarantor, nor shall anything herein or therein prevent the Trustee or a holder of the Debentures from exercising all remedies otherwise permitted by applicable law upon default under this Supplemental Indenture or the Indenture, subject to the rights, if any, under this Article 2 of the holders of Senior Indebtedness of the Guarantor, in respect of cash, property or securities of the Guarantor received upon the exercise of any such remedy.</w:t>
      </w:r>
    </w:p>
    <w:p>
      <w:pPr>
        <w:spacing w:after="0" w:line="17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Upon any payment or distribution of assets of the Guarantor referred to in this Article 2, the Trustee, subject to the provisions of Section 11.1 of the Indenture, and the holders of the Debentures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the holders of the Debentures, for the purpose of ascertaining the Persons</w:t>
      </w:r>
    </w:p>
    <w:p>
      <w:pPr>
        <w:sectPr>
          <w:pgSz w:w="11900" w:h="16850" w:orient="portrait"/>
          <w:cols w:equalWidth="0" w:num="1">
            <w:col w:w="11420"/>
          </w:cols>
          <w:pgMar w:left="240" w:top="125" w:right="239" w:bottom="0" w:gutter="0" w:footer="0" w:header="0"/>
        </w:sectPr>
      </w:pPr>
    </w:p>
    <w:bookmarkStart w:id="12" w:name="page13"/>
    <w:bookmarkEnd w:id="12"/>
    <w:p>
      <w:pPr>
        <w:ind w:right="520"/>
        <w:spacing w:after="0" w:line="308" w:lineRule="auto"/>
        <w:rPr>
          <w:sz w:val="20"/>
          <w:szCs w:val="20"/>
          <w:color w:val="auto"/>
        </w:rPr>
      </w:pPr>
      <w:r>
        <w:rPr>
          <w:rFonts w:ascii="Arial" w:cs="Arial" w:eastAsia="Arial" w:hAnsi="Arial"/>
          <w:sz w:val="17"/>
          <w:szCs w:val="17"/>
          <w:color w:val="auto"/>
        </w:rPr>
        <w:t>entitled to participate in such distribution, the holders of the Senior Indebtedness of the Guarantor and other indebtedness of the Guarantor, the amount thereof or payable thereon, the amount or amounts paid or distributed thereon and all other facts pertinent thereto or to this Article 2.</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Authorization by holders of the Debentures.</w:t>
      </w:r>
      <w:r>
        <w:rPr>
          <w:rFonts w:ascii="Arial" w:cs="Arial" w:eastAsia="Arial" w:hAnsi="Arial"/>
          <w:sz w:val="18"/>
          <w:szCs w:val="18"/>
          <w:color w:val="auto"/>
        </w:rPr>
        <w:t xml:space="preserve"> Each holder of the Debentures by his acceptance thereof authorizes and directs the Trustee on his behalf to take such action as may be necessary or appropriate to effectuate the subordination provided in this Article 2 and appoints the Trustee his attorney-in-fact for any and all such purposes.</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Notice to Trustee.</w:t>
      </w:r>
      <w:r>
        <w:rPr>
          <w:rFonts w:ascii="Arial" w:cs="Arial" w:eastAsia="Arial" w:hAnsi="Arial"/>
          <w:sz w:val="17"/>
          <w:szCs w:val="17"/>
          <w:color w:val="auto"/>
        </w:rPr>
        <w:t xml:space="preserve"> The Guarantor shall give prompt written notice to a Responsible Officer of the Trustee of any fact known to the Guarantor which would prohibit the making of any payment of monies to or by the Trustee in respect of the Debentures pursuant to the provisions of this Article 2. Notwithstanding the provisions of this Article 2 or any other provision of this Supplemental Indenture or the Indenture, the Trustee shall not be charged with knowledge of the existence of any facts which would prohibit the making of any payment of monies to or by the Trustee in respect of the Debentures pursuant to the provisions of this Article 2, unless and until a Responsible Officer of the Trustee shall have received written notice thereof from the Guarantor or a holder or holders of the Senior Indebtedness of the Guarantor or from any trustee therefor; and before the receipt of any such written notice, the Trustee, subject to the provisions of Section 11.1 of the Indenture,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the Debentures) the Trustee shall not have received, with respect to such monies, the notice provided for in this Section 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anything to the contrary hereinbefore set forth, nothing shall prevent any payment by the Guarantor or the Trustee to the holders of the Debentures of monies in connection with a redemption of the Debentures if (i) notice of such redemption has been given pursuant to Article V of the Indenture prior to the receipt by the Trustee of written notice as aforesaid, and (ii) such notice of redemption is given not earlier than 60 days before the redemption date.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Trustee shall be entitled to rely conclusively on the delivery to it of a written notice by a Person representing himself to be a holder of Senior Indebtedness of the Guarantor (or a trustee on behalf of such holder) to establish that such notice has been given by a holder of Senior Indebtedness of the Guarantor or a trustee on behalf of any such holder or holders. In the event that the Trustee determines in good faith that further evidence is required with respect to the right of any Person as a holder of Senior Indebtedness of the Guarantor to participate in any payment or distribution pursuant to this Article 2, the Trustee may request such Person to furnish evidence to the reasonable satisfaction of the Trustee as to the amount of Senior Indebtedness of the Guarantor held by such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Person, the extent to which such person is entitled to participate in such payment or distribution and any other facts pertinent to the rights of such Person under this Article 2, and if such evidence is not furnished the Trustee may defer any payment to such Person pending judicial determination as to the right of such Person to receive payment.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Section 2.06</w:t>
      </w:r>
      <w:r>
        <w:rPr>
          <w:rFonts w:ascii="Arial" w:cs="Arial" w:eastAsia="Arial" w:hAnsi="Arial"/>
          <w:sz w:val="18"/>
          <w:szCs w:val="18"/>
          <w:color w:val="auto"/>
        </w:rPr>
        <w:t>.</w:t>
      </w:r>
      <w:r>
        <w:rPr>
          <w:rFonts w:ascii="Arial" w:cs="Arial" w:eastAsia="Arial" w:hAnsi="Arial"/>
          <w:sz w:val="18"/>
          <w:szCs w:val="18"/>
          <w:i w:val="1"/>
          <w:iCs w:val="1"/>
          <w:color w:val="auto"/>
        </w:rPr>
        <w:t xml:space="preserve"> Trustee’s relation to Senior Indebtedness of the Guarantor. </w:t>
      </w:r>
      <w:r>
        <w:rPr>
          <w:rFonts w:ascii="Arial" w:cs="Arial" w:eastAsia="Arial" w:hAnsi="Arial"/>
          <w:sz w:val="18"/>
          <w:szCs w:val="18"/>
          <w:color w:val="auto"/>
        </w:rPr>
        <w:t>The Trustee in its individual capacity shall be entitled to all the rights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this Article 2 in respect of any Senior Indebtedness of the Guarantor at any time held by it, to the same extent as any other holder of Senior Indebtedness of the Guarantor and nothing elsewhere in this Supplemental Indenture or in the Indenture shall deprive the Trustee of any of its rights as such holder.</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With respect to the holders of Senior Indebtedness of the Guarantor, the Trustee undertakes to perform or to observe only such of its covenants and obligations as are specifically set forth in this Article 2, and no implied covenants or obligations with respect to the holders of Senior Indebtedness of the Guarantor shall be read into this Supplemental Indenture or the Indenture against the Trustee. The Trustee shall not be deemed to owe any fiduciary duty to the holders of Senior Indebtedness of the Guarantor and the Trustee shall not be liable to any holder of Senior Indebtedness of the Guarantor if it shall pay over or deliver to the holders of the Debentures, the Guarantor or any other Person money or assets to which any holder of Senior Indebtedness of the Guarantor shall be entitled by virtue of this Article 2 or otherwise.</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No impairment of subordination.</w:t>
      </w:r>
      <w:r>
        <w:rPr>
          <w:rFonts w:ascii="Arial" w:cs="Arial" w:eastAsia="Arial" w:hAnsi="Arial"/>
          <w:sz w:val="17"/>
          <w:szCs w:val="17"/>
          <w:color w:val="auto"/>
        </w:rPr>
        <w:t xml:space="preserve"> No right of any present or future holder of any Senior Indebtedness of the Guarantor to enforce subordination as herein provided shall at any time in any way be prejudiced or impaired by any act or failure to act on the part of the Guarantor or by any act or failure to act, in good faith, by any such holder, or by any noncompliance by the Guarantor with the terms, provisions and covenants of this Supplemental Indenture, regardless of any knowledge thereof which any such holder may have or otherwise be charged with.</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Section 2.08. Definition of Senior Indebtedness of the Guarantor. </w:t>
      </w:r>
      <w:r>
        <w:rPr>
          <w:rFonts w:ascii="Arial" w:cs="Arial" w:eastAsia="Arial" w:hAnsi="Arial"/>
          <w:sz w:val="18"/>
          <w:szCs w:val="18"/>
          <w:color w:val="auto"/>
        </w:rPr>
        <w:t>For the purposes of this Supplemental Indenture, “Senior Indebtedness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means the principal of, premium, if any, interest on, and any other payment due pursuant to any of the following, whether outstanding at the date hereof or hereafter incurred or created:</w:t>
      </w:r>
    </w:p>
    <w:p>
      <w:pPr>
        <w:spacing w:after="0" w:line="181" w:lineRule="exact"/>
        <w:rPr>
          <w:sz w:val="20"/>
          <w:szCs w:val="20"/>
          <w:color w:val="auto"/>
        </w:rPr>
      </w:pPr>
    </w:p>
    <w:p>
      <w:pPr>
        <w:ind w:right="140" w:firstLine="656"/>
        <w:spacing w:after="0" w:line="264" w:lineRule="auto"/>
        <w:tabs>
          <w:tab w:leader="none" w:pos="1343"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indebtedness of the Guarantor for money borrowed (including any indebtedness secured by a mortgage, conditional sales contract or other lien which is (i) given to secure all or part of the purchase price of property subject thereto, whether given to the vendor of such property or to another or (ii) existing on property at the time of acquisition thereof);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60" w:hanging="70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indebtedness of the Guarantor evidenced by notes, debentures, bonds or other securities sold by the Guarantor for money;</w:t>
      </w:r>
    </w:p>
    <w:p>
      <w:pPr>
        <w:sectPr>
          <w:pgSz w:w="11900" w:h="16838" w:orient="portrait"/>
          <w:cols w:equalWidth="0" w:num="1">
            <w:col w:w="11380"/>
          </w:cols>
          <w:pgMar w:left="240" w:top="125" w:right="279" w:bottom="113" w:gutter="0" w:footer="0" w:header="0"/>
        </w:sectPr>
      </w:pPr>
    </w:p>
    <w:bookmarkStart w:id="13" w:name="page14"/>
    <w:bookmarkEnd w:id="13"/>
    <w:p>
      <w:pPr>
        <w:ind w:left="1360" w:hanging="704"/>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lease obligations of the Guarantor which are capitalized on the books of the Guarantor in accordance with generally accepted accounting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principles;</w:t>
      </w:r>
    </w:p>
    <w:p>
      <w:pPr>
        <w:spacing w:after="0" w:line="210" w:lineRule="exact"/>
        <w:rPr>
          <w:rFonts w:ascii="Arial" w:cs="Arial" w:eastAsia="Arial" w:hAnsi="Arial"/>
          <w:sz w:val="16"/>
          <w:szCs w:val="16"/>
          <w:color w:val="auto"/>
        </w:rPr>
      </w:pPr>
    </w:p>
    <w:p>
      <w:pPr>
        <w:ind w:right="260" w:firstLine="656"/>
        <w:spacing w:after="0" w:line="264"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 (a) or (b) and all lease obligations of others of the kind described in the preceding clause (c) assumed by or guaranteed in any manner by the Guarantor or in effect guaranteed by the Guarantor through an agreement to purchase, contingent or otherwise; and</w:t>
      </w:r>
    </w:p>
    <w:p>
      <w:pPr>
        <w:spacing w:after="0" w:line="181" w:lineRule="exact"/>
        <w:rPr>
          <w:rFonts w:ascii="Arial" w:cs="Arial" w:eastAsia="Arial" w:hAnsi="Arial"/>
          <w:sz w:val="18"/>
          <w:szCs w:val="18"/>
          <w:color w:val="auto"/>
        </w:rPr>
      </w:pPr>
    </w:p>
    <w:p>
      <w:pPr>
        <w:ind w:right="640" w:firstLine="656"/>
        <w:spacing w:after="0" w:line="277" w:lineRule="auto"/>
        <w:tabs>
          <w:tab w:leader="none" w:pos="13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 (c) or (d);</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holders of the Debentures pursuant to Article 1 of this Supplemental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Effect of Supplemental Indenture.</w:t>
      </w:r>
      <w:r>
        <w:rPr>
          <w:rFonts w:ascii="Arial" w:cs="Arial" w:eastAsia="Arial" w:hAnsi="Arial"/>
          <w:sz w:val="18"/>
          <w:szCs w:val="18"/>
          <w:color w:val="auto"/>
        </w:rPr>
        <w:t xml:space="preserve"> Upon the execution of this Supplemental Indenture, the Indenture shall be and be deemed to be modified and amended in accordance herewith and the respective rights, limitations of rights, obligations, duties and immunities under the Indenture of the Trustee, the Company and the holders of Debentures shall hereafter be determined, exercised and enforced hereunder subject in all respects to such modifications and amendments, and all the terms and conditions of this Supplemental Indenture shall be and be deemed to be part of the terms and conditions of the Indenture for any and all purposes.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Indenture remains in full force and effect.</w:t>
      </w:r>
      <w:r>
        <w:rPr>
          <w:rFonts w:ascii="Arial" w:cs="Arial" w:eastAsia="Arial" w:hAnsi="Arial"/>
          <w:sz w:val="18"/>
          <w:szCs w:val="18"/>
          <w:color w:val="auto"/>
        </w:rPr>
        <w:t xml:space="preserve"> Except as amended and supplemented hereby, all provisions in the Indenture shall remain in full force and effect and are in all respects ratified and confirmed.</w:t>
      </w:r>
    </w:p>
    <w:p>
      <w:pPr>
        <w:spacing w:after="0" w:line="17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Indenture and Supplemental Indenture construed together.</w:t>
      </w:r>
      <w:r>
        <w:rPr>
          <w:rFonts w:ascii="Arial" w:cs="Arial" w:eastAsia="Arial" w:hAnsi="Arial"/>
          <w:sz w:val="17"/>
          <w:szCs w:val="17"/>
          <w:color w:val="auto"/>
        </w:rPr>
        <w:t xml:space="preserve"> This Supplemental Indenture is an indenture supplemental to and in implementation of the Indenture, and the Indenture and this Supplemental Indenture shall henceforth be read and construed together.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Section 3.04</w:t>
      </w:r>
      <w:r>
        <w:rPr>
          <w:rFonts w:ascii="Arial" w:cs="Arial" w:eastAsia="Arial" w:hAnsi="Arial"/>
          <w:sz w:val="17"/>
          <w:szCs w:val="17"/>
          <w:i w:val="1"/>
          <w:iCs w:val="1"/>
          <w:color w:val="auto"/>
        </w:rPr>
        <w:t>. Remaining provisions not affected by invalidity of any other provisions – required provisions of Trust Indenture Act of 1939 to control.</w:t>
      </w:r>
      <w:r>
        <w:rPr>
          <w:rFonts w:ascii="Arial" w:cs="Arial" w:eastAsia="Arial" w:hAnsi="Arial"/>
          <w:sz w:val="17"/>
          <w:szCs w:val="17"/>
          <w:color w:val="auto"/>
        </w:rPr>
        <w:t xml:space="preserve"> In case one or more of the provisions contained in this Supplemental Indenture shall for any reason be held to be invalid, illegal or unenforceable in any respect, such invalidity, illegality or unenforceability shall not affect any other provisions of this Supplemental Indenture or the Indenture, but this Supplemental Indenture shall be construed as if such invalid, illegal or unenforceable provisions had never been contained herewith.</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any provisions of this Supplemental Indenture limits, qualifies or conflicts with any other provision of this Supplemental Indenture and the Indenture which is required to be included in an indenture qualified under the Trust Indenture Act of 1939, as amended, such provision which is so required to be included shall control.</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3.05</w:t>
      </w:r>
      <w:r>
        <w:rPr>
          <w:rFonts w:ascii="Arial" w:cs="Arial" w:eastAsia="Arial" w:hAnsi="Arial"/>
          <w:sz w:val="16"/>
          <w:szCs w:val="16"/>
          <w:i w:val="1"/>
          <w:iCs w:val="1"/>
          <w:color w:val="auto"/>
        </w:rPr>
        <w:t>. Guarantor released from Indenture requirements if entitled to have Indenture cancelled.</w:t>
      </w:r>
      <w:r>
        <w:rPr>
          <w:rFonts w:ascii="Arial" w:cs="Arial" w:eastAsia="Arial" w:hAnsi="Arial"/>
          <w:sz w:val="16"/>
          <w:szCs w:val="16"/>
          <w:color w:val="auto"/>
        </w:rPr>
        <w:t xml:space="preserve"> Whenever by the terms of this Supplemental Indenture or the Indenture the Guarantor shall be required to do or not to do anything so long as any of the Debentures shall be Outstanding of any series, the Guarantor shall, notwithstanding any such provision, not be required to comply with such provision with respect to such series if the Company shall be entitled to have the Indenture satisfied and discharged pursuant to the provisions thereof, even though in either case the holders of any of the Debentures of such series shall have failed to present and surrender such Debentures for payment pursuant to the terms of the Indenture.</w:t>
      </w:r>
    </w:p>
    <w:p>
      <w:pPr>
        <w:spacing w:after="0" w:line="15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Date of execution.</w:t>
      </w:r>
      <w:r>
        <w:rPr>
          <w:rFonts w:ascii="Arial" w:cs="Arial" w:eastAsia="Arial" w:hAnsi="Arial"/>
          <w:sz w:val="18"/>
          <w:szCs w:val="18"/>
          <w:color w:val="auto"/>
        </w:rPr>
        <w:t xml:space="preserve"> Although this Supplemental Indenture, for convenience and for the purpose of reference, is dated as of the date first above written, the actual date of execution by the Company, by the Guarantor and by the Trustee is as indicated by their respective acknowledgements hereto annexed.</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Execution of documents furnished under the Supplemental Indenture and the Indenture.</w:t>
      </w:r>
      <w:r>
        <w:rPr>
          <w:rFonts w:ascii="Arial" w:cs="Arial" w:eastAsia="Arial" w:hAnsi="Arial"/>
          <w:sz w:val="18"/>
          <w:szCs w:val="18"/>
          <w:color w:val="auto"/>
        </w:rPr>
        <w:t xml:space="preserve"> Unless otherwise expressly provided, any order, notice, request, demand, certificate or statement of the Guarantor required or permitted to be made or given under any provision hereof shall be sufficiently executed if signed by its Chairman of the Board, President, any Vice Chairman of the Board, or any Vice President, and by its Treasurer, any Assistant Treasurer, Secretary or any Assistant Secretary.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w:t>
      </w:r>
      <w:r>
        <w:rPr>
          <w:rFonts w:ascii="Arial" w:cs="Arial" w:eastAsia="Arial" w:hAnsi="Arial"/>
          <w:sz w:val="18"/>
          <w:szCs w:val="18"/>
          <w:color w:val="auto"/>
        </w:rPr>
        <w:t xml:space="preserve"> Officers’ </w:t>
      </w:r>
      <w:r>
        <w:rPr>
          <w:rFonts w:ascii="Arial" w:cs="Arial" w:eastAsia="Arial" w:hAnsi="Arial"/>
          <w:sz w:val="18"/>
          <w:szCs w:val="18"/>
          <w:i w:val="1"/>
          <w:iCs w:val="1"/>
          <w:color w:val="auto"/>
        </w:rPr>
        <w:t>Certificates and Opinions of Counsel to be furnished Trustee.</w:t>
      </w:r>
      <w:r>
        <w:rPr>
          <w:rFonts w:ascii="Arial" w:cs="Arial" w:eastAsia="Arial" w:hAnsi="Arial"/>
          <w:sz w:val="18"/>
          <w:szCs w:val="18"/>
          <w:color w:val="auto"/>
        </w:rPr>
        <w:t xml:space="preserve"> Upon any application, demand or request by the Guarantor to the Trustee to take any action under any of the provisions of this Supplemental Indenture or the Indenture, the Guarantor shall furnish to the Trustee an Officers’ Certificate stating that all conditions precedent, if any, provided for in this Supplemental Indenture and the Indenture relating to the proposed action have been complied with, and an Opinion of Counsel stating that in the opinion of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counsel all such conditions precedent have been complied with and that such action is in compliance with applicable law.</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Supplemental Indenture or the Indenture shall include (a) a statement that the person making such certificate or opinion has read such covenant or condition; (b) a brief statement as to the nature and scope of the examination or investigation upon which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ectPr>
          <w:pgSz w:w="11900" w:h="16838" w:orient="portrait"/>
          <w:cols w:equalWidth="0" w:num="1">
            <w:col w:w="11420"/>
          </w:cols>
          <w:pgMar w:left="240" w:top="125" w:right="239" w:bottom="95" w:gutter="0" w:footer="0" w:header="0"/>
        </w:sectPr>
      </w:pPr>
    </w:p>
    <w:bookmarkStart w:id="14" w:name="page15"/>
    <w:bookmarkEnd w:id="14"/>
    <w:p>
      <w:pPr>
        <w:ind w:firstLine="648"/>
        <w:spacing w:after="0" w:line="272" w:lineRule="auto"/>
        <w:rPr>
          <w:sz w:val="20"/>
          <w:szCs w:val="20"/>
          <w:color w:val="auto"/>
        </w:rPr>
      </w:pPr>
      <w:r>
        <w:rPr>
          <w:rFonts w:ascii="Arial" w:cs="Arial" w:eastAsia="Arial" w:hAnsi="Arial"/>
          <w:sz w:val="17"/>
          <w:szCs w:val="17"/>
          <w:color w:val="auto"/>
        </w:rPr>
        <w:t>Any certificate, statement or opinion of an officer of the Guarantor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Guarantor, upon the certificate, statement or opinion of or representations by an officer or officers of the Guarantor,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Any certificate, statement or opinion of an officer of the Guarantor or of counsel may be based, insofar as it relates to accounting matters, upon a certificate or opinion of or representations by an accountant or firm of accountants in the employ of the Guarantor,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 Any certificate or opinion of any independent firm of public accountants filed with the Trustee shall contain a statement that such firm is independent.</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Presentation of notices and demands.</w:t>
      </w:r>
      <w:r>
        <w:rPr>
          <w:rFonts w:ascii="Arial" w:cs="Arial" w:eastAsia="Arial" w:hAnsi="Arial"/>
          <w:sz w:val="18"/>
          <w:szCs w:val="18"/>
          <w:color w:val="auto"/>
        </w:rPr>
        <w:t xml:space="preserve"> Any notice to or demand upon the Guarantor shall be deemed to have been sufficiently given or served by the Trustee or the Debentureholders, for all purposes, by being mailed by first class mail addressed to the Guarantor at 1500 Market Street, Philadelphia, Pennsylvania 19102-2148, attention: General Counsel, or at such other address or to such other counsel, as may be filed in writing by the Guarantor with the Trustee.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Separability clause.</w:t>
      </w:r>
      <w:r>
        <w:rPr>
          <w:rFonts w:ascii="Arial" w:cs="Arial" w:eastAsia="Arial" w:hAnsi="Arial"/>
          <w:sz w:val="18"/>
          <w:szCs w:val="18"/>
          <w:color w:val="auto"/>
        </w:rPr>
        <w:t xml:space="preserve"> In case any provision in this Supplemental Indenture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Terms defined in the Indenture.</w:t>
      </w:r>
      <w:r>
        <w:rPr>
          <w:rFonts w:ascii="Arial" w:cs="Arial" w:eastAsia="Arial" w:hAnsi="Arial"/>
          <w:sz w:val="18"/>
          <w:szCs w:val="18"/>
          <w:color w:val="auto"/>
        </w:rPr>
        <w:t xml:space="preserve"> All capitalized terms not otherwise defined herein shall have the meanings ascribed to them in the Indenture.</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Section 3.12</w:t>
      </w:r>
      <w:r>
        <w:rPr>
          <w:rFonts w:ascii="Arial" w:cs="Arial" w:eastAsia="Arial" w:hAnsi="Arial"/>
          <w:sz w:val="18"/>
          <w:szCs w:val="18"/>
          <w:i w:val="1"/>
          <w:iCs w:val="1"/>
          <w:color w:val="auto"/>
        </w:rPr>
        <w:t>. Rights under Indenture limited to the parties and holders of Debentures.</w:t>
      </w:r>
      <w:r>
        <w:rPr>
          <w:rFonts w:ascii="Arial" w:cs="Arial" w:eastAsia="Arial" w:hAnsi="Arial"/>
          <w:sz w:val="18"/>
          <w:szCs w:val="18"/>
          <w:color w:val="auto"/>
        </w:rPr>
        <w:t xml:space="preserve"> Except as provided in Article III of the Indenture and Article 2 of this Supplemental Indenture, nothing in the Indenture, this Supplemental Indenture or the Debentures, express or implied, is intended or shall be construed to confer upon, or to give to, any person or corporation, other than the parties hereto, their successors and assigns, and the holders of the Debentures, any right, remedy or claim under or by reason of the Indenture, this Supplemental Indenture or any provisions thereof and hereof; and the provisions of the Indenture and the Supplemental Indenture are for the exclusive benefit of the parties hereto, their successors and assigns, and the holders of the Debentures.</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3.13</w:t>
      </w:r>
      <w:r>
        <w:rPr>
          <w:rFonts w:ascii="Arial" w:cs="Arial" w:eastAsia="Arial" w:hAnsi="Arial"/>
          <w:sz w:val="18"/>
          <w:szCs w:val="18"/>
          <w:i w:val="1"/>
          <w:iCs w:val="1"/>
          <w:color w:val="auto"/>
        </w:rPr>
        <w:t>. Successors and assigns bound by Supplemental Indenture.</w:t>
      </w:r>
      <w:r>
        <w:rPr>
          <w:rFonts w:ascii="Arial" w:cs="Arial" w:eastAsia="Arial" w:hAnsi="Arial"/>
          <w:sz w:val="18"/>
          <w:szCs w:val="18"/>
          <w:color w:val="auto"/>
        </w:rPr>
        <w:t xml:space="preserve"> All the covenants, promises and agreements in this Supplemental Indenture contained by or on behalf of the Company, or by or on behalf of the Guarantor, or by or on behalf of the Trustee, shall bind and inure to the benefit of their respective successors and assigns, whether so expressed or not.</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3.14</w:t>
      </w:r>
      <w:r>
        <w:rPr>
          <w:rFonts w:ascii="Arial" w:cs="Arial" w:eastAsia="Arial" w:hAnsi="Arial"/>
          <w:sz w:val="18"/>
          <w:szCs w:val="18"/>
          <w:i w:val="1"/>
          <w:iCs w:val="1"/>
          <w:color w:val="auto"/>
        </w:rPr>
        <w:t>. Descriptive headings for convenience only.</w:t>
      </w:r>
      <w:r>
        <w:rPr>
          <w:rFonts w:ascii="Arial" w:cs="Arial" w:eastAsia="Arial" w:hAnsi="Arial"/>
          <w:sz w:val="18"/>
          <w:szCs w:val="18"/>
          <w:color w:val="auto"/>
        </w:rPr>
        <w:t xml:space="preserve"> The descriptive headings of the several Articles of this Supplemental Indenture are inserted for convenience only and shall not control or affect the meaning or construction of any of the provisions hereof.</w:t>
      </w:r>
    </w:p>
    <w:p>
      <w:pPr>
        <w:spacing w:after="0" w:line="170"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Section 3.15</w:t>
      </w:r>
      <w:r>
        <w:rPr>
          <w:rFonts w:ascii="Arial" w:cs="Arial" w:eastAsia="Arial" w:hAnsi="Arial"/>
          <w:sz w:val="17"/>
          <w:szCs w:val="17"/>
          <w:i w:val="1"/>
          <w:iCs w:val="1"/>
          <w:color w:val="auto"/>
        </w:rPr>
        <w:t>. Pennsylvania law to govern.</w:t>
      </w:r>
      <w:r>
        <w:rPr>
          <w:rFonts w:ascii="Arial" w:cs="Arial" w:eastAsia="Arial" w:hAnsi="Arial"/>
          <w:sz w:val="17"/>
          <w:szCs w:val="17"/>
          <w:color w:val="auto"/>
        </w:rPr>
        <w:t xml:space="preserve"> This Supplemental Indenture shall be deemed to be a contract under the laws of the Commonwealth of Pennsylvania, and for all purposes shall be construed in accordance with the laws of said jurisdiction, except that the rights, obligations, duties, immunities and limitations of rights of the Trustee shall be construed in accordance with the laws of the State of New York.</w:t>
      </w:r>
    </w:p>
    <w:p>
      <w:pPr>
        <w:spacing w:after="0" w:line="16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3.16</w:t>
      </w:r>
      <w:r>
        <w:rPr>
          <w:rFonts w:ascii="Arial" w:cs="Arial" w:eastAsia="Arial" w:hAnsi="Arial"/>
          <w:sz w:val="18"/>
          <w:szCs w:val="18"/>
          <w:i w:val="1"/>
          <w:iCs w:val="1"/>
          <w:color w:val="auto"/>
        </w:rPr>
        <w:t>. Supplemental Indenture may be executed in counterparts.</w:t>
      </w:r>
      <w:r>
        <w:rPr>
          <w:rFonts w:ascii="Arial" w:cs="Arial" w:eastAsia="Arial" w:hAnsi="Arial"/>
          <w:sz w:val="18"/>
          <w:szCs w:val="18"/>
          <w:color w:val="auto"/>
        </w:rPr>
        <w:t xml:space="preserve"> This Supplemental Indenture may be simultaneously executed in any number of counterparts, each of which when so executed and delivered shall be an original; but such counterparts shall together constitute but one and the same instrument. The Bank of New York, as Trustee, hereby accepts the trusts in this Supplemental Indenture declared and provided upon the terms and conditions set forth in the Indenture and this Supplemental Indenture.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Finance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95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420"/>
          </w:cols>
          <w:pgMar w:left="240" w:top="125" w:right="239" w:bottom="0" w:gutter="0" w:footer="0" w:header="0"/>
        </w:sectPr>
      </w:pPr>
    </w:p>
    <w:bookmarkStart w:id="15" w:name="page16"/>
    <w:bookmarkEnd w:id="15"/>
    <w:p>
      <w:pPr>
        <w:ind w:left="6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Vice President Finance and</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95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THE BANK OF NEW YORK, as Trustee,</w:t>
      </w:r>
    </w:p>
    <w:p>
      <w:pPr>
        <w:spacing w:after="0" w:line="200" w:lineRule="exact"/>
        <w:rPr>
          <w:sz w:val="20"/>
          <w:szCs w:val="20"/>
          <w:color w:val="auto"/>
        </w:rPr>
      </w:pPr>
    </w:p>
    <w:p>
      <w:pPr>
        <w:spacing w:after="0" w:line="241"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Mary LaGumina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Mary LaGumina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Gallagher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Patricia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87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lvl w:ilvl="1">
      <w:lvlJc w:val="left"/>
      <w:lvlText w:val="(%2)"/>
      <w:numFmt w:val="lowerLetter"/>
      <w:start w:val="1"/>
    </w:lvl>
  </w:abstractNum>
  <w:abstractNum w:abstractNumId="4">
    <w:nsid w:val="7545E146"/>
    <w:multiLevelType w:val="hybridMultilevel"/>
    <w:lvl w:ilvl="0">
      <w:lvlJc w:val="left"/>
      <w:lvlText w:val="(%1)"/>
      <w:numFmt w:val="lowerLetter"/>
      <w:start w:val="35"/>
    </w:lvl>
    <w:lvl w:ilvl="1">
      <w:lvlJc w:val="left"/>
      <w:lvlText w:val="(%2)"/>
      <w:numFmt w:val="lowerLetter"/>
      <w:start w:val="2"/>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2019-12-12T23:04:04Z</dcterms:created>
  <dcterms:modified xsi:type="dcterms:W3CDTF">2019-12-12T23:04:04Z</dcterms:modified>
</cp:coreProperties>
</file>