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226060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tbl>
      <w:tblPr>
        <w:tblLayout w:type="fixed"/>
        <w:tblInd w:w="420" w:type="dxa"/>
        <w:tblCellMar>
          <w:top w:w="0" w:type="dxa"/>
          <w:left w:w="0" w:type="dxa"/>
          <w:bottom w:w="0" w:type="dxa"/>
          <w:right w:w="0" w:type="dxa"/>
        </w:tblCellMar>
      </w:tblPr>
      <w:tr>
        <w:trPr>
          <w:trHeight w:val="335"/>
        </w:trPr>
        <w:tc>
          <w:tcPr>
            <w:tcW w:w="3120" w:type="dxa"/>
            <w:vAlign w:val="bottom"/>
          </w:tcPr>
          <w:p>
            <w:pPr>
              <w:spacing w:after="0"/>
              <w:rPr>
                <w:sz w:val="24"/>
                <w:szCs w:val="24"/>
                <w:color w:val="auto"/>
              </w:rPr>
            </w:pPr>
          </w:p>
        </w:tc>
        <w:tc>
          <w:tcPr>
            <w:tcW w:w="7240" w:type="dxa"/>
            <w:vAlign w:val="bottom"/>
          </w:tcPr>
          <w:p>
            <w:pPr>
              <w:jc w:val="center"/>
              <w:ind w:right="2773"/>
              <w:spacing w:after="0"/>
              <w:rPr>
                <w:sz w:val="20"/>
                <w:szCs w:val="20"/>
                <w:color w:val="auto"/>
              </w:rPr>
            </w:pPr>
            <w:r>
              <w:rPr>
                <w:rFonts w:ascii="Times New Roman" w:cs="Times New Roman" w:eastAsia="Times New Roman" w:hAnsi="Times New Roman"/>
                <w:sz w:val="25"/>
                <w:szCs w:val="25"/>
                <w:b w:val="1"/>
                <w:bCs w:val="1"/>
                <w:color w:val="auto"/>
              </w:rPr>
              <w:t>(Amendment No. 1)</w:t>
            </w:r>
          </w:p>
        </w:tc>
      </w:tr>
      <w:tr>
        <w:trPr>
          <w:trHeight w:val="523"/>
        </w:trPr>
        <w:tc>
          <w:tcPr>
            <w:tcW w:w="3120" w:type="dxa"/>
            <w:vAlign w:val="bottom"/>
          </w:tcPr>
          <w:p>
            <w:pPr>
              <w:spacing w:after="0"/>
              <w:rPr>
                <w:sz w:val="24"/>
                <w:szCs w:val="24"/>
                <w:color w:val="auto"/>
              </w:rPr>
            </w:pPr>
          </w:p>
        </w:tc>
        <w:tc>
          <w:tcPr>
            <w:tcW w:w="7240" w:type="dxa"/>
            <w:vAlign w:val="bottom"/>
          </w:tcPr>
          <w:p>
            <w:pPr>
              <w:jc w:val="center"/>
              <w:ind w:right="2793"/>
              <w:spacing w:after="0"/>
              <w:rPr>
                <w:sz w:val="20"/>
                <w:szCs w:val="20"/>
                <w:color w:val="auto"/>
              </w:rPr>
            </w:pPr>
            <w:r>
              <w:rPr>
                <w:rFonts w:ascii="Times New Roman" w:cs="Times New Roman" w:eastAsia="Times New Roman" w:hAnsi="Times New Roman"/>
                <w:sz w:val="25"/>
                <w:szCs w:val="25"/>
                <w:b w:val="1"/>
                <w:bCs w:val="1"/>
                <w:color w:val="auto"/>
                <w:w w:val="99"/>
              </w:rPr>
              <w:t>CURRENT REPORT</w:t>
            </w:r>
          </w:p>
        </w:tc>
      </w:tr>
      <w:tr>
        <w:trPr>
          <w:trHeight w:val="297"/>
        </w:trPr>
        <w:tc>
          <w:tcPr>
            <w:tcW w:w="3120" w:type="dxa"/>
            <w:vAlign w:val="bottom"/>
          </w:tcPr>
          <w:p>
            <w:pPr>
              <w:spacing w:after="0"/>
              <w:rPr>
                <w:sz w:val="24"/>
                <w:szCs w:val="24"/>
                <w:color w:val="auto"/>
              </w:rPr>
            </w:pPr>
          </w:p>
        </w:tc>
        <w:tc>
          <w:tcPr>
            <w:tcW w:w="7240" w:type="dxa"/>
            <w:vAlign w:val="bottom"/>
          </w:tcPr>
          <w:p>
            <w:pPr>
              <w:jc w:val="center"/>
              <w:ind w:right="2793"/>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tc>
      </w:tr>
      <w:tr>
        <w:trPr>
          <w:trHeight w:val="335"/>
        </w:trPr>
        <w:tc>
          <w:tcPr>
            <w:tcW w:w="3120" w:type="dxa"/>
            <w:vAlign w:val="bottom"/>
          </w:tcPr>
          <w:p>
            <w:pPr>
              <w:spacing w:after="0"/>
              <w:rPr>
                <w:sz w:val="24"/>
                <w:szCs w:val="24"/>
                <w:color w:val="auto"/>
              </w:rPr>
            </w:pPr>
          </w:p>
        </w:tc>
        <w:tc>
          <w:tcPr>
            <w:tcW w:w="7240" w:type="dxa"/>
            <w:vAlign w:val="bottom"/>
          </w:tcPr>
          <w:p>
            <w:pPr>
              <w:jc w:val="center"/>
              <w:ind w:right="2773"/>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tc>
      </w:tr>
      <w:tr>
        <w:trPr>
          <w:trHeight w:val="544"/>
        </w:trPr>
        <w:tc>
          <w:tcPr>
            <w:tcW w:w="10360" w:type="dxa"/>
            <w:vAlign w:val="bottom"/>
            <w:gridSpan w:val="2"/>
          </w:tcPr>
          <w:p>
            <w:pPr>
              <w:jc w:val="center"/>
              <w:ind w:left="127"/>
              <w:spacing w:after="0"/>
              <w:rPr>
                <w:sz w:val="20"/>
                <w:szCs w:val="20"/>
                <w:color w:val="auto"/>
              </w:rPr>
            </w:pPr>
            <w:r>
              <w:rPr>
                <w:rFonts w:ascii="Times New Roman" w:cs="Times New Roman" w:eastAsia="Times New Roman" w:hAnsi="Times New Roman"/>
                <w:sz w:val="22"/>
                <w:szCs w:val="22"/>
                <w:b w:val="1"/>
                <w:bCs w:val="1"/>
                <w:color w:val="auto"/>
                <w:w w:val="99"/>
              </w:rPr>
              <w:t>Date of report (Date of earliest event reported): July 1, 2015</w:t>
            </w:r>
          </w:p>
        </w:tc>
      </w:tr>
      <w:tr>
        <w:trPr>
          <w:trHeight w:val="523"/>
        </w:trPr>
        <w:tc>
          <w:tcPr>
            <w:tcW w:w="3120" w:type="dxa"/>
            <w:vAlign w:val="bottom"/>
          </w:tcPr>
          <w:p>
            <w:pPr>
              <w:spacing w:after="0"/>
              <w:rPr>
                <w:sz w:val="24"/>
                <w:szCs w:val="24"/>
                <w:color w:val="auto"/>
              </w:rPr>
            </w:pPr>
          </w:p>
        </w:tc>
        <w:tc>
          <w:tcPr>
            <w:tcW w:w="7240" w:type="dxa"/>
            <w:vAlign w:val="bottom"/>
          </w:tcPr>
          <w:p>
            <w:pPr>
              <w:jc w:val="center"/>
              <w:ind w:right="277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234"/>
        </w:trPr>
        <w:tc>
          <w:tcPr>
            <w:tcW w:w="3120" w:type="dxa"/>
            <w:vAlign w:val="bottom"/>
          </w:tcPr>
          <w:p>
            <w:pPr>
              <w:spacing w:after="0"/>
              <w:rPr>
                <w:sz w:val="20"/>
                <w:szCs w:val="20"/>
                <w:color w:val="auto"/>
              </w:rPr>
            </w:pPr>
          </w:p>
        </w:tc>
        <w:tc>
          <w:tcPr>
            <w:tcW w:w="7240" w:type="dxa"/>
            <w:vAlign w:val="bottom"/>
          </w:tcPr>
          <w:p>
            <w:pPr>
              <w:jc w:val="center"/>
              <w:ind w:right="27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4"/>
        </w:trPr>
        <w:tc>
          <w:tcPr>
            <w:tcW w:w="3120" w:type="dxa"/>
            <w:vAlign w:val="bottom"/>
          </w:tcPr>
          <w:p>
            <w:pPr>
              <w:spacing w:after="0"/>
              <w:rPr>
                <w:sz w:val="24"/>
                <w:szCs w:val="24"/>
                <w:color w:val="auto"/>
              </w:rPr>
            </w:pPr>
          </w:p>
        </w:tc>
        <w:tc>
          <w:tcPr>
            <w:tcW w:w="7240" w:type="dxa"/>
            <w:vAlign w:val="bottom"/>
          </w:tcPr>
          <w:p>
            <w:pPr>
              <w:jc w:val="center"/>
              <w:ind w:right="275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234"/>
        </w:trPr>
        <w:tc>
          <w:tcPr>
            <w:tcW w:w="3120" w:type="dxa"/>
            <w:vAlign w:val="bottom"/>
          </w:tcPr>
          <w:p>
            <w:pPr>
              <w:spacing w:after="0"/>
              <w:rPr>
                <w:sz w:val="20"/>
                <w:szCs w:val="20"/>
                <w:color w:val="auto"/>
              </w:rPr>
            </w:pPr>
          </w:p>
        </w:tc>
        <w:tc>
          <w:tcPr>
            <w:tcW w:w="7240" w:type="dxa"/>
            <w:vAlign w:val="bottom"/>
          </w:tcPr>
          <w:p>
            <w:pPr>
              <w:jc w:val="center"/>
              <w:ind w:right="2773"/>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r>
      <w:tr>
        <w:trPr>
          <w:trHeight w:val="414"/>
        </w:trPr>
        <w:tc>
          <w:tcPr>
            <w:tcW w:w="312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40" w:type="dxa"/>
            <w:vAlign w:val="bottom"/>
          </w:tcPr>
          <w:p>
            <w:pPr>
              <w:jc w:val="center"/>
              <w:ind w:left="465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234"/>
        </w:trPr>
        <w:tc>
          <w:tcPr>
            <w:tcW w:w="3120" w:type="dxa"/>
            <w:vAlign w:val="bottom"/>
          </w:tcPr>
          <w:p>
            <w:pPr>
              <w:jc w:val="center"/>
              <w:ind w:right="87"/>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7240" w:type="dxa"/>
            <w:vAlign w:val="bottom"/>
          </w:tcPr>
          <w:p>
            <w:pPr>
              <w:jc w:val="center"/>
              <w:ind w:left="4653"/>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12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40" w:type="dxa"/>
            <w:vAlign w:val="bottom"/>
          </w:tcPr>
          <w:p>
            <w:pPr>
              <w:spacing w:after="0"/>
              <w:rPr>
                <w:sz w:val="24"/>
                <w:szCs w:val="24"/>
                <w:color w:val="auto"/>
              </w:rPr>
            </w:pPr>
          </w:p>
        </w:tc>
      </w:tr>
      <w:tr>
        <w:trPr>
          <w:trHeight w:val="220"/>
        </w:trPr>
        <w:tc>
          <w:tcPr>
            <w:tcW w:w="312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7240" w:type="dxa"/>
            <w:vAlign w:val="bottom"/>
          </w:tcPr>
          <w:p>
            <w:pPr>
              <w:jc w:val="center"/>
              <w:ind w:left="465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234"/>
        </w:trPr>
        <w:tc>
          <w:tcPr>
            <w:tcW w:w="3120" w:type="dxa"/>
            <w:vAlign w:val="bottom"/>
          </w:tcPr>
          <w:p>
            <w:pPr>
              <w:jc w:val="center"/>
              <w:ind w:right="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240" w:type="dxa"/>
            <w:vAlign w:val="bottom"/>
          </w:tcPr>
          <w:p>
            <w:pPr>
              <w:jc w:val="center"/>
              <w:ind w:left="4653"/>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2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624" w:right="779" w:bottom="1440" w:gutter="0" w:footer="0" w:header="0"/>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reported in the Form 8-K filed by Comcast Corporation on May 11, 2015, Michael J. Cavanagh was appointed to serve as Comcast’s Senior Executive Vice President and Chief Financial Officer, effective upon a date to be mutually agreed. On July 1, 2015, Michael J. Cavanagh became Comcast’s Chief Financial Officer, and in connection therewith, Michael J. Angelakis ceased to serve as Comcast’s Vice Chairman and Chief Financial Officer and became a Senior Advisor to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84"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9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2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2015</w:t>
            </w:r>
          </w:p>
        </w:tc>
        <w:tc>
          <w:tcPr>
            <w:tcW w:w="79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Arthur R. Block</w:t>
            </w:r>
          </w:p>
        </w:tc>
      </w:tr>
      <w:tr>
        <w:trPr>
          <w:trHeight w:val="191"/>
        </w:trPr>
        <w:tc>
          <w:tcPr>
            <w:tcW w:w="34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Arthur R. Block</w:t>
            </w:r>
          </w:p>
        </w:tc>
      </w:tr>
      <w:tr>
        <w:trPr>
          <w:trHeight w:val="234"/>
        </w:trPr>
        <w:tc>
          <w:tcPr>
            <w:tcW w:w="3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1134"/>
        </w:trPr>
        <w:tc>
          <w:tcPr>
            <w:tcW w:w="3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2019-12-08T00:18:23Z</dcterms:created>
  <dcterms:modified xsi:type="dcterms:W3CDTF">2019-12-08T00:18:23Z</dcterms:modified>
</cp:coreProperties>
</file>