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5028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02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jc w:val="center"/>
              <w:ind w:righ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31,087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106,303.604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15,172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91,131.604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238,540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840,340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36.63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840,340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02/28/2033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right"/>
              <w:ind w:right="8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840,340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31,087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31,087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8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304,338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price is $0.00.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2. The date of the grant was March 1, 2023, and the stock options vest as follows: 20% vest on the 1st, 2nd, 3rd, 4th and 5th anniversaries of the date of the grant.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3. Each restricted stock unit represents a contingent right to receive one share of Class A Common Stock.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4. These restricted stock units vest on the transaction date.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03/03/2023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5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-3227070</wp:posOffset>
            </wp:positionV>
            <wp:extent cx="28575" cy="197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2023-03-03T15:55:20Z</dcterms:created>
  <dcterms:modified xsi:type="dcterms:W3CDTF">2023-03-03T15:55:20Z</dcterms:modified>
</cp:coreProperties>
</file>