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b w:val="1"/>
          <w:bCs w:val="1"/>
          <w:color w:val="auto"/>
        </w:rPr>
        <w:t>February 27,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17145</wp:posOffset>
            </wp:positionV>
            <wp:extent cx="48882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8230" cy="889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88"/>
              </w:rPr>
              <w:t>Pennsylvania</w:t>
            </w:r>
          </w:p>
        </w:tc>
        <w:tc>
          <w:tcPr>
            <w:tcW w:w="34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000-50093</w:t>
            </w:r>
          </w:p>
        </w:tc>
        <w:tc>
          <w:tcPr>
            <w:tcW w:w="394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27-0000798</w:t>
            </w:r>
          </w:p>
        </w:tc>
      </w:tr>
      <w:tr>
        <w:trPr>
          <w:trHeight w:val="224"/>
        </w:trPr>
        <w:tc>
          <w:tcPr>
            <w:tcW w:w="4040" w:type="dxa"/>
            <w:vAlign w:val="bottom"/>
          </w:tcPr>
          <w:p>
            <w:pPr>
              <w:jc w:val="center"/>
              <w:ind w:right="370"/>
              <w:spacing w:after="0"/>
              <w:rPr>
                <w:sz w:val="20"/>
                <w:szCs w:val="20"/>
                <w:color w:val="auto"/>
              </w:rPr>
            </w:pPr>
            <w:r>
              <w:rPr>
                <w:rFonts w:ascii="Arial" w:cs="Arial" w:eastAsia="Arial" w:hAnsi="Arial"/>
                <w:sz w:val="18"/>
                <w:szCs w:val="18"/>
                <w:color w:val="auto"/>
                <w:w w:val="91"/>
              </w:rPr>
              <w:t>(State or Other Jurisdiction of Incorporation)</w:t>
            </w:r>
          </w:p>
        </w:tc>
        <w:tc>
          <w:tcPr>
            <w:tcW w:w="3440" w:type="dxa"/>
            <w:vAlign w:val="bottom"/>
          </w:tcPr>
          <w:p>
            <w:pPr>
              <w:jc w:val="center"/>
              <w:ind w:right="30"/>
              <w:spacing w:after="0"/>
              <w:rPr>
                <w:sz w:val="20"/>
                <w:szCs w:val="20"/>
                <w:color w:val="auto"/>
              </w:rPr>
            </w:pPr>
            <w:r>
              <w:rPr>
                <w:rFonts w:ascii="Arial" w:cs="Arial" w:eastAsia="Arial" w:hAnsi="Arial"/>
                <w:sz w:val="18"/>
                <w:szCs w:val="18"/>
                <w:color w:val="auto"/>
                <w:w w:val="93"/>
              </w:rPr>
              <w:t>(Commission File Number)</w:t>
            </w:r>
          </w:p>
        </w:tc>
        <w:tc>
          <w:tcPr>
            <w:tcW w:w="3940" w:type="dxa"/>
            <w:vAlign w:val="bottom"/>
          </w:tcPr>
          <w:p>
            <w:pPr>
              <w:jc w:val="center"/>
              <w:ind w:left="250"/>
              <w:spacing w:after="0"/>
              <w:rPr>
                <w:sz w:val="20"/>
                <w:szCs w:val="20"/>
                <w:color w:val="auto"/>
              </w:rPr>
            </w:pPr>
            <w:r>
              <w:rPr>
                <w:rFonts w:ascii="Arial" w:cs="Arial" w:eastAsia="Arial" w:hAnsi="Arial"/>
                <w:sz w:val="18"/>
                <w:szCs w:val="18"/>
                <w:color w:val="auto"/>
                <w:w w:val="94"/>
              </w:rPr>
              <w:t>(IRS Employer Identification No.)</w:t>
            </w:r>
          </w:p>
        </w:tc>
      </w:tr>
      <w:tr>
        <w:trPr>
          <w:trHeight w:val="413"/>
        </w:trPr>
        <w:tc>
          <w:tcPr>
            <w:tcW w:w="4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3"/>
              </w:rPr>
              <w:t>1500 Market Street</w:t>
            </w:r>
          </w:p>
        </w:tc>
        <w:tc>
          <w:tcPr>
            <w:tcW w:w="344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34"/>
        </w:trPr>
        <w:tc>
          <w:tcPr>
            <w:tcW w:w="4040" w:type="dxa"/>
            <w:vAlign w:val="bottom"/>
            <w:tcBorders>
              <w:bottom w:val="single" w:sz="8" w:color="auto"/>
            </w:tcBorders>
          </w:tcPr>
          <w:p>
            <w:pPr>
              <w:jc w:val="center"/>
              <w:ind w:left="1310"/>
              <w:spacing w:after="0"/>
              <w:rPr>
                <w:sz w:val="20"/>
                <w:szCs w:val="20"/>
                <w:color w:val="auto"/>
              </w:rPr>
            </w:pPr>
            <w:r>
              <w:rPr>
                <w:rFonts w:ascii="Arial" w:cs="Arial" w:eastAsia="Arial" w:hAnsi="Arial"/>
                <w:sz w:val="18"/>
                <w:szCs w:val="18"/>
                <w:b w:val="1"/>
                <w:bCs w:val="1"/>
                <w:color w:val="auto"/>
                <w:w w:val="90"/>
              </w:rPr>
              <w:t>Philadelphia, PA</w:t>
            </w:r>
          </w:p>
        </w:tc>
        <w:tc>
          <w:tcPr>
            <w:tcW w:w="34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b w:val="1"/>
                <w:bCs w:val="1"/>
                <w:color w:val="auto"/>
              </w:rPr>
              <w:t>19102-2148</w:t>
            </w:r>
          </w:p>
        </w:tc>
      </w:tr>
      <w:tr>
        <w:trPr>
          <w:trHeight w:val="224"/>
        </w:trPr>
        <w:tc>
          <w:tcPr>
            <w:tcW w:w="7480" w:type="dxa"/>
            <w:vAlign w:val="bottom"/>
            <w:gridSpan w:val="2"/>
          </w:tcPr>
          <w:p>
            <w:pPr>
              <w:jc w:val="center"/>
              <w:ind w:right="197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right="1410"/>
              <w:spacing w:after="0"/>
              <w:rPr>
                <w:sz w:val="20"/>
                <w:szCs w:val="20"/>
                <w:color w:val="auto"/>
              </w:rPr>
            </w:pPr>
            <w:r>
              <w:rPr>
                <w:rFonts w:ascii="Arial" w:cs="Arial" w:eastAsia="Arial" w:hAnsi="Arial"/>
                <w:sz w:val="18"/>
                <w:szCs w:val="18"/>
                <w:color w:val="auto"/>
                <w:w w:val="94"/>
              </w:rPr>
              <w:t>(Zip Code)</w:t>
            </w:r>
          </w:p>
        </w:tc>
      </w:tr>
      <w:tr>
        <w:trPr>
          <w:trHeight w:val="431"/>
        </w:trPr>
        <w:tc>
          <w:tcPr>
            <w:tcW w:w="4040" w:type="dxa"/>
            <w:vAlign w:val="bottom"/>
          </w:tcPr>
          <w:p>
            <w:pPr>
              <w:spacing w:after="0"/>
              <w:rPr>
                <w:sz w:val="20"/>
                <w:szCs w:val="20"/>
                <w:color w:val="auto"/>
              </w:rPr>
            </w:pPr>
            <w:r>
              <w:rPr>
                <w:rFonts w:ascii="Arial" w:cs="Arial" w:eastAsia="Arial" w:hAnsi="Arial"/>
                <w:sz w:val="18"/>
                <w:szCs w:val="18"/>
                <w:color w:val="auto"/>
                <w:w w:val="97"/>
              </w:rPr>
              <w:t>Registrant’s telephone number, including area code</w:t>
            </w:r>
          </w:p>
        </w:tc>
        <w:tc>
          <w:tcPr>
            <w:tcW w:w="344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b w:val="1"/>
                <w:bCs w:val="1"/>
                <w:color w:val="auto"/>
                <w:w w:val="89"/>
              </w:rPr>
              <w:t>(215) 665-1700</w:t>
            </w:r>
          </w:p>
        </w:tc>
        <w:tc>
          <w:tcPr>
            <w:tcW w:w="3940" w:type="dxa"/>
            <w:vAlign w:val="bottom"/>
            <w:tcBorders>
              <w:bottom w:val="single" w:sz="8" w:color="auto"/>
            </w:tcBorders>
          </w:tcPr>
          <w:p>
            <w:pPr>
              <w:spacing w:after="0"/>
              <w:rPr>
                <w:sz w:val="24"/>
                <w:szCs w:val="24"/>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Item 8.01. Other Events</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Comcast Corporation is filing herewith a revised form of Underwriting Agreement — Standard Provisions (Debt Securities, Warrants, Purchase Contracts, Units and Guarantees)(the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which revisions reflect changes made in light of the Securities Offering Reforms that went into effect on December 1, 2005. The Underwriting Agreement is filed herewith as Exhibit 1.1 and is incorporated by reference in Comcast Corporation’s Registration Statement on Form S-3 (File No. 333-104034) that was filed on March 23, 2003.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Financial Statements and Exhibits</w:t>
      </w:r>
    </w:p>
    <w:p>
      <w:pPr>
        <w:spacing w:after="0" w:line="117"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 Standard Provisions (Debt Securities, Warrants, Purchase Contracts, Units and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i w:val="1"/>
          <w:iCs w:val="1"/>
          <w:color w:val="auto"/>
        </w:rPr>
        <w:t>SIGNATURE</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Comcast Corporation</w:t>
            </w:r>
          </w:p>
        </w:tc>
        <w:tc>
          <w:tcPr>
            <w:tcW w:w="168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February 27, 2006</w:t>
            </w:r>
          </w:p>
        </w:tc>
        <w:tc>
          <w:tcPr>
            <w:tcW w:w="6120" w:type="dxa"/>
            <w:vAlign w:val="bottom"/>
            <w:gridSpan w:val="2"/>
          </w:tcPr>
          <w:p>
            <w:pPr>
              <w:ind w:left="1740"/>
              <w:spacing w:after="0"/>
              <w:rPr>
                <w:sz w:val="20"/>
                <w:szCs w:val="20"/>
                <w:color w:val="auto"/>
              </w:rPr>
            </w:pPr>
            <w:r>
              <w:rPr>
                <w:rFonts w:ascii="Arial" w:cs="Arial" w:eastAsia="Arial" w:hAnsi="Arial"/>
                <w:sz w:val="18"/>
                <w:szCs w:val="18"/>
                <w:color w:val="auto"/>
              </w:rPr>
              <w:t>By: /s/ K</w:t>
            </w:r>
            <w:r>
              <w:rPr>
                <w:rFonts w:ascii="Arial" w:cs="Arial" w:eastAsia="Arial" w:hAnsi="Arial"/>
                <w:sz w:val="12"/>
                <w:szCs w:val="12"/>
                <w:color w:val="auto"/>
              </w:rPr>
              <w:t>ENNETH</w:t>
            </w:r>
            <w:r>
              <w:rPr>
                <w:rFonts w:ascii="Arial" w:cs="Arial" w:eastAsia="Arial" w:hAnsi="Arial"/>
                <w:sz w:val="18"/>
                <w:szCs w:val="18"/>
                <w:color w:val="auto"/>
              </w:rPr>
              <w:t xml:space="preserve"> M</w:t>
            </w:r>
            <w:r>
              <w:rPr>
                <w:rFonts w:ascii="Arial" w:cs="Arial" w:eastAsia="Arial" w:hAnsi="Arial"/>
                <w:sz w:val="12"/>
                <w:szCs w:val="12"/>
                <w:color w:val="auto"/>
              </w:rPr>
              <w:t>IKALAUSKAS</w:t>
            </w:r>
          </w:p>
        </w:tc>
        <w:tc>
          <w:tcPr>
            <w:tcW w:w="168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Kenneth Mikalauskas</w:t>
            </w:r>
          </w:p>
        </w:tc>
        <w:tc>
          <w:tcPr>
            <w:tcW w:w="168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 - Finance</w:t>
            </w:r>
          </w:p>
        </w:tc>
        <w:tc>
          <w:tcPr>
            <w:tcW w:w="1680" w:type="dxa"/>
            <w:vAlign w:val="bottom"/>
          </w:tcPr>
          <w:p>
            <w:pPr>
              <w:spacing w:after="0"/>
              <w:rPr>
                <w:sz w:val="20"/>
                <w:szCs w:val="20"/>
                <w:color w:val="auto"/>
              </w:rPr>
            </w:pPr>
          </w:p>
        </w:tc>
      </w:tr>
      <w:tr>
        <w:trPr>
          <w:trHeight w:val="632"/>
        </w:trPr>
        <w:tc>
          <w:tcPr>
            <w:tcW w:w="36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p>
      <w:pPr>
        <w:ind w:left="5060"/>
        <w:spacing w:after="0"/>
        <w:rPr>
          <w:sz w:val="20"/>
          <w:szCs w:val="20"/>
          <w:color w:val="auto"/>
        </w:rPr>
      </w:pPr>
      <w:r>
        <w:rPr>
          <w:rFonts w:ascii="Arial" w:cs="Arial" w:eastAsia="Arial" w:hAnsi="Arial"/>
          <w:sz w:val="18"/>
          <w:szCs w:val="18"/>
          <w:color w:val="auto"/>
        </w:rPr>
        <w:t>EXHIBIT INDEX</w:t>
      </w:r>
    </w:p>
    <w:p>
      <w:pPr>
        <w:sectPr>
          <w:pgSz w:w="11900" w:h="16838" w:orient="portrait"/>
          <w:cols w:equalWidth="0" w:num="1">
            <w:col w:w="10219"/>
          </w:cols>
          <w:pgMar w:left="240" w:top="962" w:right="1440"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DOCUMENT DESCRIPTION</w:t>
      </w:r>
    </w:p>
    <w:p>
      <w:pPr>
        <w:spacing w:after="0" w:line="26" w:lineRule="exact"/>
        <w:rPr>
          <w:sz w:val="20"/>
          <w:szCs w:val="20"/>
          <w:color w:val="auto"/>
        </w:rPr>
      </w:pPr>
    </w:p>
    <w:p>
      <w:pPr>
        <w:sectPr>
          <w:pgSz w:w="11900" w:h="16838" w:orient="portrait"/>
          <w:cols w:equalWidth="0" w:num="2">
            <w:col w:w="4520" w:space="720"/>
            <w:col w:w="4979"/>
          </w:cols>
          <w:pgMar w:left="240" w:top="962" w:right="1440" w:bottom="1440" w:gutter="0" w:footer="0" w:header="0"/>
          <w:type w:val="continuous"/>
        </w:sectPr>
      </w:pPr>
    </w:p>
    <w:p>
      <w:pPr>
        <w:spacing w:after="0"/>
        <w:tabs>
          <w:tab w:leader="none" w:pos="8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 — Standard Provisions (Debt Securities, Warrants, Purchase Contracts, Units and Guarantees)</w:t>
      </w:r>
    </w:p>
    <w:p>
      <w:pPr>
        <w:sectPr>
          <w:pgSz w:w="11900" w:h="16838" w:orient="portrait"/>
          <w:cols w:equalWidth="0" w:num="1">
            <w:col w:w="10219"/>
          </w:cols>
          <w:pgMar w:left="240" w:top="962" w:right="1440" w:bottom="1440" w:gutter="0" w:footer="0" w:header="0"/>
          <w:type w:val="continuous"/>
        </w:sectPr>
      </w:pPr>
    </w:p>
    <w:bookmarkStart w:id="5" w:name="page6"/>
    <w:bookmarkEnd w:id="5"/>
    <w:p>
      <w:pPr>
        <w:ind w:left="328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UNDERWRITING AGREEMENT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STANDARD PROVISIONS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(DEBT SECURITIES, WARRANTS, PURCHASE CONTRACTS, UNITS AND GUARANTEES)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27, 2006</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From time to time, Comcast Corporation, a Pennsylvania corporation (the "Company"), may, alone or together with Comcast Cable Communications, LLC (formerly known as Comcast Cable Communications, Inc.), Comcast Cable Communications Holdings, Inc., Comcast Cable Holdings, LLC, Comcast MO Group, Inc. and Comcast MO of Delaware, LLC (formerly known as Comcast MO of Delaware, Inc.) (collectively, the "Cable Guarantors"), enter into one or more underwriting agreements that provide for the sale of designated securities to the several underwriters named therein. The standard provisions set forth herein may be incorporated by reference in any such underwriting agreement (an "Underwriting Agreement"). The Underwriting Agreement, including the provisions incorporated therein by reference, is herein referred to as this Agreement. Terms defined in the Underwriting Agreement are used herein as therein defined.</w:t>
      </w:r>
    </w:p>
    <w:p>
      <w:pPr>
        <w:spacing w:after="0" w:line="391" w:lineRule="exact"/>
        <w:rPr>
          <w:sz w:val="20"/>
          <w:szCs w:val="20"/>
          <w:color w:val="auto"/>
        </w:rPr>
      </w:pPr>
    </w:p>
    <w:p>
      <w:pPr>
        <w:ind w:right="1879" w:firstLine="632"/>
        <w:spacing w:after="0" w:line="269" w:lineRule="auto"/>
        <w:rPr>
          <w:sz w:val="20"/>
          <w:szCs w:val="20"/>
          <w:color w:val="auto"/>
        </w:rPr>
      </w:pPr>
      <w:r>
        <w:rPr>
          <w:rFonts w:ascii="Courier New" w:cs="Courier New" w:eastAsia="Courier New" w:hAnsi="Courier New"/>
          <w:sz w:val="16"/>
          <w:szCs w:val="16"/>
          <w:color w:val="auto"/>
        </w:rPr>
        <w:t>The Company proposes to issue from time to time (a) its senior debt securities ("Senior Debt Securities"), (b) its subordinated debt securities ("Subordinated Debt Securities" and with the Senior Debt Securities, the "Debt Securities"), (c) warrants ("Warrants") and (d) purchase contracts ("Purchase Contracts") requiring the holders thereof to purchase or sell (i) securities of an entity unaffiliated with the Company, a basket of such securities, an index or indices of such securities or any combination of the above, (ii) currencies or composite currencies or (iii) commodities. Debt Securities, Purchase Contracts and Warrants or any combination thereof may be offered in the form of Units ("Units"). As used herein, the term "Debt Securities" includes prepaid Purchase Contracts. The Debt Securities are to be guaranteed (the "Cable Guarantees") on an unsecured basis by the Cable Guarantors. The Warrants, Purchase Contracts and Units may be guaranteed on an unsecured basis by the Cable Guarantors to the extent described in the Prospectus (as defined below) pursuant to a Guarantee Agreement to be dated as of a date specified in the Underwriting Agreement and executed and delivered by the Cable Guarantors and a trustee to be named in the relevant prospectus supplement, as trustee (the "Guarantee Trustee") for the benefit of the holders from time to time of the Offered Company Securities (the "Additional Guarantee").</w:t>
      </w:r>
    </w:p>
    <w:p>
      <w:pPr>
        <w:sectPr>
          <w:pgSz w:w="11900" w:h="16838" w:orient="portrait"/>
          <w:cols w:equalWidth="0" w:num="1">
            <w:col w:w="10219"/>
          </w:cols>
          <w:pgMar w:left="240" w:top="339" w:right="1440" w:bottom="1440" w:gutter="0" w:footer="0" w:header="0"/>
        </w:sectPr>
      </w:pPr>
    </w:p>
    <w:bookmarkStart w:id="6" w:name="page7"/>
    <w:bookmarkEnd w:id="6"/>
    <w:p>
      <w:pPr>
        <w:ind w:left="40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and the Cable Guarantors have filed with the Securities and Exchange Commission (the "Commission") a registration statement including a prospectus relating to the Debt Securities, Warrants, Purchase Contracts, Units, Cable Guarantees and Additional Guarantees (collectively, the "Securities") and have filed with, or transmitted for filing to, or shall promptly after the date of the Underwriting Agreement file with or transmit for filing to, the Commission a prospectus supplement (the "Prospectus Supplement") pursuant to Rule 424 under the Securities Act of 1933, as amended (the "Securities Act"), specifically relating to the Securities offered pursuant to this Agreement (the "Offered Company Securities" and the "Offered Guarantees," if any, and, together, the "Offered Securities"). The term Registration Statement means the registration statement as amended to the date of the Underwriting Agreement including any additional registration statement filed by the Company pursuant to Rule 462(b). The term Base Prospectus means the prospectus included in the Registration Statement. The term Prospectus means the Base Prospectus together with the Prospectus Supplement. The term preliminary prospectus means a preliminary prospectus supplement specifically relating to the Offered Securities, together with the Base Prospectus. The term free writing prospectus has the meaning set forth in Rule 405 under the Securities Act. The term issuer free writing prospectus has the meaning set forth in Rule 433 under the Securities Act. The term Time of Sale Prospectus means the Base Prospectus and preliminary prospectus, if any, together with any additional documents or other information identified in Schedule I to the Underwriting Agreement. As used herein, the terms "Base Prospectus," "Prospectus", "preliminary prospectus" and "Time of Sale Prospectus" shall include in each case the documents, if any, incorporated by reference therein. As used herein, the term "Applicable Time" means the time and date set forth in the Underwriting Agreement or such other 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"Exchange Act"). For purposes of this Agreement, "Issuers" means the Company and includes the Cable Guarantors if Cable Guarantees or an Additional Guarantee are offered pursuant to this Agreement.</w:t>
      </w:r>
    </w:p>
    <w:p>
      <w:pPr>
        <w:spacing w:after="0" w:line="215" w:lineRule="exact"/>
        <w:rPr>
          <w:sz w:val="20"/>
          <w:szCs w:val="20"/>
          <w:color w:val="auto"/>
        </w:rPr>
      </w:pPr>
    </w:p>
    <w:p>
      <w:pPr>
        <w:ind w:right="2199" w:firstLine="640"/>
        <w:spacing w:after="0" w:line="236"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Issuers, jointly and severally, represent and warrant to each of the Underwriters as of the date of the Underwriting Agreement that:</w:t>
      </w:r>
    </w:p>
    <w:p>
      <w:pPr>
        <w:spacing w:after="0" w:line="208" w:lineRule="exact"/>
        <w:rPr>
          <w:rFonts w:ascii="Courier New" w:cs="Courier New" w:eastAsia="Courier New" w:hAnsi="Courier New"/>
          <w:sz w:val="18"/>
          <w:szCs w:val="18"/>
          <w:color w:val="auto"/>
        </w:rPr>
      </w:pPr>
    </w:p>
    <w:p>
      <w:pPr>
        <w:ind w:left="1280" w:right="1779" w:firstLine="624"/>
        <w:spacing w:after="0" w:line="237" w:lineRule="auto"/>
        <w:tabs>
          <w:tab w:leader="none" w:pos="2333"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207" w:lineRule="exact"/>
        <w:rPr>
          <w:rFonts w:ascii="Courier New" w:cs="Courier New" w:eastAsia="Courier New" w:hAnsi="Courier New"/>
          <w:sz w:val="18"/>
          <w:szCs w:val="18"/>
          <w:color w:val="auto"/>
        </w:rPr>
      </w:pPr>
    </w:p>
    <w:p>
      <w:pPr>
        <w:ind w:left="1280" w:right="2419" w:firstLine="624"/>
        <w:spacing w:after="0" w:line="236" w:lineRule="auto"/>
        <w:tabs>
          <w:tab w:leader="none" w:pos="2439"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document filed or to be filed pursuant to the Exchange Act and incorporated by reference in the Time of Sale Pro-</w:t>
      </w:r>
    </w:p>
    <w:p>
      <w:pPr>
        <w:sectPr>
          <w:pgSz w:w="11900" w:h="16838" w:orient="portrait"/>
          <w:cols w:equalWidth="0" w:num="1">
            <w:col w:w="10219"/>
          </w:cols>
          <w:pgMar w:left="240" w:top="514" w:right="1440" w:bottom="1440" w:gutter="0" w:footer="0" w:header="0"/>
        </w:sectPr>
      </w:pPr>
    </w:p>
    <w:bookmarkStart w:id="7" w:name="page8"/>
    <w:bookmarkEnd w:id="7"/>
    <w:p>
      <w:pPr>
        <w:ind w:left="28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80" w:right="1999"/>
        <w:spacing w:after="0" w:line="236" w:lineRule="auto"/>
        <w:rPr>
          <w:sz w:val="20"/>
          <w:szCs w:val="20"/>
          <w:color w:val="auto"/>
        </w:rPr>
      </w:pPr>
      <w:r>
        <w:rPr>
          <w:rFonts w:ascii="Courier New" w:cs="Courier New" w:eastAsia="Courier New" w:hAnsi="Courier New"/>
          <w:sz w:val="18"/>
          <w:szCs w:val="18"/>
          <w:color w:val="auto"/>
        </w:rPr>
        <w:t>spectus or the Prospectus complied or will comply when so filed in all material respects with the Exchange Act and the rules and regulations of the Commission thereunder.</w:t>
      </w:r>
    </w:p>
    <w:p>
      <w:pPr>
        <w:spacing w:after="0" w:line="209" w:lineRule="exact"/>
        <w:rPr>
          <w:sz w:val="20"/>
          <w:szCs w:val="20"/>
          <w:color w:val="auto"/>
        </w:rPr>
      </w:pPr>
    </w:p>
    <w:p>
      <w:pPr>
        <w:ind w:left="80" w:right="1879" w:firstLine="624"/>
        <w:spacing w:after="0" w:line="270" w:lineRule="auto"/>
        <w:tabs>
          <w:tab w:leader="none" w:pos="13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the Time of Sale Prospectus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(a) that part of the Registration Statement which shall constitute the Statement of Eligibility of the Trustee on Form T-1 (the "Form T-1") or (b) statements or omissions in the Registration Statement, the Time of Sale Prospectus or the Prospectus or any amendment or supplement thereto based upon information furnished to the Issuers in writing by any Underwriter through the Managers expressly for use therein.</w:t>
      </w:r>
    </w:p>
    <w:p>
      <w:pPr>
        <w:spacing w:after="0" w:line="387" w:lineRule="exact"/>
        <w:rPr>
          <w:rFonts w:ascii="Courier New" w:cs="Courier New" w:eastAsia="Courier New" w:hAnsi="Courier New"/>
          <w:sz w:val="16"/>
          <w:szCs w:val="16"/>
          <w:color w:val="auto"/>
        </w:rPr>
      </w:pPr>
    </w:p>
    <w:p>
      <w:pPr>
        <w:ind w:left="80" w:right="1879" w:firstLine="624"/>
        <w:spacing w:after="0" w:line="270" w:lineRule="auto"/>
        <w:tabs>
          <w:tab w:leader="none" w:pos="123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(a) any written communications furnished in advance to the Managers; (b) an electronic road show, if any, furnished to the Managers before first use; or (c) free writing prospectuses identified on Schedule I to the Underwriting Agreement, including the term sheet as set forth in Schedule II to the Underwriting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386" w:lineRule="exact"/>
        <w:rPr>
          <w:rFonts w:ascii="Courier New" w:cs="Courier New" w:eastAsia="Courier New" w:hAnsi="Courier New"/>
          <w:sz w:val="16"/>
          <w:szCs w:val="16"/>
          <w:color w:val="auto"/>
        </w:rPr>
      </w:pPr>
    </w:p>
    <w:p>
      <w:pPr>
        <w:ind w:left="80" w:right="1779" w:firstLine="624"/>
        <w:spacing w:after="0" w:line="271" w:lineRule="auto"/>
        <w:tabs>
          <w:tab w:leader="none" w:pos="113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and the performance by the Company of its obligations under, this Agreement, the Senior Debt Indenture, the Subordinated Debt Indenture, the Offered Securities, any Warrants, any Purchase Contracts and any Units will not contravene any provision of applicable law or the articles of incorporation or by-laws of the Company or any agreement or other instrument binding upon the Company or any of its</w:t>
      </w:r>
    </w:p>
    <w:p>
      <w:pPr>
        <w:sectPr>
          <w:pgSz w:w="11900" w:h="16838" w:orient="portrait"/>
          <w:cols w:equalWidth="0" w:num="1">
            <w:col w:w="9019"/>
          </w:cols>
          <w:pgMar w:left="1440" w:top="514" w:right="1440" w:bottom="1440"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80" w:right="1779"/>
        <w:spacing w:after="0" w:line="270" w:lineRule="auto"/>
        <w:rPr>
          <w:sz w:val="20"/>
          <w:szCs w:val="20"/>
          <w:color w:val="auto"/>
        </w:rPr>
      </w:pPr>
      <w:r>
        <w:rPr>
          <w:rFonts w:ascii="Courier New" w:cs="Courier New" w:eastAsia="Courier New" w:hAnsi="Courier New"/>
          <w:sz w:val="16"/>
          <w:szCs w:val="16"/>
          <w:color w:val="auto"/>
        </w:rPr>
        <w:t>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the Company of its obligations under this Agreement, the Senior Debt Indenture, the Subordinated Debt Indenture, the Offered Securities or any Warrants, except such as may be required by the securities or blue sky laws of the various states in connection with the offer and sale of the Offered Securities; provided, however,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387" w:lineRule="exact"/>
        <w:rPr>
          <w:sz w:val="20"/>
          <w:szCs w:val="20"/>
          <w:color w:val="auto"/>
        </w:rPr>
      </w:pPr>
    </w:p>
    <w:p>
      <w:pPr>
        <w:ind w:left="80" w:right="1779" w:firstLine="624"/>
        <w:spacing w:after="0" w:line="237" w:lineRule="auto"/>
        <w:tabs>
          <w:tab w:leader="none" w:pos="123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 in violation of its articles of incorporation or by-laws (or similar organizational documents) or (b) in default in the performance or observance of any obligation, covenant or condition contained in any contract, except to the extent such default would not have a material adverse effect.</w:t>
      </w:r>
    </w:p>
    <w:p>
      <w:pPr>
        <w:spacing w:after="0" w:line="209" w:lineRule="exact"/>
        <w:rPr>
          <w:rFonts w:ascii="Courier New" w:cs="Courier New" w:eastAsia="Courier New" w:hAnsi="Courier New"/>
          <w:sz w:val="18"/>
          <w:szCs w:val="18"/>
          <w:color w:val="auto"/>
        </w:rPr>
      </w:pPr>
    </w:p>
    <w:p>
      <w:pPr>
        <w:ind w:left="80" w:right="1779" w:firstLine="624"/>
        <w:spacing w:after="0" w:line="237" w:lineRule="auto"/>
        <w:tabs>
          <w:tab w:leader="none" w:pos="13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 (exclusive of any amendments or supplements thereto effected subsequent to the date of the Agreement).</w:t>
      </w:r>
    </w:p>
    <w:p>
      <w:pPr>
        <w:spacing w:after="0" w:line="211" w:lineRule="exact"/>
        <w:rPr>
          <w:rFonts w:ascii="Courier New" w:cs="Courier New" w:eastAsia="Courier New" w:hAnsi="Courier New"/>
          <w:sz w:val="18"/>
          <w:szCs w:val="18"/>
          <w:color w:val="auto"/>
        </w:rPr>
      </w:pPr>
    </w:p>
    <w:p>
      <w:pPr>
        <w:ind w:left="80" w:right="1879" w:firstLine="624"/>
        <w:spacing w:after="0" w:line="237" w:lineRule="auto"/>
        <w:tabs>
          <w:tab w:leader="none" w:pos="144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Time of Sale Prospectus and are not so described or any statutes, regulations, contracts or other documents that are required to be described in the Registration Statement or the Time of Sale Prospectus or to be filed or incorporated by reference as exhibits to the Registration Statement that are not described, filed or incorporated as required.</w:t>
      </w:r>
    </w:p>
    <w:p>
      <w:pPr>
        <w:sectPr>
          <w:pgSz w:w="11900" w:h="16838" w:orient="portrait"/>
          <w:cols w:equalWidth="0" w:num="1">
            <w:col w:w="9019"/>
          </w:cols>
          <w:pgMar w:left="1440" w:top="514" w:right="1440" w:bottom="1440" w:gutter="0" w:footer="0" w:header="0"/>
        </w:sectPr>
      </w:pPr>
    </w:p>
    <w:bookmarkStart w:id="9" w:name="page10"/>
    <w:bookmarkEnd w:id="9"/>
    <w:p>
      <w:pPr>
        <w:ind w:left="33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left="640" w:right="1779" w:firstLine="624"/>
        <w:spacing w:after="0" w:line="270" w:lineRule="auto"/>
        <w:tabs>
          <w:tab w:leader="none" w:pos="1799" w:val="left"/>
        </w:tabs>
        <w:numPr>
          <w:ilvl w:val="2"/>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Time of Sale Prospectus, except to the extent that the failure to obtain or file would not have a material adverse effect on the Company and its consolidated subsidiaries, taken as a whole.</w:t>
      </w:r>
    </w:p>
    <w:p>
      <w:pPr>
        <w:spacing w:after="0" w:line="189" w:lineRule="exact"/>
        <w:rPr>
          <w:rFonts w:ascii="Courier New" w:cs="Courier New" w:eastAsia="Courier New" w:hAnsi="Courier New"/>
          <w:sz w:val="16"/>
          <w:szCs w:val="16"/>
          <w:color w:val="auto"/>
        </w:rPr>
      </w:pPr>
    </w:p>
    <w:p>
      <w:pPr>
        <w:ind w:left="-640" w:right="1879" w:firstLine="640"/>
        <w:spacing w:after="0" w:line="237" w:lineRule="auto"/>
        <w:tabs>
          <w:tab w:leader="none" w:pos="30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Offering. The Issuers are advised by the Managers that the Underwriters propose to make a public offering of their respective portions of the Offered Securities as soon after this Agreement has been entered into as in the Managers' judgment is advisable. The terms of the public offering of the Offered Securities are set forth in the Time of Sale Prospectus and the Prospectus.</w:t>
      </w:r>
    </w:p>
    <w:p>
      <w:pPr>
        <w:spacing w:after="0" w:line="209" w:lineRule="exact"/>
        <w:rPr>
          <w:rFonts w:ascii="Courier New" w:cs="Courier New" w:eastAsia="Courier New" w:hAnsi="Courier New"/>
          <w:sz w:val="18"/>
          <w:szCs w:val="18"/>
          <w:color w:val="auto"/>
        </w:rPr>
      </w:pPr>
    </w:p>
    <w:p>
      <w:pPr>
        <w:ind w:left="-640" w:right="1779" w:firstLine="640"/>
        <w:spacing w:after="0" w:line="237" w:lineRule="auto"/>
        <w:tabs>
          <w:tab w:leader="none" w:pos="30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and Delivery. Except as otherwise provided in this Section 3, payment for the Offered Securities shall be made to the Company in Federal or other funds immediately available in New York City at the time and place set forth in the Underwriting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213" w:lineRule="exact"/>
        <w:rPr>
          <w:rFonts w:ascii="Courier New" w:cs="Courier New" w:eastAsia="Courier New" w:hAnsi="Courier New"/>
          <w:sz w:val="18"/>
          <w:szCs w:val="18"/>
          <w:color w:val="auto"/>
        </w:rPr>
      </w:pPr>
    </w:p>
    <w:p>
      <w:pPr>
        <w:ind w:left="-640" w:right="2319" w:firstLine="640"/>
        <w:spacing w:after="0" w:line="235" w:lineRule="auto"/>
        <w:tabs>
          <w:tab w:leader="none" w:pos="30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Closing. The several obligations of the Underwriters hereunder are subject to the following conditions:</w:t>
      </w:r>
    </w:p>
    <w:p>
      <w:pPr>
        <w:spacing w:after="0" w:line="208"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Rule 436(g)(2) under the Securities Act.</w:t>
      </w:r>
    </w:p>
    <w:p>
      <w:pPr>
        <w:spacing w:after="0" w:line="212" w:lineRule="exact"/>
        <w:rPr>
          <w:rFonts w:ascii="Courier New" w:cs="Courier New" w:eastAsia="Courier New" w:hAnsi="Courier New"/>
          <w:sz w:val="18"/>
          <w:szCs w:val="18"/>
          <w:color w:val="auto"/>
        </w:rPr>
      </w:pPr>
    </w:p>
    <w:p>
      <w:pPr>
        <w:ind w:right="1779" w:firstLine="632"/>
        <w:spacing w:after="0" w:line="237" w:lineRule="auto"/>
        <w:tabs>
          <w:tab w:leader="none" w:pos="1053"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w:t>
      </w:r>
    </w:p>
    <w:p>
      <w:pPr>
        <w:sectPr>
          <w:pgSz w:w="11900" w:h="16838" w:orient="portrait"/>
          <w:cols w:equalWidth="0" w:num="1">
            <w:col w:w="9579"/>
          </w:cols>
          <w:pgMar w:left="880" w:top="514" w:right="1440" w:bottom="1440" w:gutter="0" w:footer="0" w:header="0"/>
        </w:sectPr>
      </w:pPr>
    </w:p>
    <w:bookmarkStart w:id="10" w:name="page11"/>
    <w:bookmarkEnd w:id="10"/>
    <w:p>
      <w:pPr>
        <w:ind w:left="338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nancial or otherwise, or in the earnings, business or operations of the Company and its consolidated subsidiaries, taken as a whole, from that set forth in the Time of Sale Prospectus, that, in the judgment of the Managers, is material and adverse and that makes it, in the judgment of the Managers, impracticable to market the Offered Securities on the terms and in the manner contemplated in the Time of Sale Prospectus; and the Managers shall have received, on the Closing Date, a certificate, dated the Closing Date and signed by an executive officer of the Company, to the foregoing effect. Such certificate will also provide that the representations and warranties of the Company contained herein are true and correct as of the Closing Date. The officer making such certificate may rely upon the best of his knowledge as to proceedings threatened.</w:t>
      </w:r>
    </w:p>
    <w:p>
      <w:pPr>
        <w:spacing w:after="0" w:line="391" w:lineRule="exact"/>
        <w:rPr>
          <w:sz w:val="20"/>
          <w:szCs w:val="20"/>
          <w:color w:val="auto"/>
        </w:rPr>
      </w:pPr>
    </w:p>
    <w:p>
      <w:pPr>
        <w:ind w:right="1879" w:firstLine="632"/>
        <w:spacing w:after="0" w:line="237"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Closing Date an opinion of Arthur R. Block, Esquire, Senior Vice President, General Counsel and Secretary of the Company (or another lawyer of the Company reasonably satisfactory to the Underwriters), dated the Closing Date, to the effect (as applicable) that:</w:t>
      </w:r>
    </w:p>
    <w:p>
      <w:pPr>
        <w:spacing w:after="0" w:line="208" w:lineRule="exact"/>
        <w:rPr>
          <w:rFonts w:ascii="Courier New" w:cs="Courier New" w:eastAsia="Courier New" w:hAnsi="Courier New"/>
          <w:sz w:val="18"/>
          <w:szCs w:val="18"/>
          <w:color w:val="auto"/>
        </w:rPr>
      </w:pPr>
    </w:p>
    <w:p>
      <w:pPr>
        <w:ind w:left="640" w:right="1879" w:firstLine="624"/>
        <w:spacing w:after="0" w:line="237" w:lineRule="auto"/>
        <w:tabs>
          <w:tab w:leader="none" w:pos="169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incorporated,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213" w:lineRule="exact"/>
        <w:rPr>
          <w:rFonts w:ascii="Courier New" w:cs="Courier New" w:eastAsia="Courier New" w:hAnsi="Courier New"/>
          <w:sz w:val="18"/>
          <w:szCs w:val="18"/>
          <w:color w:val="auto"/>
        </w:rPr>
      </w:pPr>
    </w:p>
    <w:p>
      <w:pPr>
        <w:ind w:left="640" w:right="1779" w:firstLine="624"/>
        <w:spacing w:after="0" w:line="238" w:lineRule="auto"/>
        <w:tabs>
          <w:tab w:leader="none" w:pos="1799"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issued shares of capital stock of each Cable Guarantor have been duly and validly authorized and issued, are fully paid and non-assessable, and (except for directors' qualifying shares and except as otherwise set forth in the Time of Sale Prospectus) are owned directly and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he believes that both the Managers and he are justified in relying upon such opinions and certificates);</w:t>
      </w:r>
    </w:p>
    <w:p>
      <w:pPr>
        <w:spacing w:after="0" w:line="207" w:lineRule="exact"/>
        <w:rPr>
          <w:rFonts w:ascii="Courier New" w:cs="Courier New" w:eastAsia="Courier New" w:hAnsi="Courier New"/>
          <w:sz w:val="18"/>
          <w:szCs w:val="18"/>
          <w:color w:val="auto"/>
        </w:rPr>
      </w:pPr>
    </w:p>
    <w:p>
      <w:pPr>
        <w:ind w:left="640" w:right="1999" w:firstLine="624"/>
        <w:spacing w:after="0" w:line="236" w:lineRule="auto"/>
        <w:tabs>
          <w:tab w:leader="none" w:pos="1904"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an authorized capitalization as set forth in the Time of Sale Prospectus, and all of the issued shares of</w:t>
      </w:r>
    </w:p>
    <w:p>
      <w:pPr>
        <w:sectPr>
          <w:pgSz w:w="11900" w:h="16838" w:orient="portrait"/>
          <w:cols w:equalWidth="0" w:num="1">
            <w:col w:w="9579"/>
          </w:cols>
          <w:pgMar w:left="880" w:top="514" w:right="1440" w:bottom="1440" w:gutter="0" w:footer="0" w:header="0"/>
        </w:sectPr>
      </w:pPr>
    </w:p>
    <w:bookmarkStart w:id="11" w:name="page12"/>
    <w:bookmarkEnd w:id="11"/>
    <w:p>
      <w:pPr>
        <w:ind w:left="28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80" w:right="1999"/>
        <w:spacing w:after="0" w:line="235" w:lineRule="auto"/>
        <w:rPr>
          <w:sz w:val="20"/>
          <w:szCs w:val="20"/>
          <w:color w:val="auto"/>
        </w:rPr>
      </w:pPr>
      <w:r>
        <w:rPr>
          <w:rFonts w:ascii="Courier New" w:cs="Courier New" w:eastAsia="Courier New" w:hAnsi="Courier New"/>
          <w:sz w:val="18"/>
          <w:szCs w:val="18"/>
          <w:color w:val="auto"/>
        </w:rPr>
        <w:t>capital stock of the Company have been duly and validly authorized and issued and are fully paid and non-assessable;</w:t>
      </w:r>
    </w:p>
    <w:p>
      <w:pPr>
        <w:spacing w:after="0" w:line="208" w:lineRule="exact"/>
        <w:rPr>
          <w:sz w:val="20"/>
          <w:szCs w:val="20"/>
          <w:color w:val="auto"/>
        </w:rPr>
      </w:pPr>
    </w:p>
    <w:p>
      <w:pPr>
        <w:ind w:left="80" w:right="1779" w:firstLine="624"/>
        <w:spacing w:after="0" w:line="271" w:lineRule="auto"/>
        <w:tabs>
          <w:tab w:leader="none" w:pos="123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dated as of January 7, 2003 among the Company, the Cable Guarantors (other than Comcast MO of Delaware, LLC) and The Bank of New York, as trustee (the "Trustee"), as amended by the First Supplemental Indenture dated as of March 25, 2003 among the Company, the Cable Guarantors and the Trustee (the "Senior Indenture"), and the Subordinated Indenture to be dated as of a date indicated in a relevant prospectus supplement (the "Subordinated Indenture") among the Company and the Cable Guarantors and The Bank of New York, as trustee, has been duly authorized, executed and delivered by the Company;</w:t>
      </w:r>
    </w:p>
    <w:p>
      <w:pPr>
        <w:spacing w:after="0" w:line="386" w:lineRule="exact"/>
        <w:rPr>
          <w:rFonts w:ascii="Courier New" w:cs="Courier New" w:eastAsia="Courier New" w:hAnsi="Courier New"/>
          <w:sz w:val="16"/>
          <w:szCs w:val="16"/>
          <w:color w:val="auto"/>
        </w:rPr>
      </w:pPr>
    </w:p>
    <w:p>
      <w:pPr>
        <w:ind w:left="80" w:right="1999" w:firstLine="624"/>
        <w:spacing w:after="0" w:line="235" w:lineRule="auto"/>
        <w:tabs>
          <w:tab w:leader="none" w:pos="113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left="80" w:right="2199" w:firstLine="624"/>
        <w:spacing w:after="0" w:line="235" w:lineRule="auto"/>
        <w:tabs>
          <w:tab w:leader="none" w:pos="12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Unit Agreement, if any, has been duly authorized, executed and delivered by the Company;</w:t>
      </w:r>
    </w:p>
    <w:p>
      <w:pPr>
        <w:spacing w:after="0" w:line="208" w:lineRule="exact"/>
        <w:rPr>
          <w:rFonts w:ascii="Courier New" w:cs="Courier New" w:eastAsia="Courier New" w:hAnsi="Courier New"/>
          <w:sz w:val="18"/>
          <w:szCs w:val="18"/>
          <w:color w:val="auto"/>
        </w:rPr>
      </w:pPr>
    </w:p>
    <w:p>
      <w:pPr>
        <w:ind w:left="80" w:right="1779" w:firstLine="624"/>
        <w:spacing w:after="0" w:line="235" w:lineRule="auto"/>
        <w:tabs>
          <w:tab w:leader="none" w:pos="134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Offered Company Securities have been duly authorized by the Company;</w:t>
      </w:r>
    </w:p>
    <w:p>
      <w:pPr>
        <w:spacing w:after="0" w:line="208" w:lineRule="exact"/>
        <w:rPr>
          <w:rFonts w:ascii="Courier New" w:cs="Courier New" w:eastAsia="Courier New" w:hAnsi="Courier New"/>
          <w:sz w:val="18"/>
          <w:szCs w:val="18"/>
          <w:color w:val="auto"/>
        </w:rPr>
      </w:pPr>
    </w:p>
    <w:p>
      <w:pPr>
        <w:ind w:left="80" w:right="1999" w:firstLine="624"/>
        <w:spacing w:after="0" w:line="235" w:lineRule="auto"/>
        <w:tabs>
          <w:tab w:leader="none" w:pos="144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the Company;</w:t>
      </w:r>
    </w:p>
    <w:p>
      <w:pPr>
        <w:spacing w:after="0" w:line="208" w:lineRule="exact"/>
        <w:rPr>
          <w:rFonts w:ascii="Courier New" w:cs="Courier New" w:eastAsia="Courier New" w:hAnsi="Courier New"/>
          <w:sz w:val="18"/>
          <w:szCs w:val="18"/>
          <w:color w:val="auto"/>
        </w:rPr>
      </w:pPr>
    </w:p>
    <w:p>
      <w:pPr>
        <w:ind w:left="80" w:right="1779" w:firstLine="624"/>
        <w:spacing w:after="0" w:line="238" w:lineRule="auto"/>
        <w:tabs>
          <w:tab w:leader="none" w:pos="123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Pennsylvania, or, to the best knowledge of such counsel, of any other state or jurisdiction of the United States, or the articles of incorporation or by-laws (or similar organizational document) of any Issuer or, to the best knowledge of such counsel, any material agreement or other material instrument binding upon such Issuer, and, except for the orders of the Commission making the Registration State-</w:t>
      </w:r>
    </w:p>
    <w:p>
      <w:pPr>
        <w:sectPr>
          <w:pgSz w:w="11900" w:h="16838" w:orient="portrait"/>
          <w:cols w:equalWidth="0" w:num="1">
            <w:col w:w="9019"/>
          </w:cols>
          <w:pgMar w:left="1440" w:top="514" w:right="1440" w:bottom="1440" w:gutter="0" w:footer="0" w:header="0"/>
        </w:sectPr>
      </w:pPr>
    </w:p>
    <w:bookmarkStart w:id="12" w:name="page13"/>
    <w:bookmarkEnd w:id="12"/>
    <w:p>
      <w:pPr>
        <w:ind w:left="28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80" w:right="1779"/>
        <w:spacing w:after="0" w:line="269" w:lineRule="auto"/>
        <w:rPr>
          <w:sz w:val="20"/>
          <w:szCs w:val="20"/>
          <w:color w:val="auto"/>
        </w:rPr>
      </w:pPr>
      <w:r>
        <w:rPr>
          <w:rFonts w:ascii="Courier New" w:cs="Courier New" w:eastAsia="Courier New" w:hAnsi="Courier New"/>
          <w:sz w:val="16"/>
          <w:szCs w:val="16"/>
          <w:color w:val="auto"/>
        </w:rPr>
        <w:t>ment effective and the Senior Indenture and the Subordinated Indenture qualified under the Trust Indenture Act of 1939, as amended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Pennsylvania, or, to the best knowledge of such counsel, of any other state or jurisdiction of the United States or of any foreign jurisdiction is required for the performance by any Issuer of its obligations under this Agreement, the Senior Indenture, the Subordinated Indenture, the Offered Securities, the Warrant Agreement, the Unit Agreement and the Additional Guarantee, if any;</w:t>
      </w:r>
    </w:p>
    <w:p>
      <w:pPr>
        <w:spacing w:after="0" w:line="200" w:lineRule="exact"/>
        <w:rPr>
          <w:sz w:val="20"/>
          <w:szCs w:val="20"/>
          <w:color w:val="auto"/>
        </w:rPr>
      </w:pPr>
    </w:p>
    <w:p>
      <w:pPr>
        <w:spacing w:after="0" w:line="399" w:lineRule="exact"/>
        <w:rPr>
          <w:sz w:val="20"/>
          <w:szCs w:val="20"/>
          <w:color w:val="auto"/>
        </w:rPr>
      </w:pPr>
    </w:p>
    <w:p>
      <w:pPr>
        <w:ind w:left="80" w:right="1779" w:firstLine="624"/>
        <w:spacing w:after="0" w:line="270" w:lineRule="auto"/>
        <w:tabs>
          <w:tab w:leader="none" w:pos="1133"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such qualification as may be set forth in the Time of Sale Prospectus, the Company and its subsidiaries have, and are in material compliance with, such franchises, and to the best knowledge of such counsel after reasonable investigation, such licenses and authorizations, as are necessary to own their cable communications properties and to conduct their cable communications business in the manner described in the Time of Sale Prospectus,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Time of Sale Prospectus, which restrictions would have a material adverse effect on the business or financial condition of the Company and its subsidiaries, as a whole;</w:t>
      </w:r>
    </w:p>
    <w:p>
      <w:pPr>
        <w:spacing w:after="0" w:line="386" w:lineRule="exact"/>
        <w:rPr>
          <w:rFonts w:ascii="Courier New" w:cs="Courier New" w:eastAsia="Courier New" w:hAnsi="Courier New"/>
          <w:sz w:val="16"/>
          <w:szCs w:val="16"/>
          <w:color w:val="auto"/>
        </w:rPr>
      </w:pPr>
    </w:p>
    <w:p>
      <w:pPr>
        <w:ind w:left="80" w:right="1779" w:firstLine="624"/>
        <w:spacing w:after="0" w:line="268" w:lineRule="auto"/>
        <w:tabs>
          <w:tab w:leader="none" w:pos="1239"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statements (A) in Item 3 of the Company's most recent Annual Report on Form 10-K incorporated by reference in the Time of Sale Prospectus, (B) in Part II, Item 1 under the caption "Legal Proceedings" of the Company's most recent Quarterly Report on Form 10-Q incorporated by reference in the Time of Sale Prospectus and</w:t>
      </w:r>
    </w:p>
    <w:p>
      <w:pPr>
        <w:ind w:left="80" w:right="1999" w:hanging="8"/>
        <w:spacing w:after="0" w:line="236" w:lineRule="auto"/>
        <w:tabs>
          <w:tab w:leader="none" w:pos="5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Registration Statement in Item 15, insofar as such statements constitute a summary of the legal matters, documents or pro-</w:t>
      </w:r>
    </w:p>
    <w:p>
      <w:pPr>
        <w:sectPr>
          <w:pgSz w:w="11900" w:h="16838" w:orient="portrait"/>
          <w:cols w:equalWidth="0" w:num="1">
            <w:col w:w="9019"/>
          </w:cols>
          <w:pgMar w:left="1440" w:top="514" w:right="1440" w:bottom="1440" w:gutter="0" w:footer="0" w:header="0"/>
        </w:sectPr>
      </w:pPr>
    </w:p>
    <w:bookmarkStart w:id="13" w:name="page14"/>
    <w:bookmarkEnd w:id="13"/>
    <w:p>
      <w:pPr>
        <w:ind w:left="40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left="1280" w:right="1879"/>
        <w:spacing w:after="0" w:line="290" w:lineRule="auto"/>
        <w:rPr>
          <w:sz w:val="20"/>
          <w:szCs w:val="20"/>
          <w:color w:val="auto"/>
        </w:rPr>
      </w:pPr>
      <w:r>
        <w:rPr>
          <w:rFonts w:ascii="Courier New" w:cs="Courier New" w:eastAsia="Courier New" w:hAnsi="Courier New"/>
          <w:sz w:val="16"/>
          <w:szCs w:val="16"/>
          <w:color w:val="auto"/>
        </w:rPr>
        <w:t>ceedings referred to therein, fairly present the information called for with respect to such legal matters, documents and proceedings;</w:t>
      </w:r>
    </w:p>
    <w:p>
      <w:pPr>
        <w:spacing w:after="0" w:line="170" w:lineRule="exact"/>
        <w:rPr>
          <w:sz w:val="20"/>
          <w:szCs w:val="20"/>
          <w:color w:val="auto"/>
        </w:rPr>
      </w:pPr>
    </w:p>
    <w:p>
      <w:pPr>
        <w:ind w:left="1280" w:right="1879" w:firstLine="624"/>
        <w:spacing w:after="0" w:line="237" w:lineRule="auto"/>
        <w:tabs>
          <w:tab w:leader="none" w:pos="2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Time of Sale Prospectus and is not so described or of any contract or other document which is required to be described in the Registration Statement or the Time of Sale Prospectus or to be filed as an exhibit to the Registration Statement which is not described or filed as required;</w:t>
      </w:r>
    </w:p>
    <w:p>
      <w:pPr>
        <w:spacing w:after="0" w:line="214" w:lineRule="exact"/>
        <w:rPr>
          <w:rFonts w:ascii="Courier New" w:cs="Courier New" w:eastAsia="Courier New" w:hAnsi="Courier New"/>
          <w:sz w:val="18"/>
          <w:szCs w:val="18"/>
          <w:color w:val="auto"/>
        </w:rPr>
      </w:pPr>
    </w:p>
    <w:p>
      <w:pPr>
        <w:ind w:left="1280" w:right="1999" w:firstLine="624"/>
        <w:spacing w:after="0" w:line="237" w:lineRule="auto"/>
        <w:tabs>
          <w:tab w:leader="none" w:pos="264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into which the Offered Company Securities are convertible, initially reserved for issuance upon conversion of the Offered Company Securities (the "Underlying Securities"), have been duly authorized and reserved for issuance; and</w:t>
      </w:r>
    </w:p>
    <w:p>
      <w:pPr>
        <w:spacing w:after="0" w:line="208" w:lineRule="exact"/>
        <w:rPr>
          <w:rFonts w:ascii="Courier New" w:cs="Courier New" w:eastAsia="Courier New" w:hAnsi="Courier New"/>
          <w:sz w:val="18"/>
          <w:szCs w:val="18"/>
          <w:color w:val="auto"/>
        </w:rPr>
      </w:pPr>
    </w:p>
    <w:p>
      <w:pPr>
        <w:ind w:left="1280" w:right="1879" w:firstLine="624"/>
        <w:spacing w:after="0" w:line="237" w:lineRule="auto"/>
        <w:tabs>
          <w:tab w:leader="none" w:pos="2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Underlying Securities are issued upon conversion of the Offered Company Securities in accordance with the terms of the Offered Company Securities, such Underlying Securities will be validly issued, fully paid and non-assessable and will not be subject to any preemptive or other right to subscribe for or purchase such Underlying Securities.</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Such counsel shall also state that no facts have come to his attention that lead him to believe (1) that the Registration Statement or any amendments thereto (except for the financial statements and other financial or statistical data included or incorporated by reference therein or omitted therefrom and the Form T-1, as to which such counsel is not called upon to express any belief), on the date on which it became effective or the date of filing of the most recent subsequent Annual Report on Form 10-K, contained an untrue statement of a material fact or omitted to state a material fact required to be stated therein or necessary to make the statements therein not misleading; (2)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(3) that the Prospectus (except for the financial statements and other financial or statistical data included or incorporated by reference therein or omitted therefrom, as to which such counsel is not called upon to express any belief), at the</w:t>
      </w:r>
    </w:p>
    <w:p>
      <w:pPr>
        <w:sectPr>
          <w:pgSz w:w="11900" w:h="16838" w:orient="portrait"/>
          <w:cols w:equalWidth="0" w:num="1">
            <w:col w:w="10219"/>
          </w:cols>
          <w:pgMar w:left="240" w:top="514" w:right="1440" w:bottom="1440" w:gutter="0" w:footer="0" w:header="0"/>
        </w:sectPr>
      </w:pPr>
    </w:p>
    <w:bookmarkStart w:id="14" w:name="page15"/>
    <w:bookmarkEnd w:id="14"/>
    <w:p>
      <w:pPr>
        <w:ind w:left="40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 or (4) that the documents incorporated by reference in the Prospectus (except for the financial statements and other financial or statistical data included or incorporated by reference therein or omitted therefrom, as to which such counsel is not called upon to express any belief), as of the dates they were filed with the Commission, contained an untrue statement of a material fact or omitted to state a material fact necessary in order to make the statements therein, in the light of the circumstances under which they are made, not misleading.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With respect to the preceding paragraph, such counsel may state that his opinion and belief is based upon his participation in the preparation of the Registration Statement, Time of Sale Prospectus, Prospectus (as amended or supplemented) and the documents incorporated therein by reference and review and discussion of the contents thereof, but is without independent check or verification except as specified.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210" w:lineRule="exact"/>
        <w:rPr>
          <w:sz w:val="20"/>
          <w:szCs w:val="20"/>
          <w:color w:val="auto"/>
        </w:rPr>
      </w:pPr>
    </w:p>
    <w:p>
      <w:pPr>
        <w:ind w:left="640" w:right="1879" w:firstLine="632"/>
        <w:spacing w:after="0" w:line="236"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Closing Date an opinion of Davis Polk &amp; Wardwell, special counsel for the Company, dated the Closing Date, to the effect that:</w:t>
      </w:r>
    </w:p>
    <w:p>
      <w:pPr>
        <w:spacing w:after="0" w:line="208" w:lineRule="exact"/>
        <w:rPr>
          <w:rFonts w:ascii="Courier New" w:cs="Courier New" w:eastAsia="Courier New" w:hAnsi="Courier New"/>
          <w:sz w:val="18"/>
          <w:szCs w:val="18"/>
          <w:color w:val="auto"/>
        </w:rPr>
      </w:pPr>
    </w:p>
    <w:p>
      <w:pPr>
        <w:jc w:val="both"/>
        <w:ind w:left="1280" w:right="1779" w:firstLine="624"/>
        <w:spacing w:after="0" w:line="237" w:lineRule="auto"/>
        <w:tabs>
          <w:tab w:leader="none" w:pos="2333"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Cable Guarantor is a corporation or limited liability company duly incorporated or duly organized, validly existing and in good standing under the laws of the jurisdiction of its incorporation or formation;</w:t>
      </w:r>
    </w:p>
    <w:p>
      <w:pPr>
        <w:spacing w:after="0" w:line="207" w:lineRule="exact"/>
        <w:rPr>
          <w:rFonts w:ascii="Courier New" w:cs="Courier New" w:eastAsia="Courier New" w:hAnsi="Courier New"/>
          <w:sz w:val="18"/>
          <w:szCs w:val="18"/>
          <w:color w:val="auto"/>
        </w:rPr>
      </w:pPr>
    </w:p>
    <w:p>
      <w:pPr>
        <w:ind w:left="1280" w:right="1779" w:firstLine="624"/>
        <w:spacing w:after="0" w:line="237" w:lineRule="auto"/>
        <w:tabs>
          <w:tab w:leader="none" w:pos="2439"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Senior Indenture and the Subordinated Indenture has been duly authorized, executed and delivered by each Cable Guarantor and assuming each of the Senior Indenture and the Subordinated Indenture has been duly authorized, executed and delivered by the Company and duly executed and delivered by the respective trustee thereto, each of the Senior Indenture and the Subordinated Indenture is a valid and binding agreement of each Issuer, enforceable against each Issuer in accordance with its terms (subject, as to enforcement of remedies, to applicable bankruptcy, reorganization, in-</w:t>
      </w:r>
    </w:p>
    <w:p>
      <w:pPr>
        <w:sectPr>
          <w:pgSz w:w="11900" w:h="16838" w:orient="portrait"/>
          <w:cols w:equalWidth="0" w:num="1">
            <w:col w:w="10219"/>
          </w:cols>
          <w:pgMar w:left="240" w:top="514" w:right="1440" w:bottom="1440" w:gutter="0" w:footer="0" w:header="0"/>
        </w:sectPr>
      </w:pPr>
    </w:p>
    <w:bookmarkStart w:id="15" w:name="page16"/>
    <w:bookmarkEnd w:id="15"/>
    <w:p>
      <w:pPr>
        <w:ind w:left="28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left="80" w:right="2099"/>
        <w:spacing w:after="0" w:line="236" w:lineRule="auto"/>
        <w:rPr>
          <w:sz w:val="20"/>
          <w:szCs w:val="20"/>
          <w:color w:val="auto"/>
        </w:rPr>
      </w:pPr>
      <w:r>
        <w:rPr>
          <w:rFonts w:ascii="Courier New" w:cs="Courier New" w:eastAsia="Courier New" w:hAnsi="Courier New"/>
          <w:sz w:val="18"/>
          <w:szCs w:val="18"/>
          <w:color w:val="auto"/>
        </w:rPr>
        <w:t>solvency, fraudulent transfer, moratorium or other similar laws affecting creditors' rights generally from time to time in effect and to general equity principles);</w:t>
      </w:r>
    </w:p>
    <w:p>
      <w:pPr>
        <w:spacing w:after="0" w:line="209" w:lineRule="exact"/>
        <w:rPr>
          <w:sz w:val="20"/>
          <w:szCs w:val="20"/>
          <w:color w:val="auto"/>
        </w:rPr>
      </w:pPr>
    </w:p>
    <w:p>
      <w:pPr>
        <w:ind w:left="80" w:right="1879" w:firstLine="624"/>
        <w:spacing w:after="0" w:line="271" w:lineRule="auto"/>
        <w:tabs>
          <w:tab w:leader="none" w:pos="134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the Warrant Agreement, if any, has been duly authorized, executed and delivered by the Company and duly executed and delivered by the Warrant Agent, the Warrant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185" w:lineRule="exact"/>
        <w:rPr>
          <w:rFonts w:ascii="Courier New" w:cs="Courier New" w:eastAsia="Courier New" w:hAnsi="Courier New"/>
          <w:sz w:val="16"/>
          <w:szCs w:val="16"/>
          <w:color w:val="auto"/>
        </w:rPr>
      </w:pPr>
    </w:p>
    <w:p>
      <w:pPr>
        <w:ind w:left="80" w:right="1779" w:firstLine="624"/>
        <w:spacing w:after="0" w:line="237" w:lineRule="auto"/>
        <w:tabs>
          <w:tab w:leader="none" w:pos="1239"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assuming the Unit Agreement, if any, has been duly authorized, executed and delivered by the Company and duly executed and delivered by the Agent, the Unit Agreement, if any, is a valid and binding agreement of the Company, enforceable in accordance with its terms (subject, as to enforcement of remedies, to applicable bankruptcy, reorganization, insolvency, moratorium or other similar laws affecting creditors' rights generally from time to time in effect and to general equity principles);</w:t>
      </w:r>
    </w:p>
    <w:p>
      <w:pPr>
        <w:spacing w:after="0" w:line="206" w:lineRule="exact"/>
        <w:rPr>
          <w:rFonts w:ascii="Courier New" w:cs="Courier New" w:eastAsia="Courier New" w:hAnsi="Courier New"/>
          <w:sz w:val="18"/>
          <w:szCs w:val="18"/>
          <w:color w:val="auto"/>
        </w:rPr>
      </w:pPr>
    </w:p>
    <w:p>
      <w:pPr>
        <w:ind w:left="1120" w:hanging="416"/>
        <w:spacing w:after="0"/>
        <w:tabs>
          <w:tab w:leader="none" w:pos="1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Additional Guarantee, if any, has been duly</w:t>
      </w:r>
    </w:p>
    <w:p>
      <w:pPr>
        <w:spacing w:after="0" w:line="4" w:lineRule="exact"/>
        <w:rPr>
          <w:rFonts w:ascii="Courier New" w:cs="Courier New" w:eastAsia="Courier New" w:hAnsi="Courier New"/>
          <w:sz w:val="18"/>
          <w:szCs w:val="18"/>
          <w:color w:val="auto"/>
        </w:rPr>
      </w:pPr>
    </w:p>
    <w:p>
      <w:pPr>
        <w:ind w:left="8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executed and delivered by each Cable Guarantor and is a valid and binding agreement of each Cable Guarantor, enforceable in accordance with its terms (subject, as to enforcement of remedies, to applicable bankruptcy, reorganization, insolvency, fraudulent transfer, moratorium or other similar laws affecting creditors' rights generally from time to time in effect and to general equity principles);</w:t>
      </w:r>
    </w:p>
    <w:p>
      <w:pPr>
        <w:spacing w:after="0" w:line="211" w:lineRule="exact"/>
        <w:rPr>
          <w:rFonts w:ascii="Courier New" w:cs="Courier New" w:eastAsia="Courier New" w:hAnsi="Courier New"/>
          <w:sz w:val="18"/>
          <w:szCs w:val="18"/>
          <w:color w:val="auto"/>
        </w:rPr>
      </w:pPr>
    </w:p>
    <w:p>
      <w:pPr>
        <w:ind w:left="80" w:right="1779" w:firstLine="624"/>
        <w:spacing w:after="0" w:line="270" w:lineRule="auto"/>
        <w:tabs>
          <w:tab w:leader="none" w:pos="123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Cable Guarantees have been duly authorized, and, assuming the Offered Company Securities have been authorized by the Company, when the Offered Company Securities have been duly executed and authenticated in accordance with the provisions of the relevant Senior Indenture or Subordinated Indenture, the Offered Securities and the Debt Securities will be valid and binding obligations of the Issuers, enforceable against them in accordance with their terms (subject, as to enforcement or remedies, to applicable bankruptcy, reorganization, insolvency, fraudulent transfer, moratorium or other similar laws affecting creditors' rights generally from time to time in effect and to general equity principles), and will be entitled to</w:t>
      </w:r>
    </w:p>
    <w:p>
      <w:pPr>
        <w:sectPr>
          <w:pgSz w:w="11900" w:h="16838" w:orient="portrait"/>
          <w:cols w:equalWidth="0" w:num="1">
            <w:col w:w="9019"/>
          </w:cols>
          <w:pgMar w:left="1440" w:top="514" w:right="1440" w:bottom="1440" w:gutter="0" w:footer="0" w:header="0"/>
        </w:sectPr>
      </w:pPr>
    </w:p>
    <w:bookmarkStart w:id="16" w:name="page17"/>
    <w:bookmarkEnd w:id="16"/>
    <w:p>
      <w:pPr>
        <w:ind w:left="28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left="80" w:right="2519"/>
        <w:spacing w:after="0" w:line="235" w:lineRule="auto"/>
        <w:rPr>
          <w:sz w:val="20"/>
          <w:szCs w:val="20"/>
          <w:color w:val="auto"/>
        </w:rPr>
      </w:pPr>
      <w:r>
        <w:rPr>
          <w:rFonts w:ascii="Courier New" w:cs="Courier New" w:eastAsia="Courier New" w:hAnsi="Courier New"/>
          <w:sz w:val="18"/>
          <w:szCs w:val="18"/>
          <w:color w:val="auto"/>
        </w:rPr>
        <w:t>the benefits of the relevant Senior Indenture or Subordinated Indenture.</w:t>
      </w:r>
    </w:p>
    <w:p>
      <w:pPr>
        <w:spacing w:after="0" w:line="208" w:lineRule="exact"/>
        <w:rPr>
          <w:sz w:val="20"/>
          <w:szCs w:val="20"/>
          <w:color w:val="auto"/>
        </w:rPr>
      </w:pPr>
    </w:p>
    <w:p>
      <w:pPr>
        <w:ind w:left="80" w:right="2099" w:firstLine="624"/>
        <w:spacing w:after="0" w:line="235" w:lineRule="auto"/>
        <w:tabs>
          <w:tab w:leader="none" w:pos="134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has been duly authorized, executed and delivered by each Cable Guarantor party hereto;</w:t>
      </w:r>
    </w:p>
    <w:p>
      <w:pPr>
        <w:spacing w:after="0" w:line="208" w:lineRule="exact"/>
        <w:rPr>
          <w:rFonts w:ascii="Courier New" w:cs="Courier New" w:eastAsia="Courier New" w:hAnsi="Courier New"/>
          <w:sz w:val="18"/>
          <w:szCs w:val="18"/>
          <w:color w:val="auto"/>
        </w:rPr>
      </w:pPr>
    </w:p>
    <w:p>
      <w:pPr>
        <w:ind w:left="80" w:right="2199" w:firstLine="624"/>
        <w:spacing w:after="0" w:line="290" w:lineRule="auto"/>
        <w:tabs>
          <w:tab w:leader="none" w:pos="144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Senior Indenture and the Subordinated Indenture has been duly qualified under the Trust Indenture Act;</w:t>
      </w:r>
    </w:p>
    <w:p>
      <w:pPr>
        <w:spacing w:after="0" w:line="169" w:lineRule="exact"/>
        <w:rPr>
          <w:rFonts w:ascii="Courier New" w:cs="Courier New" w:eastAsia="Courier New" w:hAnsi="Courier New"/>
          <w:sz w:val="16"/>
          <w:szCs w:val="16"/>
          <w:color w:val="auto"/>
        </w:rPr>
      </w:pPr>
    </w:p>
    <w:p>
      <w:pPr>
        <w:ind w:left="80" w:right="1779" w:firstLine="624"/>
        <w:spacing w:after="0" w:line="269" w:lineRule="auto"/>
        <w:tabs>
          <w:tab w:leader="none" w:pos="123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rights to indemnity and contribution under this Agreement may be limited under applicable law, the execution and delivery by each Issuer of, and the performance by each Issuer of its obligations under, this Agreement, the Senior Indenture, the Subordinated Indenture, the Offered Securities, the Warrant Agreement, the Unit Agreement and the Additional Guarantee, if any, will not contravene any provision of applicable law of the United States (except with respect to laws relating specifically to the cable communications industry, as to which such counsel is not called upon to express any opinion) or New York, or the certificate of incorporation or bylaws or equivalent organizational documents of any Cable Guarantor and, except for the orders of the Commission making the Registration Statement effective and the Senior Indenture and the Subordinated Indenture qualified under the Trust Indenture Act (which have been obtained) and such permits or similar authorizations required under the securities or Blue Sky laws of certain states or foreign jurisdictions (as to which such counsel is not called upon to express any opinion), no consent, approval or authorization of any governmental body or agency of the United States (except with respect to consents, approvals and authorizations relating specifically to the cable communications industry, as to which such counsel is not called upon to express any opinion) or New York is required for the performance by any Issuer of its obligations under this Agreement, the Senior Indenture, the Subordinated Indenture, the Offered Securities, the Warrant Agreement, the Unit Agreement and the Additional Guarantee, if any, and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80" w:right="1779" w:firstLine="624"/>
        <w:spacing w:after="0" w:line="237" w:lineRule="auto"/>
        <w:tabs>
          <w:tab w:leader="none" w:pos="113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Prospectus Supplement under "Description of the Notes and the Cable Guarantees," "Certain U.S. Tax Considerations" and "Underwriting" and in the Base Prospectus under "Description of the Senior Debt Securities, Subordinated Debt Securities and Cable Guarantees" and "Plan of Distribution," insofar as such statements constitute a summary of the legal matters or docu-</w:t>
      </w:r>
    </w:p>
    <w:p>
      <w:pPr>
        <w:sectPr>
          <w:pgSz w:w="11900" w:h="16838" w:orient="portrait"/>
          <w:cols w:equalWidth="0" w:num="1">
            <w:col w:w="9019"/>
          </w:cols>
          <w:pgMar w:left="1440" w:top="514" w:right="1440" w:bottom="1440" w:gutter="0" w:footer="0" w:header="0"/>
        </w:sectPr>
      </w:pPr>
    </w:p>
    <w:bookmarkStart w:id="17" w:name="page18"/>
    <w:bookmarkEnd w:id="17"/>
    <w:p>
      <w:pPr>
        <w:ind w:left="40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1280" w:right="1779"/>
        <w:spacing w:after="0" w:line="235" w:lineRule="auto"/>
        <w:rPr>
          <w:sz w:val="20"/>
          <w:szCs w:val="20"/>
          <w:color w:val="auto"/>
        </w:rPr>
      </w:pPr>
      <w:r>
        <w:rPr>
          <w:rFonts w:ascii="Courier New" w:cs="Courier New" w:eastAsia="Courier New" w:hAnsi="Courier New"/>
          <w:sz w:val="18"/>
          <w:szCs w:val="18"/>
          <w:color w:val="auto"/>
        </w:rPr>
        <w:t>ments referred to therein, fairly present the information called for with respect to such legal matters and documents.</w:t>
      </w:r>
    </w:p>
    <w:p>
      <w:pPr>
        <w:spacing w:after="0" w:line="208"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Such counsel shall also state that no facts have come to the attention of such counsel that lead them to believe (1) that the Registration Statement and the Prospectus and any supplements or amendments thereto or the documents incorporated by reference in the Registration Statement and Prospectus (except for financial statements and other financial or statistical data included or incorporated by reference therein and the Form T- 1, as to which such counsel is not called upon to express any belief) did not comply as to form in all material respects with the Securities Act and the rules and regulations of the Commission thereunder; (2) that the Registration Statement or any amendment thereto (except for the financial statements and other financial or statistical data included or incorporated by reference therein or omitted therefrom and the Form T-1, as to which such counsel is not called upon to express any belief) at the date of the Underwriting Agreement contained an untrue statement of a material fact or omitted to state a material fact required to be stated therein or necessary to make the statements therein not misleading; (3) that the Time of Sale Prospectus (except for the financial statements and other financial or statistical data included or incorporated by reference therein or omitted therefrom, as to which such counsel is not called upon to express any belief), at the Applicable Time or as amended or supplemented, if applicable, as of the Closing Date, contained or contains an untrue statement of a material fact or omitted or omits to state a material fact necessary in order to make the statements therein, in the light of the circumstances under which they are made, not misleading; or (4) that the Prospectus (except for the financial statements and other financial or statistical data included or incorporated by reference therein or omitted therefrom, as to which such counsel is not called upon to express any belief), at the date of the Underwriting Agreement or as amended or supplemented, if applicable, at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With respect to the preceding paragraph, Davis Polk &amp; Wardwell may state that their opinion and belief is based upon their participation in the preparation of the Registration Statement, Time of Sale Prospectus and Prospectus and any amendments or supplements thereto (but not including documents incorporated therein by reference) and review and discussion of the contents thereof (including documents incorporated therein by reference), but is without independent check or verification except as specified.</w:t>
      </w:r>
    </w:p>
    <w:p>
      <w:pPr>
        <w:spacing w:after="0" w:line="211" w:lineRule="exact"/>
        <w:rPr>
          <w:sz w:val="20"/>
          <w:szCs w:val="20"/>
          <w:color w:val="auto"/>
        </w:rPr>
      </w:pPr>
    </w:p>
    <w:p>
      <w:pPr>
        <w:ind w:left="640" w:right="1879" w:firstLine="632"/>
        <w:spacing w:after="0" w:line="236" w:lineRule="auto"/>
        <w:tabs>
          <w:tab w:leader="none" w:pos="169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Closing Date an opinion of regulatory counsel for the Company, dated the Closing Date, to the effect that:</w:t>
      </w:r>
    </w:p>
    <w:p>
      <w:pPr>
        <w:sectPr>
          <w:pgSz w:w="11900" w:h="16838" w:orient="portrait"/>
          <w:cols w:equalWidth="0" w:num="1">
            <w:col w:w="10219"/>
          </w:cols>
          <w:pgMar w:left="240" w:top="514" w:right="1440" w:bottom="1440" w:gutter="0" w:footer="0" w:header="0"/>
        </w:sectPr>
      </w:pPr>
    </w:p>
    <w:bookmarkStart w:id="18" w:name="page19"/>
    <w:bookmarkEnd w:id="18"/>
    <w:p>
      <w:pPr>
        <w:ind w:left="28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left="80" w:right="1879" w:firstLine="624"/>
        <w:spacing w:after="0" w:line="236" w:lineRule="auto"/>
        <w:tabs>
          <w:tab w:leader="none" w:pos="11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approval of the Federal Communications Commission (the "FCC") is required in connection with the issuance and sale of the Offered Securities,</w:t>
      </w:r>
    </w:p>
    <w:p>
      <w:pPr>
        <w:spacing w:after="0" w:line="208" w:lineRule="exact"/>
        <w:rPr>
          <w:rFonts w:ascii="Courier New" w:cs="Courier New" w:eastAsia="Courier New" w:hAnsi="Courier New"/>
          <w:sz w:val="18"/>
          <w:szCs w:val="18"/>
          <w:color w:val="auto"/>
        </w:rPr>
      </w:pPr>
    </w:p>
    <w:p>
      <w:pPr>
        <w:ind w:left="80" w:right="1779" w:firstLine="624"/>
        <w:spacing w:after="0" w:line="269" w:lineRule="auto"/>
        <w:tabs>
          <w:tab w:leader="none" w:pos="123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the Senior Indenture, the Subordinated Indenture, the Warrant Agreement, the Unit Agreement and the Additional Guarantee, if any,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Time of Sale Prospectus)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194" w:lineRule="exact"/>
        <w:rPr>
          <w:rFonts w:ascii="Courier New" w:cs="Courier New" w:eastAsia="Courier New" w:hAnsi="Courier New"/>
          <w:sz w:val="16"/>
          <w:szCs w:val="16"/>
          <w:color w:val="auto"/>
        </w:rPr>
      </w:pPr>
    </w:p>
    <w:p>
      <w:pPr>
        <w:ind w:left="80" w:right="1879" w:firstLine="624"/>
        <w:spacing w:after="0" w:line="237" w:lineRule="auto"/>
        <w:tabs>
          <w:tab w:leader="none" w:pos="134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in the Company's most recent Annual Report on Form 10-K incorporated by reference in the Registration Statement, the Time of Sale Prospectus and Prospectus relating to cable regulatory matters, as updated by the Company's most recent Quarterly Reports on Form 10-Q incorporated in the Registration Statement, the Time of Sale Prospectus and the Prospectus and as updated by the Time of Sale Prospectus,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215" w:lineRule="exact"/>
        <w:rPr>
          <w:rFonts w:ascii="Courier New" w:cs="Courier New" w:eastAsia="Courier New" w:hAnsi="Courier New"/>
          <w:sz w:val="18"/>
          <w:szCs w:val="18"/>
          <w:color w:val="auto"/>
        </w:rPr>
      </w:pPr>
    </w:p>
    <w:p>
      <w:pPr>
        <w:ind w:left="80" w:right="1879" w:firstLine="624"/>
        <w:spacing w:after="0" w:line="237" w:lineRule="auto"/>
        <w:tabs>
          <w:tab w:leader="none" w:pos="123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counsel does not know of any proceeding pending before the FCC to which the Company or any of its subsidiaries is a party or involving the cable communications properties, licenses or authorizations of the Company and its subsidiaries, or of any cable communications law or regulation relevant thereto required to be described in the Registration Statement or the Time of Sale Prospectus pursuant to Regulation S-K promulgated under the Securities Act, which is not described as required.</w:t>
      </w:r>
    </w:p>
    <w:p>
      <w:pPr>
        <w:sectPr>
          <w:pgSz w:w="11900" w:h="16838" w:orient="portrait"/>
          <w:cols w:equalWidth="0" w:num="1">
            <w:col w:w="9019"/>
          </w:cols>
          <w:pgMar w:left="1440" w:top="514" w:right="1440" w:bottom="1440" w:gutter="0" w:footer="0" w:header="0"/>
        </w:sectPr>
      </w:pPr>
    </w:p>
    <w:bookmarkStart w:id="19" w:name="page20"/>
    <w:bookmarkEnd w:id="19"/>
    <w:p>
      <w:pPr>
        <w:ind w:left="338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7"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Closing Date an opinion of Cahill Gordon &amp; Reindel LLP, counsel for the Underwriters, dated the Closing Date, covering the matters requested by and in form and substance reasonably satisfactory to the Managers.</w:t>
      </w:r>
    </w:p>
    <w:p>
      <w:pPr>
        <w:spacing w:after="0" w:line="207" w:lineRule="exact"/>
        <w:rPr>
          <w:rFonts w:ascii="Courier New" w:cs="Courier New" w:eastAsia="Courier New" w:hAnsi="Courier New"/>
          <w:sz w:val="18"/>
          <w:szCs w:val="18"/>
          <w:color w:val="auto"/>
        </w:rPr>
      </w:pPr>
    </w:p>
    <w:p>
      <w:pPr>
        <w:ind w:right="1879" w:firstLine="632"/>
        <w:spacing w:after="0" w:line="238"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Time of Sale Prospectus and the Prospectus and each other firm of independent accountants, if any, who audited or reviewed financial statements contained in or incorporated by reference in the Registration Statement, the Time of Sale Prospectus and the Prospectus, containing statements and information of the type ordinarily included in accountants' "comfort letters" to underwriters with respect to such financial statements and financial information.</w:t>
      </w:r>
    </w:p>
    <w:p>
      <w:pPr>
        <w:spacing w:after="0" w:line="208"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207" w:lineRule="exact"/>
        <w:rPr>
          <w:rFonts w:ascii="Courier New" w:cs="Courier New" w:eastAsia="Courier New" w:hAnsi="Courier New"/>
          <w:sz w:val="18"/>
          <w:szCs w:val="18"/>
          <w:color w:val="auto"/>
        </w:rPr>
      </w:pPr>
    </w:p>
    <w:p>
      <w:pPr>
        <w:ind w:left="-640" w:right="1779" w:firstLine="640"/>
        <w:spacing w:after="0" w:line="235" w:lineRule="auto"/>
        <w:tabs>
          <w:tab w:leader="none" w:pos="30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Company. In further consideration of the agreements of the Underwriters herein contained, the Issuers covenant as follows:</w:t>
      </w:r>
    </w:p>
    <w:p>
      <w:pPr>
        <w:spacing w:after="0" w:line="208" w:lineRule="exact"/>
        <w:rPr>
          <w:rFonts w:ascii="Courier New" w:cs="Courier New" w:eastAsia="Courier New" w:hAnsi="Courier New"/>
          <w:sz w:val="18"/>
          <w:szCs w:val="18"/>
          <w:color w:val="auto"/>
        </w:rPr>
      </w:pPr>
    </w:p>
    <w:p>
      <w:pPr>
        <w:ind w:right="1879" w:firstLine="632"/>
        <w:spacing w:after="0" w:line="237" w:lineRule="auto"/>
        <w:tabs>
          <w:tab w:leader="none" w:pos="10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(c) below, as many copies of the Time of Sale Prospectus, the Prospectus, any documents incorporated therein by reference and any supplements and amendments thereto as the Managers may reasonably request.</w:t>
      </w:r>
    </w:p>
    <w:p>
      <w:pPr>
        <w:spacing w:after="0" w:line="212" w:lineRule="exact"/>
        <w:rPr>
          <w:rFonts w:ascii="Courier New" w:cs="Courier New" w:eastAsia="Courier New" w:hAnsi="Courier New"/>
          <w:sz w:val="18"/>
          <w:szCs w:val="18"/>
          <w:color w:val="auto"/>
        </w:rPr>
      </w:pPr>
    </w:p>
    <w:p>
      <w:pPr>
        <w:ind w:right="1779" w:firstLine="632"/>
        <w:spacing w:after="0" w:line="236" w:lineRule="auto"/>
        <w:tabs>
          <w:tab w:leader="none" w:pos="1053"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amending or supplementing the Registration Statement, the Time of Sale Prospectus or the Prospectus, to furnish the Managers a copy of each such proposed amendment or supplement.</w:t>
      </w:r>
    </w:p>
    <w:p>
      <w:pPr>
        <w:sectPr>
          <w:pgSz w:w="11900" w:h="16838" w:orient="portrait"/>
          <w:cols w:equalWidth="0" w:num="1">
            <w:col w:w="9579"/>
          </w:cols>
          <w:pgMar w:left="880" w:top="514" w:right="1440" w:bottom="1440"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jc w:val="both"/>
        <w:ind w:left="-560" w:right="1779" w:firstLine="632"/>
        <w:spacing w:after="0" w:line="236" w:lineRule="auto"/>
        <w:tabs>
          <w:tab w:leader="none" w:pos="4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filing, using or referring to any free writing prospectus relating to the Offered Securities, to furnish the Managers a copy of each such free writing prospectus.</w:t>
      </w:r>
    </w:p>
    <w:p>
      <w:pPr>
        <w:spacing w:after="0" w:line="208" w:lineRule="exact"/>
        <w:rPr>
          <w:rFonts w:ascii="Courier New" w:cs="Courier New" w:eastAsia="Courier New" w:hAnsi="Courier New"/>
          <w:sz w:val="18"/>
          <w:szCs w:val="18"/>
          <w:color w:val="auto"/>
        </w:rPr>
      </w:pPr>
    </w:p>
    <w:p>
      <w:pPr>
        <w:ind w:left="-560" w:right="1779" w:firstLine="632"/>
        <w:spacing w:after="0" w:line="237" w:lineRule="auto"/>
        <w:tabs>
          <w:tab w:leader="none" w:pos="4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208" w:lineRule="exact"/>
        <w:rPr>
          <w:rFonts w:ascii="Courier New" w:cs="Courier New" w:eastAsia="Courier New" w:hAnsi="Courier New"/>
          <w:sz w:val="18"/>
          <w:szCs w:val="18"/>
          <w:color w:val="auto"/>
        </w:rPr>
      </w:pPr>
    </w:p>
    <w:p>
      <w:pPr>
        <w:ind w:left="-560" w:right="1779" w:firstLine="632"/>
        <w:spacing w:after="0" w:line="269" w:lineRule="auto"/>
        <w:tabs>
          <w:tab w:leader="none" w:pos="4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w:t>
      </w:r>
    </w:p>
    <w:p>
      <w:pPr>
        <w:spacing w:after="0" w:line="395" w:lineRule="exact"/>
        <w:rPr>
          <w:rFonts w:ascii="Courier New" w:cs="Courier New" w:eastAsia="Courier New" w:hAnsi="Courier New"/>
          <w:sz w:val="16"/>
          <w:szCs w:val="16"/>
          <w:color w:val="auto"/>
        </w:rPr>
      </w:pPr>
    </w:p>
    <w:p>
      <w:pPr>
        <w:ind w:left="-560" w:right="1779" w:firstLine="632"/>
        <w:spacing w:after="0" w:line="238" w:lineRule="auto"/>
        <w:tabs>
          <w:tab w:leader="none" w:pos="4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ectPr>
          <w:pgSz w:w="11900" w:h="16838" w:orient="portrait"/>
          <w:cols w:equalWidth="0" w:num="1">
            <w:col w:w="9019"/>
          </w:cols>
          <w:pgMar w:left="1440" w:top="514" w:right="1440" w:bottom="1440" w:gutter="0" w:footer="0" w:header="0"/>
        </w:sectPr>
      </w:pPr>
    </w:p>
    <w:bookmarkStart w:id="21" w:name="page22"/>
    <w:bookmarkEnd w:id="21"/>
    <w:p>
      <w:pPr>
        <w:ind w:left="40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640" w:right="1779" w:firstLine="632"/>
        <w:spacing w:after="0" w:line="236" w:lineRule="auto"/>
        <w:tabs>
          <w:tab w:leader="none" w:pos="169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endeavor to qualify the Offered Securities for offer and sale under the securities or Blue Sky laws of such U.S. jurisdictions as the Managers shall reasonably request.</w:t>
      </w:r>
    </w:p>
    <w:p>
      <w:pPr>
        <w:spacing w:after="0" w:line="208" w:lineRule="exact"/>
        <w:rPr>
          <w:rFonts w:ascii="Courier New" w:cs="Courier New" w:eastAsia="Courier New" w:hAnsi="Courier New"/>
          <w:sz w:val="18"/>
          <w:szCs w:val="18"/>
          <w:color w:val="auto"/>
        </w:rPr>
      </w:pPr>
    </w:p>
    <w:p>
      <w:pPr>
        <w:ind w:left="640" w:right="1779" w:firstLine="632"/>
        <w:spacing w:after="0" w:line="237" w:lineRule="auto"/>
        <w:tabs>
          <w:tab w:leader="none" w:pos="1693"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206" w:lineRule="exact"/>
        <w:rPr>
          <w:rFonts w:ascii="Courier New" w:cs="Courier New" w:eastAsia="Courier New" w:hAnsi="Courier New"/>
          <w:sz w:val="18"/>
          <w:szCs w:val="18"/>
          <w:color w:val="auto"/>
        </w:rPr>
      </w:pPr>
    </w:p>
    <w:p>
      <w:pPr>
        <w:ind w:left="960" w:hanging="320"/>
        <w:spacing w:after="0"/>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of the Underwriters. In further consideration of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 of the Issuers herein contained, each Underwriter severally covenants as follows:</w:t>
      </w:r>
    </w:p>
    <w:p>
      <w:pPr>
        <w:spacing w:after="0" w:line="208" w:lineRule="exact"/>
        <w:rPr>
          <w:rFonts w:ascii="Courier New" w:cs="Courier New" w:eastAsia="Courier New" w:hAnsi="Courier New"/>
          <w:sz w:val="18"/>
          <w:szCs w:val="18"/>
          <w:color w:val="auto"/>
        </w:rPr>
      </w:pPr>
    </w:p>
    <w:p>
      <w:pPr>
        <w:ind w:left="640" w:right="1999" w:firstLine="632"/>
        <w:spacing w:after="0" w:line="237" w:lineRule="auto"/>
        <w:tabs>
          <w:tab w:leader="none" w:pos="1693"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to use, refer to or distribute any free writing prospectus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w:t>
      </w:r>
    </w:p>
    <w:p>
      <w:pPr>
        <w:spacing w:after="0" w:line="207" w:lineRule="exact"/>
        <w:rPr>
          <w:rFonts w:ascii="Courier New" w:cs="Courier New" w:eastAsia="Courier New" w:hAnsi="Courier New"/>
          <w:sz w:val="18"/>
          <w:szCs w:val="18"/>
          <w:color w:val="auto"/>
        </w:rPr>
      </w:pPr>
    </w:p>
    <w:p>
      <w:pPr>
        <w:ind w:left="1280" w:right="1779" w:firstLine="624"/>
        <w:spacing w:after="0" w:line="237" w:lineRule="auto"/>
        <w:tabs>
          <w:tab w:leader="none" w:pos="2333"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the Underwriting Agreement or otherwise permitted under Rule 134 of the Securities Act;</w:t>
      </w:r>
    </w:p>
    <w:p>
      <w:pPr>
        <w:spacing w:after="0" w:line="209" w:lineRule="exact"/>
        <w:rPr>
          <w:rFonts w:ascii="Courier New" w:cs="Courier New" w:eastAsia="Courier New" w:hAnsi="Courier New"/>
          <w:sz w:val="18"/>
          <w:szCs w:val="18"/>
          <w:color w:val="auto"/>
        </w:rPr>
      </w:pPr>
    </w:p>
    <w:p>
      <w:pPr>
        <w:ind w:left="1280" w:right="1999" w:firstLine="624"/>
        <w:spacing w:after="0" w:line="237" w:lineRule="auto"/>
        <w:tabs>
          <w:tab w:leader="none" w:pos="2439"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208" w:lineRule="exact"/>
        <w:rPr>
          <w:rFonts w:ascii="Courier New" w:cs="Courier New" w:eastAsia="Courier New" w:hAnsi="Courier New"/>
          <w:sz w:val="18"/>
          <w:szCs w:val="18"/>
          <w:color w:val="auto"/>
        </w:rPr>
      </w:pPr>
    </w:p>
    <w:p>
      <w:pPr>
        <w:ind w:left="1280" w:right="2099" w:firstLine="624"/>
        <w:spacing w:after="0" w:line="236" w:lineRule="auto"/>
        <w:tabs>
          <w:tab w:leader="none" w:pos="2544" w:val="left"/>
        </w:tabs>
        <w:numPr>
          <w:ilvl w:val="2"/>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free writing prospectus identified in Schedule I to the Underwriting Agreement as forming part of the Time of Sale Prospectus.</w:t>
      </w:r>
    </w:p>
    <w:p>
      <w:pPr>
        <w:spacing w:after="0" w:line="208" w:lineRule="exact"/>
        <w:rPr>
          <w:rFonts w:ascii="Courier New" w:cs="Courier New" w:eastAsia="Courier New" w:hAnsi="Courier New"/>
          <w:sz w:val="18"/>
          <w:szCs w:val="18"/>
          <w:color w:val="auto"/>
        </w:rPr>
      </w:pPr>
    </w:p>
    <w:p>
      <w:pPr>
        <w:jc w:val="both"/>
        <w:ind w:right="1999" w:firstLine="640"/>
        <w:spacing w:after="0" w:line="236"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The Issuers, jointly and severally, agree to indemnify and hold harmless each Underwriter and each person, if any, who controls each</w:t>
      </w:r>
    </w:p>
    <w:p>
      <w:pPr>
        <w:sectPr>
          <w:pgSz w:w="11900" w:h="16838" w:orient="portrait"/>
          <w:cols w:equalWidth="0" w:num="1">
            <w:col w:w="10219"/>
          </w:cols>
          <w:pgMar w:left="240" w:top="514" w:right="1440" w:bottom="1440" w:gutter="0" w:footer="0" w:header="0"/>
        </w:sectPr>
      </w:pPr>
    </w:p>
    <w:bookmarkStart w:id="22" w:name="page23"/>
    <w:bookmarkEnd w:id="22"/>
    <w:p>
      <w:pPr>
        <w:ind w:left="40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Time of Sale Prospectus (as amended or supplemented), any issuer free writing prospectus that the Issuers have filed or are required to file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the Time of Sale Prospectus or the Prospectus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the Time of Sale Prospectus or the Prospectus contains an untrue statement of a material fact or an omission to state a material fact necessary to make the statements therein not misleading, (b) the Issuers provided a copy of any such preliminary prospectus, issuer free writing prospectus, Time of Sale Prospectus or Prospectus (as then amended or supplemented if the Company shall have furnished any amendments or supplements thereto) correcting such material misstatement or omission to the contact of the Managers indicated in the notice provision contained in the Underwriting Agreement sufficiently in advance of first entering into a contract of sale of Offered Securities with such person (the "TIME OF SALE") so that such preliminary prospectus, issuer free writing prospectus, Time of Sale Prospectus or Prospectus (as so amended or supplemented but without reference to documents incorporated by reference therein) could have been conveyed to such person prior to the Applicable Time, and (c) the information contained in any such corrected preliminary prospectus, issuer free writing prospectus, Time of Sale Prospectus or Prospectus was not delivered by or on behalf of such Underwriter to such person, if required by law so to have been delivered, at or prior to the Time of Sale, and if such corrected preliminary prospectus, issuer free writing prospectus, Time of Sale Prospectus or Prospectus (as so amended or supplemented but without reference to documents incorporated by reference therein) would have cured the defect giving rise to such loss, claim, damage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Each Underwriter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w:t>
      </w:r>
    </w:p>
    <w:p>
      <w:pPr>
        <w:sectPr>
          <w:pgSz w:w="11900" w:h="16838" w:orient="portrait"/>
          <w:cols w:equalWidth="0" w:num="1">
            <w:col w:w="10219"/>
          </w:cols>
          <w:pgMar w:left="240" w:top="514" w:right="1440" w:bottom="1440" w:gutter="0" w:footer="0" w:header="0"/>
        </w:sectPr>
      </w:pPr>
    </w:p>
    <w:bookmarkStart w:id="23" w:name="page24"/>
    <w:bookmarkEnd w:id="23"/>
    <w:p>
      <w:pPr>
        <w:ind w:left="40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Issuer in writing by such Underwriter through the Managers expressly for use in the Registration Statement, any preliminary prospectus, the Time of Sale Prospectus, any issuer free writing prospectus, the Prospectus or any amendment or supplement thereto.</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 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If the indemnification provided for in the second or third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w:t>
      </w:r>
    </w:p>
    <w:p>
      <w:pPr>
        <w:sectPr>
          <w:pgSz w:w="11900" w:h="16838" w:orient="portrait"/>
          <w:cols w:equalWidth="0" w:num="1">
            <w:col w:w="10219"/>
          </w:cols>
          <w:pgMar w:left="240" w:top="514" w:right="1440" w:bottom="1440" w:gutter="0" w:footer="0" w:header="0"/>
        </w:sectPr>
      </w:pPr>
    </w:p>
    <w:bookmarkStart w:id="24" w:name="page25"/>
    <w:bookmarkEnd w:id="24"/>
    <w:p>
      <w:pPr>
        <w:ind w:left="40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210"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9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ectPr>
          <w:pgSz w:w="11900" w:h="16838" w:orient="portrait"/>
          <w:cols w:equalWidth="0" w:num="1">
            <w:col w:w="10219"/>
          </w:cols>
          <w:pgMar w:left="240" w:top="514" w:right="1440" w:bottom="1440" w:gutter="0" w:footer="0" w:header="0"/>
        </w:sectPr>
      </w:pPr>
    </w:p>
    <w:bookmarkStart w:id="25" w:name="page26"/>
    <w:bookmarkEnd w:id="25"/>
    <w:p>
      <w:pPr>
        <w:ind w:left="40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879" w:firstLine="640"/>
        <w:spacing w:after="0" w:line="268" w:lineRule="auto"/>
        <w:tabs>
          <w:tab w:leader="none" w:pos="94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This Agreement shall be subject to termination in the absolute discretion of the Managers by notice given by the Managers to the Issuers, if (a) after the Applicable Time and prior to the Closing Date (i) trading generally shall have been suspended or materially limited on or by, as the case may be, the New York Stock Exchange, the American Stock Exchange, or the National Association of Securities Dealers, Inc., (ii) trading of any securities of the Company shall have been suspended on the Nasdaq National Market, (iii) a general moratorium on commercial banking activities in New York shall have been declared by either Federal or New York State authorities, or</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Time of Sale Prospectus.</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Issuers will pay and bear all costs and expenses incident to the performance of its obligations under this Agreement, including (a) the preparation, printing and filing of the Registration Statement (including financial statements and exhibits), as originally filed and as amended, the preliminary prospectuses, the Time of Sale Prospectus, any free writing prospectus and the Prospectus and any amendments or supplements thereto, and the cost of furnishing copies thereto to the Underwriters, (b) the preparation, printing and distribution of this Agreement, the Senior Indenture, the Subordinated Indenture, the Warrant Agreement, the Unit Agreement and the Additional Guarantee, if any, and Blue Sky Memorandum, (c) the delivery of the Offered Securities to the Underwriters, (d) the reasonable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National Association of Securities Dealers, Inc. in connection with the review, if any, of the offering of the Securities, (g) any fees charged by rating agencies for rating the Offered Securities and (h) the fees and expenses of the Trustee, including the fees and disbursements of counsel for the Trustee, in connection with the Senior Indenture, the Subordinated Indenture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w:t>
      </w:r>
    </w:p>
    <w:p>
      <w:pPr>
        <w:sectPr>
          <w:pgSz w:w="11900" w:h="16838" w:orient="portrait"/>
          <w:cols w:equalWidth="0" w:num="1">
            <w:col w:w="10219"/>
          </w:cols>
          <w:pgMar w:left="240" w:top="514" w:right="1440" w:bottom="1440" w:gutter="0" w:footer="0" w:header="0"/>
        </w:sectPr>
      </w:pPr>
    </w:p>
    <w:bookmarkStart w:id="26" w:name="page27"/>
    <w:bookmarkEnd w:id="26"/>
    <w:p>
      <w:pPr>
        <w:ind w:left="40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derwriters in connection with this Agreement or the offering contemplated hereunder. This provision shall survive the termination or cancellation of this Agreement.</w:t>
      </w:r>
    </w:p>
    <w:p>
      <w:pPr>
        <w:spacing w:after="0" w:line="209" w:lineRule="exact"/>
        <w:rPr>
          <w:sz w:val="20"/>
          <w:szCs w:val="20"/>
          <w:color w:val="auto"/>
        </w:rPr>
      </w:pPr>
    </w:p>
    <w:p>
      <w:pPr>
        <w:ind w:right="1779" w:firstLine="640"/>
        <w:spacing w:after="0" w:line="269"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Defaulting Underwriters. If on the Closing Date any one or more of the Underwriters shall fail or refuse to purchase Offered Securities that it has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879" w:firstLine="640"/>
        <w:spacing w:after="0" w:line="236"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The Underwriting Agreement may be signed in any number of counterparts, each of which shall be an original, with the same effect as if the signatures thereto and hereto were upon the same instrument.</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 This Agreement shall be governed by and construed in accordance with the internal laws of the State of New York.</w:t>
      </w:r>
    </w:p>
    <w:p>
      <w:pPr>
        <w:spacing w:after="0" w:line="208" w:lineRule="exact"/>
        <w:rPr>
          <w:rFonts w:ascii="Courier New" w:cs="Courier New" w:eastAsia="Courier New" w:hAnsi="Courier New"/>
          <w:sz w:val="18"/>
          <w:szCs w:val="18"/>
          <w:color w:val="auto"/>
        </w:rPr>
      </w:pPr>
    </w:p>
    <w:p>
      <w:pPr>
        <w:jc w:val="both"/>
        <w:ind w:right="2199" w:firstLine="640"/>
        <w:spacing w:after="0" w:line="236" w:lineRule="auto"/>
        <w:tabs>
          <w:tab w:leader="none" w:pos="10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of the sections of this Agreement have been inserted for convenience of reference only and shall not be deemed a part of this Agreement.</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3"/>
    </w:lvl>
  </w:abstractNum>
  <w:abstractNum w:abstractNumId="1">
    <w:nsid w:val="3352255A"/>
    <w:multiLevelType w:val="hybridMultilevel"/>
    <w:lvl w:ilvl="0">
      <w:lvlJc w:val="left"/>
      <w:lvlText w:val="%1."/>
      <w:numFmt w:val="decimal"/>
      <w:start w:val="1"/>
    </w:lvl>
    <w:lvl w:ilvl="1">
      <w:lvlJc w:val="left"/>
      <w:lvlText w:val="(%2)"/>
      <w:numFmt w:val="lowerRoman"/>
      <w:start w:val="1"/>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lowerRoman"/>
      <w:start w:val="6"/>
    </w:lvl>
  </w:abstractNum>
  <w:abstractNum w:abstractNumId="4">
    <w:nsid w:val="7FDCC23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5">
    <w:nsid w:val="1BEFD79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41A7C4C9"/>
    <w:multiLevelType w:val="hybridMultilevel"/>
    <w:lvl w:ilvl="0">
      <w:lvlJc w:val="left"/>
      <w:lvlText w:val="(%1)"/>
      <w:numFmt w:val="lowerLetter"/>
      <w:start w:val="3"/>
    </w:lvl>
    <w:lvl w:ilvl="1">
      <w:lvlJc w:val="left"/>
      <w:lvlText w:val="(%2)"/>
      <w:numFmt w:val="lowerRoman"/>
      <w:start w:val="1"/>
    </w:lvl>
  </w:abstractNum>
  <w:abstractNum w:abstractNumId="7">
    <w:nsid w:val="6B68079A"/>
    <w:multiLevelType w:val="hybridMultilevel"/>
    <w:lvl w:ilvl="0">
      <w:lvlJc w:val="left"/>
      <w:lvlText w:val="(%1)"/>
      <w:numFmt w:val="lowerRoman"/>
      <w:start w:val="4"/>
    </w:lvl>
  </w:abstractNum>
  <w:abstractNum w:abstractNumId="8">
    <w:nsid w:val="4E6AFB66"/>
    <w:multiLevelType w:val="hybridMultilevel"/>
    <w:lvl w:ilvl="0">
      <w:lvlJc w:val="left"/>
      <w:lvlText w:val="%1"/>
      <w:numFmt w:val="upperLetter"/>
      <w:start w:val="1"/>
    </w:lvl>
    <w:lvl w:ilvl="1">
      <w:lvlJc w:val="left"/>
      <w:lvlText w:val="(%2)"/>
      <w:numFmt w:val="lowerRoman"/>
      <w:start w:val="10"/>
    </w:lvl>
  </w:abstractNum>
  <w:abstractNum w:abstractNumId="9">
    <w:nsid w:val="25E45D32"/>
    <w:multiLevelType w:val="hybridMultilevel"/>
    <w:lvl w:ilvl="0">
      <w:lvlJc w:val="left"/>
      <w:lvlText w:val="(%1)"/>
      <w:numFmt w:val="upperLetter"/>
      <w:start w:val="3"/>
    </w:lvl>
    <w:lvl w:ilvl="1">
      <w:lvlJc w:val="left"/>
      <w:lvlText w:val="%2"/>
      <w:numFmt w:val="lowerRoman"/>
      <w:start w:val="1"/>
    </w:lvl>
  </w:abstractNum>
  <w:abstractNum w:abstractNumId="10">
    <w:nsid w:val="519B500D"/>
    <w:multiLevelType w:val="hybridMultilevel"/>
    <w:lvl w:ilvl="0">
      <w:lvlJc w:val="left"/>
      <w:lvlText w:val="(%1)"/>
      <w:numFmt w:val="lowerRoman"/>
      <w:start w:val="12"/>
    </w:lvl>
  </w:abstractNum>
  <w:abstractNum w:abstractNumId="11">
    <w:nsid w:val="431BD7B7"/>
    <w:multiLevelType w:val="hybridMultilevel"/>
    <w:lvl w:ilvl="0">
      <w:lvlJc w:val="left"/>
      <w:lvlText w:val="(%1)"/>
      <w:numFmt w:val="lowerLetter"/>
      <w:start w:val="4"/>
    </w:lvl>
    <w:lvl w:ilvl="1">
      <w:lvlJc w:val="left"/>
      <w:lvlText w:val="(%2)"/>
      <w:numFmt w:val="lowerRoman"/>
      <w:start w:val="1"/>
    </w:lvl>
  </w:abstractNum>
  <w:abstractNum w:abstractNumId="12">
    <w:nsid w:val="3F2DBA31"/>
    <w:multiLevelType w:val="hybridMultilevel"/>
    <w:lvl w:ilvl="0">
      <w:lvlJc w:val="left"/>
      <w:lvlText w:val="(%1)"/>
      <w:numFmt w:val="lowerRoman"/>
      <w:start w:val="3"/>
    </w:lvl>
  </w:abstractNum>
  <w:abstractNum w:abstractNumId="13">
    <w:nsid w:val="7C83E458"/>
    <w:multiLevelType w:val="hybridMultilevel"/>
    <w:lvl w:ilvl="0">
      <w:lvlJc w:val="left"/>
      <w:lvlText w:val="(%1)"/>
      <w:numFmt w:val="lowerRoman"/>
      <w:start w:val="7"/>
    </w:lvl>
  </w:abstractNum>
  <w:abstractNum w:abstractNumId="14">
    <w:nsid w:val="257130A3"/>
    <w:multiLevelType w:val="hybridMultilevel"/>
    <w:lvl w:ilvl="0">
      <w:lvlJc w:val="left"/>
      <w:lvlText w:val="(%1)"/>
      <w:numFmt w:val="lowerLetter"/>
      <w:start w:val="5"/>
    </w:lvl>
  </w:abstractNum>
  <w:abstractNum w:abstractNumId="15">
    <w:nsid w:val="62BBD95A"/>
    <w:multiLevelType w:val="hybridMultilevel"/>
    <w:lvl w:ilvl="0">
      <w:lvlJc w:val="left"/>
      <w:lvlText w:val="(%1)"/>
      <w:numFmt w:val="lowerRoman"/>
      <w:start w:val="1"/>
    </w:lvl>
  </w:abstractNum>
  <w:abstractNum w:abstractNumId="16">
    <w:nsid w:val="436C6125"/>
    <w:multiLevelType w:val="hybridMultilevel"/>
    <w:lvl w:ilvl="0">
      <w:lvlJc w:val="left"/>
      <w:lvlText w:val="%1"/>
      <w:numFmt w:val="decimal"/>
      <w:start w:val="1"/>
    </w:lvl>
    <w:lvl w:ilvl="1">
      <w:lvlJc w:val="left"/>
      <w:lvlText w:val="(%2)"/>
      <w:numFmt w:val="lowerLetter"/>
      <w:start w:val="6"/>
    </w:lvl>
  </w:abstractNum>
  <w:abstractNum w:abstractNumId="17">
    <w:nsid w:val="628C895D"/>
    <w:multiLevelType w:val="hybridMultilevel"/>
    <w:lvl w:ilvl="0">
      <w:lvlJc w:val="left"/>
      <w:lvlText w:val="%1."/>
      <w:numFmt w:val="decimal"/>
      <w:start w:val="5"/>
    </w:lvl>
    <w:lvl w:ilvl="1">
      <w:lvlJc w:val="left"/>
      <w:lvlText w:val="(%2)"/>
      <w:numFmt w:val="lowerLetter"/>
      <w:start w:val="1"/>
    </w:lvl>
  </w:abstractNum>
  <w:abstractNum w:abstractNumId="18">
    <w:nsid w:val="333AB105"/>
    <w:multiLevelType w:val="hybridMultilevel"/>
    <w:lvl w:ilvl="0">
      <w:lvlJc w:val="left"/>
      <w:lvlText w:val="(%1)"/>
      <w:numFmt w:val="lowerLetter"/>
      <w:start w:val="3"/>
    </w:lvl>
  </w:abstractNum>
  <w:abstractNum w:abstractNumId="19">
    <w:nsid w:val="721DA31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0">
    <w:nsid w:val="2443A85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2D1D5AE9"/>
    <w:multiLevelType w:val="hybridMultilevel"/>
    <w:lvl w:ilvl="0">
      <w:lvlJc w:val="left"/>
      <w:lvlText w:val="%1"/>
      <w:numFmt w:val="lowerRoman"/>
      <w:start w:val="1"/>
    </w:lvl>
    <w:lvl w:ilvl="1">
      <w:lvlJc w:val="left"/>
      <w:lvlText w:val="%2."/>
      <w:numFmt w:val="decimal"/>
      <w:start w:val="8"/>
    </w:lvl>
  </w:abstractNum>
  <w:abstractNum w:abstractNumId="22">
    <w:nsid w:val="6763845E"/>
    <w:multiLevelType w:val="hybridMultilevel"/>
    <w:lvl w:ilvl="0">
      <w:lvlJc w:val="left"/>
      <w:lvlText w:val="(%1)"/>
      <w:numFmt w:val="lowerRoman"/>
      <w:start w:val="4"/>
    </w:lvl>
    <w:lvl w:ilvl="1">
      <w:lvlJc w:val="left"/>
      <w:lvlText w:val="%2"/>
      <w:numFmt w:val="decimal"/>
      <w:start w:val="1"/>
    </w:lvl>
  </w:abstractNum>
  <w:abstractNum w:abstractNumId="23">
    <w:nsid w:val="75A2A8D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2019-12-15T06:09:36Z</dcterms:created>
  <dcterms:modified xsi:type="dcterms:W3CDTF">2019-12-15T06:09:36Z</dcterms:modified>
</cp:coreProperties>
</file>