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243205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-127635</wp:posOffset>
            </wp:positionV>
            <wp:extent cx="7020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3" w:lineRule="exact"/>
        <w:rPr>
          <w:sz w:val="24"/>
          <w:szCs w:val="24"/>
          <w:color w:val="auto"/>
        </w:rPr>
      </w:pPr>
    </w:p>
    <w:p>
      <w:pPr>
        <w:ind w:left="1000" w:hanging="803"/>
        <w:spacing w:after="0"/>
        <w:tabs>
          <w:tab w:leader="none" w:pos="10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2020</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960" w:hanging="77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34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233045</wp:posOffset>
            </wp:positionV>
            <wp:extent cx="3188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318770</wp:posOffset>
            </wp:positionV>
            <wp:extent cx="137160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3120" w:type="dxa"/>
            <w:vAlign w:val="bottom"/>
            <w:gridSpan w:val="6"/>
          </w:tcPr>
          <w:p>
            <w:pPr>
              <w:jc w:val="center"/>
              <w:spacing w:after="0"/>
              <w:rPr>
                <w:sz w:val="20"/>
                <w:szCs w:val="20"/>
                <w:color w:val="auto"/>
              </w:rPr>
            </w:pPr>
            <w:r>
              <w:rPr>
                <w:rFonts w:ascii="Arial" w:cs="Arial" w:eastAsia="Arial" w:hAnsi="Arial"/>
                <w:sz w:val="18"/>
                <w:szCs w:val="18"/>
                <w:color w:val="auto"/>
                <w:w w:val="90"/>
              </w:rPr>
              <w:t>Exact Name of Registrant; State of</w:t>
            </w: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3120" w:type="dxa"/>
            <w:vAlign w:val="bottom"/>
            <w:gridSpan w:val="6"/>
          </w:tcPr>
          <w:p>
            <w:pPr>
              <w:jc w:val="center"/>
              <w:spacing w:after="0"/>
              <w:rPr>
                <w:sz w:val="20"/>
                <w:szCs w:val="20"/>
                <w:color w:val="auto"/>
              </w:rPr>
            </w:pPr>
            <w:r>
              <w:rPr>
                <w:rFonts w:ascii="Arial" w:cs="Arial" w:eastAsia="Arial" w:hAnsi="Arial"/>
                <w:sz w:val="18"/>
                <w:szCs w:val="18"/>
                <w:color w:val="auto"/>
                <w:w w:val="90"/>
              </w:rPr>
              <w:t>Incorporation; Address and Telephone</w:t>
            </w: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80" w:type="dxa"/>
            <w:vAlign w:val="bottom"/>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3120" w:type="dxa"/>
            <w:vAlign w:val="bottom"/>
            <w:gridSpan w:val="6"/>
          </w:tcPr>
          <w:p>
            <w:pPr>
              <w:jc w:val="center"/>
              <w:spacing w:after="0"/>
              <w:rPr>
                <w:sz w:val="20"/>
                <w:szCs w:val="20"/>
                <w:color w:val="auto"/>
              </w:rPr>
            </w:pPr>
            <w:r>
              <w:rPr>
                <w:rFonts w:ascii="Arial" w:cs="Arial" w:eastAsia="Arial" w:hAnsi="Arial"/>
                <w:sz w:val="18"/>
                <w:szCs w:val="18"/>
                <w:color w:val="auto"/>
                <w:w w:val="93"/>
              </w:rPr>
              <w:t>Number of Principal Executive Offices</w:t>
            </w:r>
          </w:p>
        </w:tc>
        <w:tc>
          <w:tcPr>
            <w:tcW w:w="408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 No.</w:t>
            </w:r>
          </w:p>
        </w:tc>
        <w:tc>
          <w:tcPr>
            <w:tcW w:w="40" w:type="dxa"/>
            <w:vAlign w:val="bottom"/>
          </w:tcPr>
          <w:p>
            <w:pPr>
              <w:spacing w:after="0"/>
              <w:rPr>
                <w:sz w:val="20"/>
                <w:szCs w:val="20"/>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3980" w:type="dxa"/>
            <w:vAlign w:val="bottom"/>
          </w:tcPr>
          <w:p>
            <w:pPr>
              <w:jc w:val="right"/>
              <w:ind w:right="1990"/>
              <w:spacing w:after="0"/>
              <w:rPr>
                <w:sz w:val="20"/>
                <w:szCs w:val="20"/>
                <w:color w:val="auto"/>
              </w:rPr>
            </w:pPr>
            <w:r>
              <w:rPr>
                <w:rFonts w:ascii="Arial" w:cs="Arial" w:eastAsia="Arial" w:hAnsi="Arial"/>
                <w:sz w:val="18"/>
                <w:szCs w:val="18"/>
                <w:b w:val="1"/>
                <w:bCs w:val="1"/>
                <w:color w:val="auto"/>
              </w:rPr>
              <w:t>001-32871</w:t>
            </w:r>
          </w:p>
        </w:tc>
        <w:tc>
          <w:tcPr>
            <w:tcW w:w="400" w:type="dxa"/>
            <w:vAlign w:val="bottom"/>
          </w:tcPr>
          <w:p>
            <w:pPr>
              <w:spacing w:after="0"/>
              <w:rPr>
                <w:sz w:val="20"/>
                <w:szCs w:val="20"/>
                <w:color w:val="auto"/>
              </w:rPr>
            </w:pPr>
          </w:p>
        </w:tc>
        <w:tc>
          <w:tcPr>
            <w:tcW w:w="27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COMCAST CORPORATION</w:t>
            </w:r>
          </w:p>
        </w:tc>
        <w:tc>
          <w:tcPr>
            <w:tcW w:w="4080" w:type="dxa"/>
            <w:vAlign w:val="bottom"/>
          </w:tcPr>
          <w:p>
            <w:pPr>
              <w:jc w:val="right"/>
              <w:ind w:right="1050"/>
              <w:spacing w:after="0"/>
              <w:rPr>
                <w:sz w:val="20"/>
                <w:szCs w:val="20"/>
                <w:color w:val="auto"/>
              </w:rPr>
            </w:pPr>
            <w:r>
              <w:rPr>
                <w:rFonts w:ascii="Arial" w:cs="Arial" w:eastAsia="Arial" w:hAnsi="Arial"/>
                <w:sz w:val="18"/>
                <w:szCs w:val="18"/>
                <w:b w:val="1"/>
                <w:bCs w:val="1"/>
                <w:color w:val="auto"/>
              </w:rPr>
              <w:t>27-0000798</w:t>
            </w:r>
          </w:p>
        </w:tc>
        <w:tc>
          <w:tcPr>
            <w:tcW w:w="40" w:type="dxa"/>
            <w:vAlign w:val="bottom"/>
          </w:tcPr>
          <w:p>
            <w:pPr>
              <w:spacing w:after="0"/>
              <w:rPr>
                <w:sz w:val="20"/>
                <w:szCs w:val="20"/>
                <w:color w:val="auto"/>
              </w:rPr>
            </w:pPr>
          </w:p>
        </w:tc>
      </w:tr>
      <w:tr>
        <w:trPr>
          <w:trHeight w:val="225"/>
        </w:trPr>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8"/>
              </w:rPr>
              <w:t>Pennsylvania</w:t>
            </w:r>
          </w:p>
        </w:tc>
        <w:tc>
          <w:tcPr>
            <w:tcW w:w="4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9"/>
              </w:rPr>
              <w:t>One Comcast Center</w:t>
            </w: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Philadelphia, PA 19103-2838</w:t>
            </w: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0"/>
              </w:rPr>
              <w:t>(215) 286-1700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5"/>
        </w:trPr>
        <w:tc>
          <w:tcPr>
            <w:tcW w:w="438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398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Title of each class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1"/>
              </w:rPr>
              <w:t>Trading Symbol(s)</w:t>
            </w:r>
          </w:p>
        </w:tc>
        <w:tc>
          <w:tcPr>
            <w:tcW w:w="4080" w:type="dxa"/>
            <w:vAlign w:val="bottom"/>
          </w:tcPr>
          <w:p>
            <w:pPr>
              <w:jc w:val="center"/>
              <w:ind w:right="37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40" w:type="dxa"/>
            <w:vAlign w:val="bottom"/>
          </w:tcPr>
          <w:p>
            <w:pPr>
              <w:spacing w:after="0"/>
              <w:rPr>
                <w:sz w:val="24"/>
                <w:szCs w:val="24"/>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jc w:val="center"/>
              <w:ind w:left="670"/>
              <w:spacing w:after="0"/>
              <w:rPr>
                <w:sz w:val="20"/>
                <w:szCs w:val="20"/>
                <w:color w:val="auto"/>
              </w:rPr>
            </w:pPr>
            <w:r>
              <w:rPr>
                <w:rFonts w:ascii="Arial" w:cs="Arial" w:eastAsia="Arial" w:hAnsi="Arial"/>
                <w:sz w:val="18"/>
                <w:szCs w:val="18"/>
                <w:color w:val="auto"/>
                <w:w w:val="90"/>
              </w:rPr>
              <w:t>Class A Common Stock, $0.01 par value</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8"/>
              </w:rPr>
              <w:t>CMCSA</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3"/>
              </w:rPr>
              <w:t>NASDAQ Global Select Market</w:t>
            </w:r>
          </w:p>
        </w:tc>
        <w:tc>
          <w:tcPr>
            <w:tcW w:w="40" w:type="dxa"/>
            <w:vAlign w:val="bottom"/>
          </w:tcPr>
          <w:p>
            <w:pPr>
              <w:spacing w:after="0"/>
              <w:rPr>
                <w:sz w:val="20"/>
                <w:szCs w:val="20"/>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0.250% Notes due 2027</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CMCS27</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5"/>
              </w:rPr>
              <w:t>NASDAQ Global Market</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1.500% Notes due 2029</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CMCS29</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5"/>
              </w:rPr>
              <w:t>NASDAQ Global Market</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0.750% Notes due 2032</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CMCS32</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5"/>
              </w:rPr>
              <w:t>NASDAQ Global Market</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1.875% Notes due 2036</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CMCS36</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5"/>
              </w:rPr>
              <w:t>NASDAQ Global Market</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1.250% Notes due 2040</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CMCS40</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5"/>
              </w:rPr>
              <w:t>NASDAQ Global Market</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8"/>
              </w:rPr>
              <w:t>9.455% Guaranteed Notes due 2022</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CMCSA/22</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1"/>
              </w:rPr>
              <w:t>New York Stock Exchange</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5.50% Notes due 2029</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CCGBP29</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1"/>
              </w:rPr>
              <w:t>New York Stock Exchange</w:t>
            </w:r>
          </w:p>
        </w:tc>
        <w:tc>
          <w:tcPr>
            <w:tcW w:w="40" w:type="dxa"/>
            <w:vAlign w:val="bottom"/>
          </w:tcPr>
          <w:p>
            <w:pPr>
              <w:spacing w:after="0"/>
              <w:rPr>
                <w:sz w:val="23"/>
                <w:szCs w:val="23"/>
                <w:color w:val="auto"/>
              </w:rPr>
            </w:pPr>
          </w:p>
        </w:tc>
      </w:tr>
      <w:tr>
        <w:trPr>
          <w:trHeight w:val="270"/>
        </w:trPr>
        <w:tc>
          <w:tcPr>
            <w:tcW w:w="438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2.0% Exchangeable Subordinated Debentures due 2029</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7"/>
              </w:rPr>
              <w:t>CCZ</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1"/>
              </w:rPr>
              <w:t>New York Stock Exchange</w:t>
            </w:r>
          </w:p>
        </w:tc>
        <w:tc>
          <w:tcPr>
            <w:tcW w:w="40" w:type="dxa"/>
            <w:vAlign w:val="bottom"/>
          </w:tcPr>
          <w:p>
            <w:pPr>
              <w:spacing w:after="0"/>
              <w:rPr>
                <w:sz w:val="23"/>
                <w:szCs w:val="23"/>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pacing w:after="0" w:line="90"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37"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37"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3" w:lineRule="exact"/>
        <w:rPr>
          <w:sz w:val="24"/>
          <w:szCs w:val="24"/>
          <w:color w:val="auto"/>
        </w:rPr>
      </w:pPr>
    </w:p>
    <w:p>
      <w:pPr>
        <w:ind w:left="40"/>
        <w:spacing w:after="0" w:line="196" w:lineRule="exact"/>
        <w:tabs>
          <w:tab w:leader="none" w:pos="1820" w:val="left"/>
          <w:tab w:leader="none" w:pos="3400" w:val="left"/>
          <w:tab w:leader="none" w:pos="5340" w:val="left"/>
          <w:tab w:leader="none" w:pos="7680" w:val="left"/>
          <w:tab w:leader="none" w:pos="1004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ab/>
        <w:t xml:space="preserve">☐ </w:t>
      </w:r>
      <w:r>
        <w:rPr>
          <w:rFonts w:ascii="Arial" w:cs="Arial" w:eastAsia="Arial" w:hAnsi="Arial"/>
          <w:sz w:val="17"/>
          <w:szCs w:val="17"/>
          <w:color w:val="auto"/>
        </w:rPr>
        <w:t>Non-accelerated filer</w:t>
      </w:r>
      <w:r>
        <w:rPr>
          <w:rFonts w:ascii="MS PGothic" w:cs="MS PGothic" w:eastAsia="MS PGothic" w:hAnsi="MS PGothic"/>
          <w:sz w:val="17"/>
          <w:szCs w:val="17"/>
          <w:color w:val="auto"/>
        </w:rPr>
        <w:tab/>
        <w:t xml:space="preserve">☐ </w:t>
      </w:r>
      <w:r>
        <w:rPr>
          <w:rFonts w:ascii="Arial" w:cs="Arial" w:eastAsia="Arial" w:hAnsi="Arial"/>
          <w:sz w:val="17"/>
          <w:szCs w:val="17"/>
          <w:color w:val="auto"/>
        </w:rPr>
        <w:t>Smaller reporting company</w:t>
      </w:r>
      <w:r>
        <w:rPr>
          <w:rFonts w:ascii="MS PGothic" w:cs="MS PGothic" w:eastAsia="MS PGothic" w:hAnsi="MS PGothic"/>
          <w:sz w:val="17"/>
          <w:szCs w:val="17"/>
          <w:color w:val="auto"/>
        </w:rPr>
        <w:tab/>
        <w:t xml:space="preserve">☐ </w:t>
      </w: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36" w:lineRule="exact"/>
        <w:rPr>
          <w:sz w:val="24"/>
          <w:szCs w:val="24"/>
          <w:color w:val="auto"/>
        </w:rPr>
      </w:pPr>
    </w:p>
    <w:p>
      <w:pPr>
        <w:ind w:right="100"/>
        <w:spacing w:after="0" w:line="220" w:lineRule="exact"/>
        <w:rPr>
          <w:sz w:val="20"/>
          <w:szCs w:val="20"/>
          <w:color w:val="auto"/>
        </w:rPr>
      </w:pPr>
      <w:r>
        <w:rPr>
          <w:rFonts w:ascii="Arial" w:cs="Arial" w:eastAsia="Arial" w:hAnsi="Arial"/>
          <w:sz w:val="17"/>
          <w:szCs w:val="17"/>
          <w:color w:val="auto"/>
        </w:rPr>
        <w:t xml:space="preserve">If an emerging growth company, indicate by check mark whether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09"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registrant’s classes of stock, as of the latest practicable date:</w:t>
      </w:r>
    </w:p>
    <w:p>
      <w:pPr>
        <w:spacing w:after="0" w:line="21" w:lineRule="exact"/>
        <w:rPr>
          <w:sz w:val="24"/>
          <w:szCs w:val="24"/>
          <w:color w:val="auto"/>
        </w:rPr>
      </w:pPr>
    </w:p>
    <w:p>
      <w:pPr>
        <w:spacing w:after="0" w:line="257" w:lineRule="auto"/>
        <w:rPr>
          <w:sz w:val="20"/>
          <w:szCs w:val="20"/>
          <w:color w:val="auto"/>
        </w:rPr>
      </w:pPr>
      <w:r>
        <w:rPr>
          <w:rFonts w:ascii="Arial" w:cs="Arial" w:eastAsia="Arial" w:hAnsi="Arial"/>
          <w:sz w:val="17"/>
          <w:szCs w:val="17"/>
          <w:color w:val="auto"/>
        </w:rPr>
        <w:t>As of March 31, 2020, there were 4,554,648,825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490855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405130</wp:posOffset>
            </wp:positionV>
            <wp:extent cx="7020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960" w:type="dxa"/>
            <w:vAlign w:val="bottom"/>
          </w:tcPr>
          <w:p>
            <w:pPr>
              <w:jc w:val="right"/>
              <w:ind w:right="172"/>
              <w:spacing w:after="0"/>
              <w:rPr>
                <w:sz w:val="20"/>
                <w:szCs w:val="20"/>
                <w:color w:val="auto"/>
              </w:rPr>
            </w:pPr>
            <w:r>
              <w:rPr>
                <w:rFonts w:ascii="Arial" w:cs="Arial" w:eastAsia="Arial" w:hAnsi="Arial"/>
                <w:sz w:val="14"/>
                <w:szCs w:val="14"/>
                <w:color w:val="auto"/>
              </w:rPr>
              <w:t>Page</w:t>
            </w:r>
          </w:p>
        </w:tc>
      </w:tr>
      <w:tr>
        <w:trPr>
          <w:trHeight w:val="188"/>
        </w:trPr>
        <w:tc>
          <w:tcPr>
            <w:tcW w:w="1340" w:type="dxa"/>
            <w:vAlign w:val="bottom"/>
            <w:tcBorders>
              <w:bottom w:val="single" w:sz="8" w:color="auto"/>
            </w:tcBorders>
          </w:tcPr>
          <w:p>
            <w:pPr>
              <w:spacing w:after="0"/>
              <w:rPr>
                <w:sz w:val="16"/>
                <w:szCs w:val="16"/>
                <w:color w:val="auto"/>
              </w:rPr>
            </w:pPr>
          </w:p>
        </w:tc>
        <w:tc>
          <w:tcPr>
            <w:tcW w:w="79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Number</w:t>
            </w:r>
          </w:p>
        </w:tc>
      </w:tr>
      <w:tr>
        <w:trPr>
          <w:trHeight w:val="243"/>
        </w:trPr>
        <w:tc>
          <w:tcPr>
            <w:tcW w:w="9280" w:type="dxa"/>
            <w:vAlign w:val="bottom"/>
            <w:gridSpan w:val="2"/>
          </w:tcPr>
          <w:p>
            <w:pPr>
              <w:ind w:left="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1960" w:type="dxa"/>
            <w:vAlign w:val="bottom"/>
          </w:tcPr>
          <w:p>
            <w:pPr>
              <w:spacing w:after="0"/>
              <w:rPr>
                <w:sz w:val="21"/>
                <w:szCs w:val="21"/>
                <w:color w:val="auto"/>
              </w:rPr>
            </w:pPr>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1.</w:t>
            </w:r>
          </w:p>
        </w:tc>
        <w:tc>
          <w:tcPr>
            <w:tcW w:w="794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Comcast Corporation Financial Statements</w:t>
              </w:r>
            </w:hyperlink>
          </w:p>
        </w:tc>
        <w:tc>
          <w:tcPr>
            <w:tcW w:w="196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 of Income (Unaudited)</w:t>
              </w:r>
            </w:hyperlink>
          </w:p>
        </w:tc>
        <w:tc>
          <w:tcPr>
            <w:tcW w:w="196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 of Comprehensive Income (Unaudited)</w:t>
              </w:r>
            </w:hyperlink>
          </w:p>
        </w:tc>
        <w:tc>
          <w:tcPr>
            <w:tcW w:w="1960" w:type="dxa"/>
            <w:vAlign w:val="bottom"/>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2</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 of Cash Flows (Unaudited)</w:t>
              </w:r>
            </w:hyperlink>
          </w:p>
        </w:tc>
        <w:tc>
          <w:tcPr>
            <w:tcW w:w="196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3</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Balance Sheet (Unaudited)</w:t>
              </w:r>
            </w:hyperlink>
          </w:p>
        </w:tc>
        <w:tc>
          <w:tcPr>
            <w:tcW w:w="196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4</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 of Changes in Equity (Unaudited)</w:t>
              </w:r>
            </w:hyperlink>
          </w:p>
        </w:tc>
        <w:tc>
          <w:tcPr>
            <w:tcW w:w="1960" w:type="dxa"/>
            <w:vAlign w:val="bottom"/>
          </w:tcPr>
          <w:p>
            <w:pPr>
              <w:jc w:val="right"/>
              <w:spacing w:after="0"/>
              <w:rPr>
                <w:rFonts w:ascii="Arial" w:cs="Arial" w:eastAsia="Arial" w:hAnsi="Arial"/>
                <w:sz w:val="18"/>
                <w:szCs w:val="18"/>
                <w:color w:val="2C2C2C"/>
              </w:rPr>
            </w:pPr>
            <w:hyperlink w:anchor="page8">
              <w:r>
                <w:rPr>
                  <w:rFonts w:ascii="Arial" w:cs="Arial" w:eastAsia="Arial" w:hAnsi="Arial"/>
                  <w:sz w:val="18"/>
                  <w:szCs w:val="18"/>
                  <w:color w:val="2C2C2C"/>
                </w:rPr>
                <w:t>5</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c>
          <w:tcPr>
            <w:tcW w:w="1960" w:type="dxa"/>
            <w:vAlign w:val="bottom"/>
          </w:tcPr>
          <w:p>
            <w:pPr>
              <w:jc w:val="right"/>
              <w:spacing w:after="0"/>
              <w:rPr>
                <w:rFonts w:ascii="Arial" w:cs="Arial" w:eastAsia="Arial" w:hAnsi="Arial"/>
                <w:sz w:val="18"/>
                <w:szCs w:val="18"/>
                <w:color w:val="2C2C2C"/>
              </w:rPr>
            </w:pPr>
            <w:hyperlink w:anchor="page9">
              <w:r>
                <w:rPr>
                  <w:rFonts w:ascii="Arial" w:cs="Arial" w:eastAsia="Arial" w:hAnsi="Arial"/>
                  <w:sz w:val="18"/>
                  <w:szCs w:val="18"/>
                  <w:color w:val="2C2C2C"/>
                </w:rPr>
                <w:t>6</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2.</w:t>
            </w:r>
          </w:p>
        </w:tc>
        <w:tc>
          <w:tcPr>
            <w:tcW w:w="7940" w:type="dxa"/>
            <w:vAlign w:val="bottom"/>
          </w:tcPr>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196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16</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3.</w:t>
            </w:r>
          </w:p>
        </w:tc>
        <w:tc>
          <w:tcPr>
            <w:tcW w:w="7940" w:type="dxa"/>
            <w:vAlign w:val="bottom"/>
          </w:tcPr>
          <w:p>
            <w:pPr>
              <w:ind w:left="1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Quantitative and Qualitative Disclosures About Market Risk</w:t>
              </w:r>
            </w:hyperlink>
          </w:p>
        </w:tc>
        <w:tc>
          <w:tcPr>
            <w:tcW w:w="19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34</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4.</w:t>
            </w:r>
          </w:p>
        </w:tc>
        <w:tc>
          <w:tcPr>
            <w:tcW w:w="7940" w:type="dxa"/>
            <w:vAlign w:val="bottom"/>
          </w:tcPr>
          <w:p>
            <w:pPr>
              <w:ind w:left="1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Controls and Procedures</w:t>
              </w:r>
            </w:hyperlink>
          </w:p>
        </w:tc>
        <w:tc>
          <w:tcPr>
            <w:tcW w:w="19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34</w:t>
              </w:r>
            </w:hyperlink>
          </w:p>
        </w:tc>
      </w:tr>
      <w:tr>
        <w:trPr>
          <w:trHeight w:val="270"/>
        </w:trPr>
        <w:tc>
          <w:tcPr>
            <w:tcW w:w="9280" w:type="dxa"/>
            <w:vAlign w:val="bottom"/>
            <w:gridSpan w:val="2"/>
          </w:tcPr>
          <w:p>
            <w:pPr>
              <w:ind w:left="40"/>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PART II. OTHER INFORMATION</w:t>
              </w:r>
            </w:hyperlink>
          </w:p>
        </w:tc>
        <w:tc>
          <w:tcPr>
            <w:tcW w:w="1960" w:type="dxa"/>
            <w:vAlign w:val="bottom"/>
          </w:tcPr>
          <w:p>
            <w:pPr>
              <w:spacing w:after="0"/>
              <w:rPr>
                <w:sz w:val="23"/>
                <w:szCs w:val="23"/>
                <w:color w:val="auto"/>
              </w:rPr>
            </w:pPr>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1.</w:t>
            </w:r>
          </w:p>
        </w:tc>
        <w:tc>
          <w:tcPr>
            <w:tcW w:w="7940" w:type="dxa"/>
            <w:vAlign w:val="bottom"/>
          </w:tcPr>
          <w:p>
            <w:pPr>
              <w:ind w:left="1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tc>
        <w:tc>
          <w:tcPr>
            <w:tcW w:w="19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35</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1A.</w:t>
            </w:r>
          </w:p>
        </w:tc>
        <w:tc>
          <w:tcPr>
            <w:tcW w:w="7940" w:type="dxa"/>
            <w:vAlign w:val="bottom"/>
          </w:tcPr>
          <w:p>
            <w:pPr>
              <w:ind w:left="1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tc>
        <w:tc>
          <w:tcPr>
            <w:tcW w:w="19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35</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5.</w:t>
            </w:r>
          </w:p>
        </w:tc>
        <w:tc>
          <w:tcPr>
            <w:tcW w:w="7940" w:type="dxa"/>
            <w:vAlign w:val="bottom"/>
          </w:tcPr>
          <w:p>
            <w:pPr>
              <w:ind w:left="1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Other Information</w:t>
              </w:r>
            </w:hyperlink>
          </w:p>
        </w:tc>
        <w:tc>
          <w:tcPr>
            <w:tcW w:w="19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35</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6.</w:t>
            </w:r>
          </w:p>
        </w:tc>
        <w:tc>
          <w:tcPr>
            <w:tcW w:w="7940" w:type="dxa"/>
            <w:vAlign w:val="bottom"/>
          </w:tcPr>
          <w:p>
            <w:pPr>
              <w:ind w:left="1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Exhibits</w:t>
              </w:r>
            </w:hyperlink>
          </w:p>
        </w:tc>
        <w:tc>
          <w:tcPr>
            <w:tcW w:w="19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36</w:t>
              </w:r>
            </w:hyperlink>
          </w:p>
        </w:tc>
      </w:tr>
      <w:tr>
        <w:trPr>
          <w:trHeight w:val="270"/>
        </w:trPr>
        <w:tc>
          <w:tcPr>
            <w:tcW w:w="1340" w:type="dxa"/>
            <w:vAlign w:val="bottom"/>
          </w:tcPr>
          <w:p>
            <w:pPr>
              <w:ind w:left="4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SIGNATURES</w:t>
              </w:r>
            </w:hyperlink>
          </w:p>
        </w:tc>
        <w:tc>
          <w:tcPr>
            <w:tcW w:w="7940" w:type="dxa"/>
            <w:vAlign w:val="bottom"/>
          </w:tcPr>
          <w:p>
            <w:pPr>
              <w:spacing w:after="0"/>
              <w:rPr>
                <w:sz w:val="23"/>
                <w:szCs w:val="23"/>
                <w:color w:val="auto"/>
              </w:rPr>
            </w:pPr>
          </w:p>
        </w:tc>
        <w:tc>
          <w:tcPr>
            <w:tcW w:w="19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37</w:t>
              </w:r>
            </w:hyperlink>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with this Quarterly Report on Form 10-Q for the three months ended March 31, 2020, we are voluntarily complying with new disclosure rules for guarantors and issuers of guaranteed debt securities issued by the Securities and Exchange Commission (“SEC”) in March 2020, as permitted by the transition guidance contained in the SEC’s final rule release “Financial Disclosures about Guarantors and Issuers of Guaranteed Securities and Affiliates Whose Securities Collateralize a Registrant’s Securities.” As a result, this report includes new disclosures related to our consolidated subsidiaries that guarantee or have issued guaranteed debt securities registered with the SEC that are included within our guarantee structure (refer to Guarantee Structure within the Liquidity and Capital Resources section of Item 2: Management’s Discussion and Analysis of Financial Condition and Results of Operations). As a result of these rules, NBCUniversal Media, LLC is no longer required to prepare stand-alone periodic reports under SEC rules, and our periodic reports are no longer prepared as a combined report being filed separately by Comcast Corporation and NBCUniversal Media, LLC.</w:t>
      </w:r>
    </w:p>
    <w:p>
      <w:pPr>
        <w:spacing w:after="0" w:line="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indicated otherwise, throughout this Quarterly Report on Form 10-Q, we refer to Comcast and its consolidated subsidiaries, as “Comcast,” “we,” “us” and “our;” Comcast Cable Communications, LLC and its consolidated subsidiaries as “Comcast Cable;” Comcast Holdings Corporation as “Comcast Holdings;” NBCUniversal, LLC as “NBCUniversal Holdings;” NBCUniversal Enterprise, Inc. as “NBCUniversal Enterprise;” NBCUniversal Media, LLC and its consolidated subsidiaries as “NBCUniversal;” and Sky Limited and its consolidated subsidiaries as “Sky.”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months ended March 31, 2020. This Quarterly Report on Form 10-Q modifies and supersedes documents filed before it. The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You should carefully review the information contained in this Quarterly Report on Form 10-Q and particularly consider any risk factors set forth in this Quarterly Report on Form 10-Q and in other reports or documents that we file from time to time with the SEC. In this Quarterly Report on Form 10-Q,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outlined below and in other reports we file with the SEC. Actual events or our actual results could differ materially from</w:t>
      </w:r>
    </w:p>
    <w:p>
      <w:pPr>
        <w:sectPr>
          <w:pgSz w:w="11900" w:h="16838" w:orient="portrait"/>
          <w:cols w:equalWidth="0" w:num="1">
            <w:col w:w="11240"/>
          </w:cols>
          <w:pgMar w:left="320" w:top="391" w:right="3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our forward-looking statements as a result of any such factors, which could adversely affect our businesses, results of operations or financial condition. We undertake no obligation to update any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could have a material adverse effect on our businesses and results of operations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operate in highly competitive and dynamic industries,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continue to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Cable Communications’ and Sky’s video businesses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programming distribution and licensing agreements, or the renewal of these agreements on less favorable terms, could adversely affect our businesses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favorable telecommunications access regulations, the loss of Sky’s transmission agreements with satellite or telecommunications providers or the renewal of these agreements on less favorable terms could adversely affect Sky’s businesses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acquisitions and other strategic initiatives present many risks, and we may not realize the financial and strategic goals that we had contemplated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unfavorable litigation or governmental investigation results could require us to pay significant amounts or lead to onerous operating procedures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240"/>
          </w:cols>
          <w:pgMar w:left="320" w:top="40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26,609</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26,859</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8,301</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8,569</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8,254</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7,900</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1,938</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1,888</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2,107</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2,240</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1,157</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1,080</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21,757</w:t>
            </w:r>
          </w:p>
        </w:tc>
        <w:tc>
          <w:tcPr>
            <w:tcW w:w="6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21,677</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4,852</w:t>
            </w:r>
          </w:p>
        </w:tc>
        <w:tc>
          <w:tcPr>
            <w:tcW w:w="6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5,182</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(1,212)</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(716)</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676</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2,924</w:t>
            </w:r>
          </w:p>
        </w:tc>
        <w:tc>
          <w:tcPr>
            <w:tcW w:w="6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4,708</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(700)</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2,224</w:t>
            </w:r>
          </w:p>
        </w:tc>
        <w:tc>
          <w:tcPr>
            <w:tcW w:w="6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3,632</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w w:val="95"/>
              </w:rPr>
              <w:t>Less: Net income (loss) attributable to noncontrolling interests and redeemable subsidiary preferred stock</w:t>
            </w:r>
          </w:p>
        </w:tc>
        <w:tc>
          <w:tcPr>
            <w:tcW w:w="36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77</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2,147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3,553</w:t>
            </w:r>
          </w:p>
        </w:tc>
      </w:tr>
      <w:tr>
        <w:trPr>
          <w:trHeight w:val="34"/>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0.47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0.78</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0.46</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75"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96"/>
              </w:rPr>
              <w:t>2019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2,224</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3,632</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 of deferred taxes of $— and $—</w:t>
            </w:r>
          </w:p>
        </w:tc>
        <w:tc>
          <w:tcPr>
            <w:tcW w:w="36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 of deferred taxes of $10 and $9</w:t>
            </w:r>
          </w:p>
        </w:tc>
        <w:tc>
          <w:tcPr>
            <w:tcW w:w="36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Realized (gains) losses on cash flow hedges, net of deferred taxes of $17 and $(11)</w:t>
            </w:r>
          </w:p>
        </w:tc>
        <w:tc>
          <w:tcPr>
            <w:tcW w:w="36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(106)</w:t>
            </w:r>
          </w:p>
        </w:tc>
        <w:tc>
          <w:tcPr>
            <w:tcW w:w="6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Employee benefit obligations, net of deferred taxes of $3 and $3</w:t>
            </w:r>
          </w:p>
        </w:tc>
        <w:tc>
          <w:tcPr>
            <w:tcW w:w="36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Currency translation adjustments, net of deferred taxes of $(7) and $(12)</w:t>
            </w:r>
          </w:p>
        </w:tc>
        <w:tc>
          <w:tcPr>
            <w:tcW w:w="36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(2,157)</w:t>
            </w:r>
          </w:p>
        </w:tc>
        <w:tc>
          <w:tcPr>
            <w:tcW w:w="6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807</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4,432</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w w:val="95"/>
              </w:rPr>
              <w:t>Less: Net income (loss) attributable to noncontrolling interests and redeemable subsidiary preferred stock</w:t>
            </w:r>
          </w:p>
        </w:tc>
        <w:tc>
          <w:tcPr>
            <w:tcW w:w="36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77</w:t>
            </w:r>
          </w:p>
        </w:tc>
        <w:tc>
          <w:tcPr>
            <w:tcW w:w="6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79</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36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(44)</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4,343</w:t>
            </w:r>
          </w:p>
        </w:tc>
      </w:tr>
      <w:tr>
        <w:trPr>
          <w:trHeight w:val="34"/>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512"/>
        </w:trPr>
        <w:tc>
          <w:tcPr>
            <w:tcW w:w="8100" w:type="dxa"/>
            <w:vAlign w:val="bottom"/>
          </w:tcPr>
          <w:p>
            <w:pPr>
              <w:ind w:left="55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2,224</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3,632</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3,264</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3,320</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298</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245</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Noncash interest expense (income), net</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227</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791</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(120)</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198</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449</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559</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(727)</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(334)</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5,824</w:t>
            </w:r>
          </w:p>
        </w:tc>
        <w:tc>
          <w:tcPr>
            <w:tcW w:w="6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7,231</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(1,881)</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(2,092)</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(618)</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(371)</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(194)</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Proceeds from sales of businesses and investments</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(69)</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(3,101)</w:t>
            </w:r>
          </w:p>
        </w:tc>
        <w:tc>
          <w:tcPr>
            <w:tcW w:w="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(3,226)</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9,281</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222</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(7,439)</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(2,084)</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Repurchases of common stock under employee plans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(233)</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(977)</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(76)</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374</w:t>
            </w:r>
          </w:p>
        </w:tc>
        <w:tc>
          <w:tcPr>
            <w:tcW w:w="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(4,325)</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36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(77)</w:t>
            </w:r>
          </w:p>
        </w:tc>
        <w:tc>
          <w:tcPr>
            <w:tcW w:w="6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3,020</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5,589</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3,909</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8,609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3,597</w:t>
            </w:r>
          </w:p>
        </w:tc>
      </w:tr>
      <w:tr>
        <w:trPr>
          <w:trHeight w:val="34"/>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81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511"/>
        </w:trPr>
        <w:tc>
          <w:tcPr>
            <w:tcW w:w="8100" w:type="dxa"/>
            <w:vAlign w:val="bottom"/>
          </w:tcPr>
          <w:p>
            <w:pPr>
              <w:ind w:left="558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ind w:right="451"/>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color w:val="auto"/>
              </w:rPr>
              <w:t>December 31,</w:t>
            </w:r>
          </w:p>
        </w:tc>
      </w:tr>
      <w:tr>
        <w:trPr>
          <w:trHeight w:val="188"/>
        </w:trPr>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share data)</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8,516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5,500</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10,800</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11,292</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3,877</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4,768</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4,723</w:t>
            </w:r>
          </w:p>
        </w:tc>
      </w:tr>
      <w:tr>
        <w:trPr>
          <w:trHeight w:val="27"/>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24,084</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25,392</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12,385</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8,933</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6,468</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6,989</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Investment securing collateralized obligation</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612</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694</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$53,566 and $53,239</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48,442</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48,322</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67,218</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68,725</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59,365</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59,365</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Other intangible assets, net of accumulated amortization of $16,292 and $17,217</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34,672</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36,128</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9,175</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8,866</w:t>
            </w:r>
          </w:p>
        </w:tc>
      </w:tr>
      <w:tr>
        <w:trPr>
          <w:trHeight w:val="27"/>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262,421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263,414</w:t>
            </w:r>
          </w:p>
        </w:tc>
      </w:tr>
      <w:tr>
        <w:trPr>
          <w:trHeight w:val="34"/>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9,963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10,826</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1,894</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1,730</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2,634</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2,768</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10,136</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10,516</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2,973</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4,452</w:t>
            </w:r>
          </w:p>
        </w:tc>
      </w:tr>
      <w:tr>
        <w:trPr>
          <w:trHeight w:val="27"/>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27,600</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30,292</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100,604</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97,765</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Collateralized obligation</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5,166</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5,166</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27,865</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28,180</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17,144</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16,765</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1,259</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1,372</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Equity:</w:t>
            </w: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Preferred stock—authorized, 20,000,000 shares; issued, zero</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7960" w:type="dxa"/>
            <w:vAlign w:val="bottom"/>
          </w:tcPr>
          <w:p>
            <w:pPr>
              <w:ind w:left="380"/>
              <w:spacing w:after="0"/>
              <w:rPr>
                <w:sz w:val="20"/>
                <w:szCs w:val="20"/>
                <w:color w:val="auto"/>
              </w:rPr>
            </w:pPr>
            <w:r>
              <w:rPr>
                <w:rFonts w:ascii="Arial" w:cs="Arial" w:eastAsia="Arial" w:hAnsi="Arial"/>
                <w:sz w:val="18"/>
                <w:szCs w:val="18"/>
                <w:color w:val="auto"/>
                <w:w w:val="91"/>
              </w:rPr>
              <w:t>Class A common stock, $0.01 par value—authorized, 7,500,000,000 shares; issued, 5,427,439,853 and</w:t>
            </w: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7960" w:type="dxa"/>
            <w:vAlign w:val="bottom"/>
          </w:tcPr>
          <w:p>
            <w:pPr>
              <w:ind w:left="540"/>
              <w:spacing w:after="0"/>
              <w:rPr>
                <w:sz w:val="20"/>
                <w:szCs w:val="20"/>
                <w:color w:val="auto"/>
              </w:rPr>
            </w:pPr>
            <w:r>
              <w:rPr>
                <w:rFonts w:ascii="Arial" w:cs="Arial" w:eastAsia="Arial" w:hAnsi="Arial"/>
                <w:sz w:val="18"/>
                <w:szCs w:val="18"/>
                <w:color w:val="auto"/>
              </w:rPr>
              <w:t>5,416,381,298; outstanding, 4,554,648,825 and 4,543,590,270</w:t>
            </w:r>
          </w:p>
        </w:tc>
        <w:tc>
          <w:tcPr>
            <w:tcW w:w="42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56"/>
        </w:trPr>
        <w:tc>
          <w:tcPr>
            <w:tcW w:w="7960" w:type="dxa"/>
            <w:vAlign w:val="bottom"/>
          </w:tcPr>
          <w:p>
            <w:pPr>
              <w:ind w:left="380"/>
              <w:spacing w:after="0"/>
              <w:rPr>
                <w:sz w:val="20"/>
                <w:szCs w:val="20"/>
                <w:color w:val="auto"/>
              </w:rPr>
            </w:pPr>
            <w:r>
              <w:rPr>
                <w:rFonts w:ascii="Arial" w:cs="Arial" w:eastAsia="Arial" w:hAnsi="Arial"/>
                <w:sz w:val="18"/>
                <w:szCs w:val="18"/>
                <w:color w:val="auto"/>
                <w:w w:val="97"/>
              </w:rPr>
              <w:t>Class B common stock, $0.01 par value—authorized, 75,000,000 shares; issued and outstanding,</w:t>
            </w: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7960" w:type="dxa"/>
            <w:vAlign w:val="bottom"/>
          </w:tcPr>
          <w:p>
            <w:pPr>
              <w:ind w:left="540"/>
              <w:spacing w:after="0"/>
              <w:rPr>
                <w:sz w:val="20"/>
                <w:szCs w:val="20"/>
                <w:color w:val="auto"/>
              </w:rPr>
            </w:pPr>
            <w:r>
              <w:rPr>
                <w:rFonts w:ascii="Arial" w:cs="Arial" w:eastAsia="Arial" w:hAnsi="Arial"/>
                <w:sz w:val="18"/>
                <w:szCs w:val="18"/>
                <w:color w:val="auto"/>
              </w:rPr>
              <w:t>9,444,375</w:t>
            </w:r>
          </w:p>
        </w:tc>
        <w:tc>
          <w:tcPr>
            <w:tcW w:w="42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38,597</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38,447</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51,516</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50,695</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Treasury stock, 872,791,028 Class A common shares</w:t>
            </w:r>
          </w:p>
        </w:tc>
        <w:tc>
          <w:tcPr>
            <w:tcW w:w="420" w:type="dxa"/>
            <w:vAlign w:val="bottom"/>
          </w:tcPr>
          <w:p>
            <w:pPr>
              <w:spacing w:after="0"/>
              <w:rPr>
                <w:sz w:val="23"/>
                <w:szCs w:val="23"/>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(7,517)</w:t>
            </w: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tcPr>
          <w:p>
            <w:pPr>
              <w:spacing w:after="0"/>
              <w:rPr>
                <w:sz w:val="23"/>
                <w:szCs w:val="23"/>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(1,144)</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1,047</w:t>
            </w:r>
          </w:p>
        </w:tc>
      </w:tr>
      <w:tr>
        <w:trPr>
          <w:trHeight w:val="27"/>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796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42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81,506</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82,726</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42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1,277</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1,148</w:t>
            </w:r>
          </w:p>
        </w:tc>
      </w:tr>
      <w:tr>
        <w:trPr>
          <w:trHeight w:val="27"/>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796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42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82,783</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83,874</w:t>
            </w:r>
          </w:p>
        </w:tc>
      </w:tr>
      <w:tr>
        <w:trPr>
          <w:trHeight w:val="27"/>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262,421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263,414</w:t>
            </w:r>
          </w:p>
        </w:tc>
      </w:tr>
      <w:tr>
        <w:trPr>
          <w:trHeight w:val="34"/>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96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gridSpan w:val="3"/>
          </w:tcPr>
          <w:p>
            <w:pPr>
              <w:jc w:val="right"/>
              <w:ind w:right="751"/>
              <w:spacing w:after="0"/>
              <w:rPr>
                <w:sz w:val="20"/>
                <w:szCs w:val="20"/>
                <w:color w:val="auto"/>
              </w:rPr>
            </w:pPr>
            <w:r>
              <w:rPr>
                <w:rFonts w:ascii="Arial" w:cs="Arial" w:eastAsia="Arial" w:hAnsi="Arial"/>
                <w:sz w:val="14"/>
                <w:szCs w:val="14"/>
                <w:color w:val="auto"/>
              </w:rPr>
              <w:t>Three Months Ended</w:t>
            </w:r>
          </w:p>
        </w:tc>
      </w:tr>
      <w:tr>
        <w:trPr>
          <w:trHeight w:val="188"/>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Redeemable Noncontrolling Interests and Redeemable Subsidiary Preferred Stock</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1,372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1,316</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1,259</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1,316</w:t>
            </w:r>
          </w:p>
        </w:tc>
      </w:tr>
      <w:tr>
        <w:trPr>
          <w:trHeight w:val="34"/>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78"/>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Class A common stock</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54</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54</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72"/>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38,447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37,461</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Stock compensation plans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Repurchases of common stock under employee plans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38,597</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37,621</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50,695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41,983</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Cumulative effects of adoption of accounting standards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4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Repurchases of common stock under employee plans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Dividends declared</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(1,064)</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2,147</w:t>
            </w:r>
          </w:p>
        </w:tc>
        <w:tc>
          <w:tcPr>
            <w:tcW w:w="4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3,553</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51,516</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44,379</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(7,517)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(7,517)</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(7,517)</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1,047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(2,191)</w:t>
            </w:r>
          </w:p>
        </w:tc>
        <w:tc>
          <w:tcPr>
            <w:tcW w:w="4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790</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(1,144)</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422</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1,148</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889</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3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1,277</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903</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82,783</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75,862</w:t>
            </w:r>
          </w:p>
        </w:tc>
      </w:tr>
      <w:tr>
        <w:trPr>
          <w:trHeight w:val="34"/>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0.23</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0.21</w:t>
            </w:r>
          </w:p>
        </w:tc>
      </w:tr>
      <w:tr>
        <w:trPr>
          <w:trHeight w:val="34"/>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1"/>
        </w:trPr>
        <w:tc>
          <w:tcPr>
            <w:tcW w:w="832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83" w:lineRule="exact"/>
        <w:rPr>
          <w:sz w:val="20"/>
          <w:szCs w:val="20"/>
          <w:color w:val="auto"/>
        </w:rPr>
      </w:pPr>
    </w:p>
    <w:p>
      <w:pPr>
        <w:ind w:right="420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2019 Annual Report on Form 10-K and the notes within this Form 10-Q.</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our operations in six reportable business segments: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Communications is a leading provider of high-speed internet, video, voice, wireless, and security and automation services to residential customers under the Xfinity brand; we also provide these and other services to business customers and sell advertising.</w:t>
      </w:r>
    </w:p>
    <w:p>
      <w:pPr>
        <w:spacing w:after="0" w:line="2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Cable Networks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w:t>
      </w:r>
    </w:p>
    <w:p>
      <w:pPr>
        <w:spacing w:after="0" w:line="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Broadcast Television consists primarily of the NBC and Telemundo broadcast networks, our NBC and Telemundo owned local broadcast television stations, the NBC Universo national cable network, our broadcast television studio production operations, and various digital properties.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Filmed Entertainment consists primarily of the operations of Universal Pictures, which produces, acquires, markets and distributes filmed entertainment worldwide; our films are also produced under the Illumination, DreamWorks Animation and Focus Features names.</w:t>
      </w:r>
    </w:p>
    <w:p>
      <w:pPr>
        <w:spacing w:after="0" w:line="2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Theme Parks consists primarily of our Universal theme parks in Orlando, Florida; Hollywood, California; and Osaka, Japan. In addition, we are developing a theme park in Beijing, China along with a consortium of Chinese state-owned companies, and an additional theme park in Orlando, Florida.</w:t>
      </w:r>
    </w:p>
    <w:p>
      <w:pPr>
        <w:spacing w:after="0" w:line="1"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the development of Peacock, our direct-to-consumer streaming service that will feature NBCUniversal content.</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Comcast Corporation excluded from Adjusted EBITDA are not separately evaluated. Our financial data by business segment is presented in the tables below.</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right"/>
              <w:ind w:right="753"/>
              <w:spacing w:after="0"/>
              <w:rPr>
                <w:sz w:val="20"/>
                <w:szCs w:val="20"/>
                <w:color w:val="auto"/>
              </w:rPr>
            </w:pPr>
            <w:r>
              <w:rPr>
                <w:rFonts w:ascii="Arial" w:cs="Arial" w:eastAsia="Arial" w:hAnsi="Arial"/>
                <w:sz w:val="14"/>
                <w:szCs w:val="14"/>
                <w:color w:val="auto"/>
              </w:rPr>
              <w:t>Three Months Ended March 31, 2020</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6"/>
        </w:trPr>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6" w:lineRule="exact"/>
              <w:rPr>
                <w:sz w:val="20"/>
                <w:szCs w:val="20"/>
                <w:color w:val="auto"/>
              </w:rPr>
            </w:pPr>
            <w:r>
              <w:rPr>
                <w:rFonts w:ascii="Arial" w:cs="Arial" w:eastAsia="Arial" w:hAnsi="Arial"/>
                <w:sz w:val="14"/>
                <w:szCs w:val="14"/>
                <w:color w:val="auto"/>
                <w:w w:val="92"/>
              </w:rPr>
              <w:t>Depreciation and</w:t>
            </w:r>
          </w:p>
        </w:tc>
        <w:tc>
          <w:tcPr>
            <w:tcW w:w="220" w:type="dxa"/>
            <w:vAlign w:val="bottom"/>
          </w:tcPr>
          <w:p>
            <w:pPr>
              <w:spacing w:after="0"/>
              <w:rPr>
                <w:sz w:val="13"/>
                <w:szCs w:val="13"/>
                <w:color w:val="auto"/>
              </w:rPr>
            </w:pPr>
          </w:p>
        </w:tc>
        <w:tc>
          <w:tcPr>
            <w:tcW w:w="1020" w:type="dxa"/>
            <w:vAlign w:val="bottom"/>
          </w:tcPr>
          <w:p>
            <w:pPr>
              <w:jc w:val="center"/>
              <w:ind w:right="73"/>
              <w:spacing w:after="0" w:line="156" w:lineRule="exact"/>
              <w:rPr>
                <w:sz w:val="20"/>
                <w:szCs w:val="20"/>
                <w:color w:val="auto"/>
              </w:rPr>
            </w:pPr>
            <w:r>
              <w:rPr>
                <w:rFonts w:ascii="Arial" w:cs="Arial" w:eastAsia="Arial" w:hAnsi="Arial"/>
                <w:sz w:val="14"/>
                <w:szCs w:val="14"/>
                <w:color w:val="auto"/>
                <w:w w:val="96"/>
              </w:rPr>
              <w:t>Capital</w:t>
            </w:r>
          </w:p>
        </w:tc>
        <w:tc>
          <w:tcPr>
            <w:tcW w:w="140" w:type="dxa"/>
            <w:vAlign w:val="bottom"/>
          </w:tcPr>
          <w:p>
            <w:pPr>
              <w:spacing w:after="0"/>
              <w:rPr>
                <w:sz w:val="13"/>
                <w:szCs w:val="13"/>
                <w:color w:val="auto"/>
              </w:rPr>
            </w:pPr>
          </w:p>
        </w:tc>
        <w:tc>
          <w:tcPr>
            <w:tcW w:w="1120" w:type="dxa"/>
            <w:vAlign w:val="bottom"/>
          </w:tcPr>
          <w:p>
            <w:pPr>
              <w:jc w:val="center"/>
              <w:ind w:right="13"/>
              <w:spacing w:after="0" w:line="156" w:lineRule="exact"/>
              <w:rPr>
                <w:sz w:val="20"/>
                <w:szCs w:val="20"/>
                <w:color w:val="auto"/>
              </w:rPr>
            </w:pPr>
            <w:r>
              <w:rPr>
                <w:rFonts w:ascii="Arial" w:cs="Arial" w:eastAsia="Arial" w:hAnsi="Arial"/>
                <w:sz w:val="14"/>
                <w:szCs w:val="14"/>
                <w:color w:val="auto"/>
                <w:w w:val="91"/>
              </w:rPr>
              <w:t>Cash Paid for</w:t>
            </w:r>
          </w:p>
        </w:tc>
      </w:tr>
      <w:tr>
        <w:trPr>
          <w:trHeight w:val="188"/>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Intangible Assets</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14,918</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6,076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356</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84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2,859</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1,248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484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2,684</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484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1,370</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0"/>
        </w:trPr>
        <w:tc>
          <w:tcPr>
            <w:tcW w:w="484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869</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310"/>
        </w:trPr>
        <w:tc>
          <w:tcPr>
            <w:tcW w:w="484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57"/>
        </w:trPr>
        <w:tc>
          <w:tcPr>
            <w:tcW w:w="484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7,734</w:t>
            </w:r>
          </w:p>
        </w:tc>
        <w:tc>
          <w:tcPr>
            <w:tcW w:w="4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1,747</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Sky</w:t>
            </w: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4,517</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166</w:t>
            </w:r>
          </w:p>
        </w:tc>
      </w:tr>
      <w:tr>
        <w:trPr>
          <w:trHeight w:val="310"/>
        </w:trPr>
        <w:tc>
          <w:tcPr>
            <w:tcW w:w="484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57"/>
        </w:trPr>
        <w:tc>
          <w:tcPr>
            <w:tcW w:w="48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26,609</w:t>
            </w:r>
          </w:p>
        </w:tc>
        <w:tc>
          <w:tcPr>
            <w:tcW w:w="480" w:type="dxa"/>
            <w:vAlign w:val="bottom"/>
          </w:tcPr>
          <w:p>
            <w:pPr>
              <w:jc w:val="right"/>
              <w:ind w:right="27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8,130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3,264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618</w:t>
            </w:r>
          </w:p>
        </w:tc>
      </w:tr>
      <w:tr>
        <w:trPr>
          <w:trHeight w:val="34"/>
        </w:trPr>
        <w:tc>
          <w:tcPr>
            <w:tcW w:w="4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94"/>
        </w:trPr>
        <w:tc>
          <w:tcPr>
            <w:tcW w:w="4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right"/>
              <w:ind w:right="753"/>
              <w:spacing w:after="0"/>
              <w:rPr>
                <w:sz w:val="20"/>
                <w:szCs w:val="20"/>
                <w:color w:val="auto"/>
              </w:rPr>
            </w:pPr>
            <w:r>
              <w:rPr>
                <w:rFonts w:ascii="Arial" w:cs="Arial" w:eastAsia="Arial" w:hAnsi="Arial"/>
                <w:sz w:val="14"/>
                <w:szCs w:val="14"/>
                <w:color w:val="auto"/>
              </w:rPr>
              <w:t>Three Months Ended March 31, 2019</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6"/>
        </w:trPr>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6" w:lineRule="exact"/>
              <w:rPr>
                <w:sz w:val="20"/>
                <w:szCs w:val="20"/>
                <w:color w:val="auto"/>
              </w:rPr>
            </w:pPr>
            <w:r>
              <w:rPr>
                <w:rFonts w:ascii="Arial" w:cs="Arial" w:eastAsia="Arial" w:hAnsi="Arial"/>
                <w:sz w:val="14"/>
                <w:szCs w:val="14"/>
                <w:color w:val="auto"/>
                <w:w w:val="92"/>
              </w:rPr>
              <w:t>Depreciation and</w:t>
            </w:r>
          </w:p>
        </w:tc>
        <w:tc>
          <w:tcPr>
            <w:tcW w:w="220" w:type="dxa"/>
            <w:vAlign w:val="bottom"/>
          </w:tcPr>
          <w:p>
            <w:pPr>
              <w:spacing w:after="0"/>
              <w:rPr>
                <w:sz w:val="13"/>
                <w:szCs w:val="13"/>
                <w:color w:val="auto"/>
              </w:rPr>
            </w:pPr>
          </w:p>
        </w:tc>
        <w:tc>
          <w:tcPr>
            <w:tcW w:w="1020" w:type="dxa"/>
            <w:vAlign w:val="bottom"/>
          </w:tcPr>
          <w:p>
            <w:pPr>
              <w:jc w:val="center"/>
              <w:ind w:right="73"/>
              <w:spacing w:after="0" w:line="156" w:lineRule="exact"/>
              <w:rPr>
                <w:sz w:val="20"/>
                <w:szCs w:val="20"/>
                <w:color w:val="auto"/>
              </w:rPr>
            </w:pPr>
            <w:r>
              <w:rPr>
                <w:rFonts w:ascii="Arial" w:cs="Arial" w:eastAsia="Arial" w:hAnsi="Arial"/>
                <w:sz w:val="14"/>
                <w:szCs w:val="14"/>
                <w:color w:val="auto"/>
                <w:w w:val="96"/>
              </w:rPr>
              <w:t>Capital</w:t>
            </w:r>
          </w:p>
        </w:tc>
        <w:tc>
          <w:tcPr>
            <w:tcW w:w="140" w:type="dxa"/>
            <w:vAlign w:val="bottom"/>
          </w:tcPr>
          <w:p>
            <w:pPr>
              <w:spacing w:after="0"/>
              <w:rPr>
                <w:sz w:val="13"/>
                <w:szCs w:val="13"/>
                <w:color w:val="auto"/>
              </w:rPr>
            </w:pPr>
          </w:p>
        </w:tc>
        <w:tc>
          <w:tcPr>
            <w:tcW w:w="1120" w:type="dxa"/>
            <w:vAlign w:val="bottom"/>
          </w:tcPr>
          <w:p>
            <w:pPr>
              <w:jc w:val="center"/>
              <w:ind w:right="13"/>
              <w:spacing w:after="0" w:line="156" w:lineRule="exact"/>
              <w:rPr>
                <w:sz w:val="20"/>
                <w:szCs w:val="20"/>
                <w:color w:val="auto"/>
              </w:rPr>
            </w:pPr>
            <w:r>
              <w:rPr>
                <w:rFonts w:ascii="Arial" w:cs="Arial" w:eastAsia="Arial" w:hAnsi="Arial"/>
                <w:sz w:val="14"/>
                <w:szCs w:val="14"/>
                <w:color w:val="auto"/>
                <w:w w:val="91"/>
              </w:rPr>
              <w:t>Cash Paid for</w:t>
            </w:r>
          </w:p>
        </w:tc>
      </w:tr>
      <w:tr>
        <w:trPr>
          <w:trHeight w:val="188"/>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Intangible Assets</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14,280</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323</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84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2,868</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1,262</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0"/>
        </w:trPr>
        <w:tc>
          <w:tcPr>
            <w:tcW w:w="484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2,467</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484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1,768</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0"/>
        </w:trPr>
        <w:tc>
          <w:tcPr>
            <w:tcW w:w="484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1,276</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310"/>
        </w:trPr>
        <w:tc>
          <w:tcPr>
            <w:tcW w:w="484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57"/>
        </w:trPr>
        <w:tc>
          <w:tcPr>
            <w:tcW w:w="484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8,313</w:t>
            </w:r>
          </w:p>
        </w:tc>
        <w:tc>
          <w:tcPr>
            <w:tcW w:w="4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2,337</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Sky</w:t>
            </w: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4,797</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151</w:t>
            </w:r>
          </w:p>
        </w:tc>
      </w:tr>
      <w:tr>
        <w:trPr>
          <w:trHeight w:val="310"/>
        </w:trPr>
        <w:tc>
          <w:tcPr>
            <w:tcW w:w="484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57"/>
        </w:trPr>
        <w:tc>
          <w:tcPr>
            <w:tcW w:w="48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26,859</w:t>
            </w:r>
          </w:p>
        </w:tc>
        <w:tc>
          <w:tcPr>
            <w:tcW w:w="480" w:type="dxa"/>
            <w:vAlign w:val="bottom"/>
          </w:tcPr>
          <w:p>
            <w:pPr>
              <w:jc w:val="right"/>
              <w:ind w:right="27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8,553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3,320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2,092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547</w:t>
            </w:r>
          </w:p>
        </w:tc>
      </w:tr>
      <w:tr>
        <w:trPr>
          <w:trHeight w:val="34"/>
        </w:trPr>
        <w:tc>
          <w:tcPr>
            <w:tcW w:w="4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7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4"/>
        </w:numPr>
        <w:rPr>
          <w:rFonts w:ascii="Arial" w:cs="Arial" w:eastAsia="Arial" w:hAnsi="Arial"/>
          <w:sz w:val="14"/>
          <w:szCs w:val="14"/>
          <w:color w:val="auto"/>
        </w:rPr>
      </w:pPr>
      <w:r>
        <w:rPr>
          <w:rFonts w:ascii="Arial" w:cs="Arial" w:eastAsia="Arial" w:hAnsi="Arial"/>
          <w:sz w:val="14"/>
          <w:szCs w:val="14"/>
          <w:color w:val="auto"/>
        </w:rPr>
        <w:t>Cable Networks generates revenue by selling programming to Cable Communications, which represents a substantial majority of the revenue elimination amount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4"/>
        </w:numPr>
        <w:rPr>
          <w:rFonts w:ascii="Arial" w:cs="Arial" w:eastAsia="Arial" w:hAnsi="Arial"/>
          <w:sz w:val="14"/>
          <w:szCs w:val="14"/>
          <w:color w:val="auto"/>
        </w:rPr>
      </w:pPr>
      <w:r>
        <w:rPr>
          <w:rFonts w:ascii="Arial" w:cs="Arial" w:eastAsia="Arial" w:hAnsi="Arial"/>
          <w:sz w:val="14"/>
          <w:szCs w:val="14"/>
          <w:color w:val="auto"/>
        </w:rPr>
        <w:t>Broadcast Television generates revenue from the fees received under retransmission consent agreements with Cable Communications</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4"/>
        </w:numPr>
        <w:rPr>
          <w:rFonts w:ascii="Arial" w:cs="Arial" w:eastAsia="Arial" w:hAnsi="Arial"/>
          <w:sz w:val="14"/>
          <w:szCs w:val="14"/>
          <w:color w:val="auto"/>
        </w:rPr>
      </w:pPr>
      <w:r>
        <w:rPr>
          <w:rFonts w:ascii="Arial" w:cs="Arial" w:eastAsia="Arial" w:hAnsi="Arial"/>
          <w:sz w:val="14"/>
          <w:szCs w:val="14"/>
          <w:color w:val="auto"/>
        </w:rPr>
        <w:t>Cable Communications generates revenue by selling advertising and by selling the use of satellite feeds to Cable Networks</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4"/>
        </w:numPr>
        <w:rPr>
          <w:rFonts w:ascii="Arial" w:cs="Arial" w:eastAsia="Arial" w:hAnsi="Arial"/>
          <w:sz w:val="14"/>
          <w:szCs w:val="14"/>
          <w:color w:val="auto"/>
        </w:rPr>
      </w:pPr>
      <w:r>
        <w:rPr>
          <w:rFonts w:ascii="Arial" w:cs="Arial" w:eastAsia="Arial" w:hAnsi="Arial"/>
          <w:sz w:val="14"/>
          <w:szCs w:val="14"/>
          <w:color w:val="auto"/>
        </w:rPr>
        <w:t>Cable Networks and Broadcast Television generate revenue by selling advertising to Cable Communications</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4"/>
        </w:numPr>
        <w:rPr>
          <w:rFonts w:ascii="Arial" w:cs="Arial" w:eastAsia="Arial" w:hAnsi="Arial"/>
          <w:sz w:val="14"/>
          <w:szCs w:val="14"/>
          <w:color w:val="auto"/>
        </w:rPr>
      </w:pPr>
      <w:r>
        <w:rPr>
          <w:rFonts w:ascii="Arial" w:cs="Arial" w:eastAsia="Arial" w:hAnsi="Arial"/>
          <w:sz w:val="14"/>
          <w:szCs w:val="14"/>
          <w:color w:val="auto"/>
        </w:rPr>
        <w:t>Filmed Entertainment and Broadcast Television generate revenue by licensing content to Cable Networks; for segment reporting, this revenue is recognized as the programming rights asset for the licensed content is amortized based on third-party revenue</w:t>
      </w:r>
    </w:p>
    <w:p>
      <w:pPr>
        <w:spacing w:after="0" w:line="11" w:lineRule="exact"/>
        <w:rPr>
          <w:rFonts w:ascii="Arial" w:cs="Arial" w:eastAsia="Arial" w:hAnsi="Arial"/>
          <w:sz w:val="14"/>
          <w:szCs w:val="14"/>
          <w:color w:val="auto"/>
        </w:rPr>
      </w:pPr>
    </w:p>
    <w:p>
      <w:pPr>
        <w:ind w:left="980" w:right="20" w:hanging="81"/>
        <w:spacing w:after="0" w:line="273" w:lineRule="auto"/>
        <w:tabs>
          <w:tab w:leader="none" w:pos="980" w:val="left"/>
        </w:tabs>
        <w:numPr>
          <w:ilvl w:val="1"/>
          <w:numId w:val="4"/>
        </w:numPr>
        <w:rPr>
          <w:rFonts w:ascii="Arial" w:cs="Arial" w:eastAsia="Arial" w:hAnsi="Arial"/>
          <w:sz w:val="14"/>
          <w:szCs w:val="14"/>
          <w:color w:val="auto"/>
        </w:rPr>
      </w:pPr>
      <w:r>
        <w:rPr>
          <w:rFonts w:ascii="Arial" w:cs="Arial" w:eastAsia="Arial" w:hAnsi="Arial"/>
          <w:sz w:val="14"/>
          <w:szCs w:val="14"/>
          <w:color w:val="auto"/>
        </w:rPr>
        <w:t>Filmed Entertainment, Cable Networks and Broadcast Television generate revenue by licensing content to Sky; for segment reporting, this revenue is recognized as content is delivered and available for use by Sky</w:t>
      </w:r>
    </w:p>
    <w:p>
      <w:pPr>
        <w:spacing w:after="0" w:line="119"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our other business interests.</w:t>
      </w:r>
    </w:p>
    <w:p>
      <w:pPr>
        <w:spacing w:after="0" w:line="176"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20" w:type="dxa"/>
            <w:vAlign w:val="bottom"/>
          </w:tcPr>
          <w:p>
            <w:pPr>
              <w:spacing w:after="0"/>
              <w:rPr>
                <w:sz w:val="14"/>
                <w:szCs w:val="14"/>
                <w:color w:val="auto"/>
              </w:rPr>
            </w:pPr>
          </w:p>
        </w:tc>
      </w:tr>
      <w:tr>
        <w:trPr>
          <w:trHeight w:val="188"/>
        </w:trPr>
        <w:tc>
          <w:tcPr>
            <w:tcW w:w="7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color w:val="auto"/>
              </w:rPr>
              <w:t>March 31,</w:t>
            </w:r>
          </w:p>
        </w:tc>
        <w:tc>
          <w:tcPr>
            <w:tcW w:w="820" w:type="dxa"/>
            <w:vAlign w:val="bottom"/>
            <w:tcBorders>
              <w:bottom w:val="single" w:sz="8" w:color="auto"/>
            </w:tcBorders>
          </w:tcPr>
          <w:p>
            <w:pPr>
              <w:spacing w:after="0"/>
              <w:rPr>
                <w:sz w:val="16"/>
                <w:szCs w:val="16"/>
                <w:color w:val="auto"/>
              </w:rPr>
            </w:pPr>
          </w:p>
        </w:tc>
      </w:tr>
      <w:tr>
        <w:trPr>
          <w:trHeight w:val="264"/>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89"/>
              </w:rPr>
              <w:t>2019</w:t>
            </w:r>
          </w:p>
        </w:tc>
      </w:tr>
      <w:tr>
        <w:trPr>
          <w:trHeight w:val="257"/>
        </w:trPr>
        <w:tc>
          <w:tcPr>
            <w:tcW w:w="756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8,130</w:t>
            </w:r>
          </w:p>
        </w:tc>
        <w:tc>
          <w:tcPr>
            <w:tcW w:w="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8,553</w:t>
            </w:r>
          </w:p>
        </w:tc>
      </w:tr>
      <w:tr>
        <w:trPr>
          <w:trHeight w:val="270"/>
        </w:trPr>
        <w:tc>
          <w:tcPr>
            <w:tcW w:w="7560" w:type="dxa"/>
            <w:vAlign w:val="bottom"/>
          </w:tcPr>
          <w:p>
            <w:pPr>
              <w:ind w:left="20"/>
              <w:spacing w:after="0"/>
              <w:rPr>
                <w:sz w:val="20"/>
                <w:szCs w:val="20"/>
                <w:color w:val="auto"/>
              </w:rPr>
            </w:pPr>
            <w:r>
              <w:rPr>
                <w:rFonts w:ascii="Arial" w:cs="Arial" w:eastAsia="Arial" w:hAnsi="Arial"/>
                <w:sz w:val="14"/>
                <w:szCs w:val="14"/>
                <w:color w:val="auto"/>
              </w:rPr>
              <w:t>Adjustment for Sky transaction-related costs</w:t>
            </w:r>
          </w:p>
        </w:tc>
        <w:tc>
          <w:tcPr>
            <w:tcW w:w="3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6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70"/>
        </w:trPr>
        <w:tc>
          <w:tcPr>
            <w:tcW w:w="756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(2,107)</w:t>
            </w:r>
          </w:p>
        </w:tc>
        <w:tc>
          <w:tcPr>
            <w:tcW w:w="6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(2,240)</w:t>
            </w:r>
          </w:p>
        </w:tc>
      </w:tr>
      <w:tr>
        <w:trPr>
          <w:trHeight w:val="270"/>
        </w:trPr>
        <w:tc>
          <w:tcPr>
            <w:tcW w:w="756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(1,157)</w:t>
            </w:r>
          </w:p>
        </w:tc>
        <w:tc>
          <w:tcPr>
            <w:tcW w:w="6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(1,080)</w:t>
            </w:r>
          </w:p>
        </w:tc>
      </w:tr>
      <w:tr>
        <w:trPr>
          <w:trHeight w:val="270"/>
        </w:trPr>
        <w:tc>
          <w:tcPr>
            <w:tcW w:w="75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(1,212)</w:t>
            </w:r>
          </w:p>
        </w:tc>
        <w:tc>
          <w:tcPr>
            <w:tcW w:w="6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(1,150)</w:t>
            </w:r>
          </w:p>
        </w:tc>
      </w:tr>
      <w:tr>
        <w:trPr>
          <w:trHeight w:val="276"/>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(716)</w:t>
            </w: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676</w:t>
            </w:r>
          </w:p>
        </w:tc>
      </w:tr>
      <w:tr>
        <w:trPr>
          <w:trHeight w:val="277"/>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2,924</w:t>
            </w:r>
          </w:p>
        </w:tc>
        <w:tc>
          <w:tcPr>
            <w:tcW w:w="6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4,708</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3"/>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2019</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06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5,001</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4,577</w:t>
            </w:r>
          </w:p>
        </w:tc>
      </w:tr>
      <w:tr>
        <w:trPr>
          <w:trHeight w:val="270"/>
        </w:trPr>
        <w:tc>
          <w:tcPr>
            <w:tcW w:w="8060" w:type="dxa"/>
            <w:vAlign w:val="bottom"/>
          </w:tcPr>
          <w:p>
            <w:pPr>
              <w:ind w:left="18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5,632</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5,628</w:t>
            </w:r>
          </w:p>
        </w:tc>
      </w:tr>
      <w:tr>
        <w:trPr>
          <w:trHeight w:val="270"/>
        </w:trPr>
        <w:tc>
          <w:tcPr>
            <w:tcW w:w="8060" w:type="dxa"/>
            <w:vAlign w:val="bottom"/>
          </w:tcPr>
          <w:p>
            <w:pPr>
              <w:ind w:left="18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899</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990</w:t>
            </w:r>
          </w:p>
        </w:tc>
      </w:tr>
      <w:tr>
        <w:trPr>
          <w:trHeight w:val="270"/>
        </w:trPr>
        <w:tc>
          <w:tcPr>
            <w:tcW w:w="8060" w:type="dxa"/>
            <w:vAlign w:val="bottom"/>
          </w:tcPr>
          <w:p>
            <w:pPr>
              <w:ind w:left="18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343</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225</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2,043</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1,891</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557</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556</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443</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413</w:t>
            </w:r>
          </w:p>
        </w:tc>
      </w:tr>
      <w:tr>
        <w:trPr>
          <w:trHeight w:val="27"/>
        </w:trPr>
        <w:tc>
          <w:tcPr>
            <w:tcW w:w="8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35"/>
        </w:trPr>
        <w:tc>
          <w:tcPr>
            <w:tcW w:w="8060" w:type="dxa"/>
            <w:vAlign w:val="bottom"/>
          </w:tcPr>
          <w:p>
            <w:pPr>
              <w:ind w:left="40"/>
              <w:spacing w:after="0"/>
              <w:rPr>
                <w:sz w:val="20"/>
                <w:szCs w:val="20"/>
                <w:color w:val="auto"/>
              </w:rPr>
            </w:pPr>
            <w:r>
              <w:rPr>
                <w:rFonts w:ascii="Arial" w:cs="Arial" w:eastAsia="Arial" w:hAnsi="Arial"/>
                <w:sz w:val="18"/>
                <w:szCs w:val="18"/>
                <w:color w:val="auto"/>
              </w:rPr>
              <w:t>Total Cable Communications</w:t>
            </w:r>
            <w:r>
              <w:rPr>
                <w:rFonts w:ascii="Arial" w:cs="Arial" w:eastAsia="Arial" w:hAnsi="Arial"/>
                <w:sz w:val="25"/>
                <w:szCs w:val="25"/>
                <w:color w:val="auto"/>
                <w:vertAlign w:val="superscript"/>
              </w:rPr>
              <w:t>(a)</w:t>
            </w:r>
          </w:p>
        </w:tc>
        <w:tc>
          <w:tcPr>
            <w:tcW w:w="34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14,918</w:t>
            </w:r>
          </w:p>
        </w:tc>
        <w:tc>
          <w:tcPr>
            <w:tcW w:w="68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14,280</w:t>
            </w:r>
          </w:p>
        </w:tc>
      </w:tr>
      <w:tr>
        <w:trPr>
          <w:trHeight w:val="334"/>
        </w:trPr>
        <w:tc>
          <w:tcPr>
            <w:tcW w:w="806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4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1,708</w:t>
            </w:r>
          </w:p>
        </w:tc>
        <w:tc>
          <w:tcPr>
            <w:tcW w:w="68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1,735</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834</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852</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317</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281</w:t>
            </w:r>
          </w:p>
        </w:tc>
      </w:tr>
      <w:tr>
        <w:trPr>
          <w:trHeight w:val="27"/>
        </w:trPr>
        <w:tc>
          <w:tcPr>
            <w:tcW w:w="8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4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2,859</w:t>
            </w:r>
          </w:p>
        </w:tc>
        <w:tc>
          <w:tcPr>
            <w:tcW w:w="6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2,868</w:t>
            </w:r>
          </w:p>
        </w:tc>
      </w:tr>
      <w:tr>
        <w:trPr>
          <w:trHeight w:val="432"/>
        </w:trPr>
        <w:tc>
          <w:tcPr>
            <w:tcW w:w="80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1,318</w:t>
            </w:r>
          </w:p>
        </w:tc>
        <w:tc>
          <w:tcPr>
            <w:tcW w:w="68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1,317</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735</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560</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631</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590</w:t>
            </w:r>
          </w:p>
        </w:tc>
      </w:tr>
      <w:tr>
        <w:trPr>
          <w:trHeight w:val="27"/>
        </w:trPr>
        <w:tc>
          <w:tcPr>
            <w:tcW w:w="8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4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2,684</w:t>
            </w:r>
          </w:p>
        </w:tc>
        <w:tc>
          <w:tcPr>
            <w:tcW w:w="6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2,467</w:t>
            </w:r>
          </w:p>
        </w:tc>
      </w:tr>
      <w:tr>
        <w:trPr>
          <w:trHeight w:val="432"/>
        </w:trPr>
        <w:tc>
          <w:tcPr>
            <w:tcW w:w="806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4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317</w:t>
            </w:r>
          </w:p>
        </w:tc>
        <w:tc>
          <w:tcPr>
            <w:tcW w:w="68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445</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691</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817</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171</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267</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191</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8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806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4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1,370</w:t>
            </w:r>
          </w:p>
        </w:tc>
        <w:tc>
          <w:tcPr>
            <w:tcW w:w="6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1,768</w:t>
            </w:r>
          </w:p>
        </w:tc>
      </w:tr>
      <w:tr>
        <w:trPr>
          <w:trHeight w:val="432"/>
        </w:trPr>
        <w:tc>
          <w:tcPr>
            <w:tcW w:w="806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4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869</w:t>
            </w:r>
          </w:p>
        </w:tc>
        <w:tc>
          <w:tcPr>
            <w:tcW w:w="68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1,276</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97"/>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(71)</w:t>
            </w: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36"/>
        </w:trPr>
        <w:tc>
          <w:tcPr>
            <w:tcW w:w="8060" w:type="dxa"/>
            <w:vAlign w:val="bottom"/>
          </w:tcPr>
          <w:p>
            <w:pPr>
              <w:ind w:left="40"/>
              <w:spacing w:after="0"/>
              <w:rPr>
                <w:sz w:val="20"/>
                <w:szCs w:val="20"/>
                <w:color w:val="auto"/>
              </w:rPr>
            </w:pPr>
            <w:r>
              <w:rPr>
                <w:rFonts w:ascii="Arial" w:cs="Arial" w:eastAsia="Arial" w:hAnsi="Arial"/>
                <w:sz w:val="18"/>
                <w:szCs w:val="18"/>
                <w:color w:val="auto"/>
              </w:rPr>
              <w:t>Total NBCUniversal</w:t>
            </w:r>
          </w:p>
        </w:tc>
        <w:tc>
          <w:tcPr>
            <w:tcW w:w="34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7,734</w:t>
            </w:r>
          </w:p>
        </w:tc>
        <w:tc>
          <w:tcPr>
            <w:tcW w:w="6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8,313</w:t>
            </w:r>
          </w:p>
        </w:tc>
      </w:tr>
      <w:tr>
        <w:trPr>
          <w:trHeight w:val="432"/>
        </w:trPr>
        <w:tc>
          <w:tcPr>
            <w:tcW w:w="8060" w:type="dxa"/>
            <w:vAlign w:val="bottom"/>
          </w:tcPr>
          <w:p>
            <w:pPr>
              <w:ind w:left="40"/>
              <w:spacing w:after="0"/>
              <w:rPr>
                <w:sz w:val="20"/>
                <w:szCs w:val="20"/>
                <w:color w:val="auto"/>
              </w:rPr>
            </w:pPr>
            <w:r>
              <w:rPr>
                <w:rFonts w:ascii="Arial" w:cs="Arial" w:eastAsia="Arial" w:hAnsi="Arial"/>
                <w:sz w:val="18"/>
                <w:szCs w:val="18"/>
                <w:color w:val="auto"/>
              </w:rPr>
              <w:t>Direct-to-consumer</w:t>
            </w:r>
          </w:p>
        </w:tc>
        <w:tc>
          <w:tcPr>
            <w:tcW w:w="34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3,679</w:t>
            </w:r>
          </w:p>
        </w:tc>
        <w:tc>
          <w:tcPr>
            <w:tcW w:w="68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3,834</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Content</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325</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370</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513</w:t>
            </w:r>
          </w:p>
        </w:tc>
        <w:tc>
          <w:tcPr>
            <w:tcW w:w="6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593</w:t>
            </w:r>
          </w:p>
        </w:tc>
      </w:tr>
      <w:tr>
        <w:trPr>
          <w:trHeight w:val="27"/>
        </w:trPr>
        <w:tc>
          <w:tcPr>
            <w:tcW w:w="8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8060" w:type="dxa"/>
            <w:vAlign w:val="bottom"/>
          </w:tcPr>
          <w:p>
            <w:pPr>
              <w:ind w:left="40"/>
              <w:spacing w:after="0"/>
              <w:rPr>
                <w:sz w:val="20"/>
                <w:szCs w:val="20"/>
                <w:color w:val="auto"/>
              </w:rPr>
            </w:pPr>
            <w:r>
              <w:rPr>
                <w:rFonts w:ascii="Arial" w:cs="Arial" w:eastAsia="Arial" w:hAnsi="Arial"/>
                <w:sz w:val="18"/>
                <w:szCs w:val="18"/>
                <w:color w:val="auto"/>
              </w:rPr>
              <w:t>Total Sky</w:t>
            </w:r>
          </w:p>
        </w:tc>
        <w:tc>
          <w:tcPr>
            <w:tcW w:w="34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4,517</w:t>
            </w:r>
          </w:p>
        </w:tc>
        <w:tc>
          <w:tcPr>
            <w:tcW w:w="6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4,797</w:t>
            </w:r>
          </w:p>
        </w:tc>
      </w:tr>
      <w:tr>
        <w:trPr>
          <w:trHeight w:val="432"/>
        </w:trPr>
        <w:tc>
          <w:tcPr>
            <w:tcW w:w="80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120</w:t>
            </w:r>
          </w:p>
        </w:tc>
        <w:tc>
          <w:tcPr>
            <w:tcW w:w="68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108</w:t>
            </w:r>
          </w:p>
        </w:tc>
      </w:tr>
      <w:tr>
        <w:trPr>
          <w:trHeight w:val="297"/>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(680)</w:t>
            </w: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26,609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26,859</w:t>
            </w:r>
          </w:p>
        </w:tc>
      </w:tr>
      <w:tr>
        <w:trPr>
          <w:trHeight w:val="34"/>
        </w:trPr>
        <w:tc>
          <w:tcPr>
            <w:tcW w:w="8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sectPr>
          <w:pgSz w:w="11900" w:h="16838" w:orient="portrait"/>
          <w:cols w:equalWidth="0" w:num="1">
            <w:col w:w="11180"/>
          </w:cols>
          <w:pgMar w:left="320" w:top="121" w:right="399" w:bottom="21" w:gutter="0" w:footer="0" w:header="0"/>
        </w:sect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For both the three months ended March 31, 2020 and 2019, 2.6% of Cable Communications segment revenue was derived from franchise and other regulatory fees.</w:t>
      </w:r>
    </w:p>
    <w:p>
      <w:pPr>
        <w:spacing w:after="0" w:line="145"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ectPr>
          <w:pgSz w:w="11900" w:h="16838" w:orient="portrait"/>
          <w:cols w:equalWidth="0" w:num="1">
            <w:col w:w="11180"/>
          </w:cols>
          <w:pgMar w:left="320" w:top="121" w:right="399" w:bottom="21"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17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We operate primarily in the United States but also in select international markets. The table below summarizes revenue by geographic location.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20,690</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20,457</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5,033</w:t>
            </w:r>
          </w:p>
        </w:tc>
        <w:tc>
          <w:tcPr>
            <w:tcW w:w="70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5,370</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886</w:t>
            </w:r>
          </w:p>
        </w:tc>
        <w:tc>
          <w:tcPr>
            <w:tcW w:w="70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1,032</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8"/>
              <w:spacing w:after="0"/>
              <w:rPr>
                <w:sz w:val="20"/>
                <w:szCs w:val="20"/>
                <w:color w:val="auto"/>
              </w:rPr>
            </w:pPr>
            <w:r>
              <w:rPr>
                <w:rFonts w:ascii="Arial" w:cs="Arial" w:eastAsia="Arial" w:hAnsi="Arial"/>
                <w:sz w:val="18"/>
                <w:szCs w:val="18"/>
                <w:b w:val="1"/>
                <w:bCs w:val="1"/>
                <w:color w:val="auto"/>
              </w:rPr>
              <w:t>26,609</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26,859</w:t>
            </w:r>
          </w:p>
        </w:tc>
      </w:tr>
      <w:tr>
        <w:trPr>
          <w:trHeight w:val="34"/>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tables summarize our accounts receivable and other balances that are not separately presented in our condensed consolidated balance sheet that relate to the recognition of revenue and collection of the related cash, as well as deferred costs associated with our contracts with customers.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jc w:val="center"/>
              <w:ind w:right="297"/>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Arial" w:cs="Arial" w:eastAsia="Arial" w:hAnsi="Arial"/>
                <w:sz w:val="14"/>
                <w:szCs w:val="14"/>
                <w:color w:val="auto"/>
                <w:w w:val="93"/>
              </w:rPr>
              <w:t>December 31,</w:t>
            </w:r>
          </w:p>
        </w:tc>
      </w:tr>
      <w:tr>
        <w:trPr>
          <w:trHeight w:val="188"/>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89"/>
              </w:rPr>
              <w:t>2020</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96"/>
              </w:rPr>
              <w:t>2019</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11,412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11,711</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1320" w:type="dxa"/>
            <w:vAlign w:val="bottom"/>
          </w:tcPr>
          <w:p>
            <w:pPr>
              <w:spacing w:after="0"/>
              <w:rPr>
                <w:sz w:val="23"/>
                <w:szCs w:val="23"/>
                <w:color w:val="auto"/>
              </w:rPr>
            </w:pP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612</w:t>
            </w:r>
          </w:p>
        </w:tc>
        <w:tc>
          <w:tcPr>
            <w:tcW w:w="360" w:type="dxa"/>
            <w:vAlign w:val="bottom"/>
          </w:tcPr>
          <w:p>
            <w:pPr>
              <w:spacing w:after="0"/>
              <w:rPr>
                <w:sz w:val="23"/>
                <w:szCs w:val="23"/>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419</w:t>
            </w:r>
          </w:p>
        </w:tc>
      </w:tr>
      <w:tr>
        <w:trPr>
          <w:trHeight w:val="27"/>
        </w:trPr>
        <w:tc>
          <w:tcPr>
            <w:tcW w:w="7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b w:val="1"/>
                <w:bCs w:val="1"/>
                <w:color w:val="auto"/>
              </w:rPr>
              <w:t>10,800</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b w:val="1"/>
                <w:bCs w:val="1"/>
                <w:color w:val="auto"/>
              </w:rPr>
              <w:t>11,292</w:t>
            </w:r>
          </w:p>
        </w:tc>
      </w:tr>
      <w:tr>
        <w:trPr>
          <w:trHeight w:val="34"/>
        </w:trPr>
        <w:tc>
          <w:tcPr>
            <w:tcW w:w="7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683"/>
        </w:trPr>
        <w:tc>
          <w:tcPr>
            <w:tcW w:w="7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jc w:val="center"/>
              <w:ind w:right="297"/>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24"/>
                <w:szCs w:val="24"/>
                <w:color w:val="auto"/>
              </w:rPr>
            </w:pPr>
          </w:p>
        </w:tc>
        <w:tc>
          <w:tcPr>
            <w:tcW w:w="1240" w:type="dxa"/>
            <w:vAlign w:val="bottom"/>
          </w:tcPr>
          <w:p>
            <w:pPr>
              <w:jc w:val="center"/>
              <w:ind w:right="177"/>
              <w:spacing w:after="0"/>
              <w:rPr>
                <w:sz w:val="20"/>
                <w:szCs w:val="20"/>
                <w:color w:val="auto"/>
              </w:rPr>
            </w:pPr>
            <w:r>
              <w:rPr>
                <w:rFonts w:ascii="Arial" w:cs="Arial" w:eastAsia="Arial" w:hAnsi="Arial"/>
                <w:sz w:val="14"/>
                <w:szCs w:val="14"/>
                <w:color w:val="auto"/>
                <w:w w:val="93"/>
              </w:rPr>
              <w:t>December 31,</w:t>
            </w:r>
          </w:p>
        </w:tc>
      </w:tr>
      <w:tr>
        <w:trPr>
          <w:trHeight w:val="188"/>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89"/>
              </w:rPr>
              <w:t>2020</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96"/>
              </w:rPr>
              <w:t>2019</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1,323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1,337</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1,078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1,083</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894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618</w:t>
            </w:r>
          </w:p>
        </w:tc>
      </w:tr>
      <w:tr>
        <w:trPr>
          <w:trHeight w:val="27"/>
        </w:trPr>
        <w:tc>
          <w:tcPr>
            <w:tcW w:w="7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and Production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Cable Networks, Broadcast Television, Filmed Entertainment and Sky produce owned content or acquire the rights to programming from third parties, which are described as owned film and television costs and programming rights, respectively. We adopted new accounting guidance related to film and television costs in 2020 (see Note 8), and accordingly amounts presented below for periods in 2020 and the policy discussion reflect the updated accounting guidance, and amounts presented for 2019 reflect the accounting guidance in effect at that time. Under the new accounting guidance, we have determined that the predominant monetization strategy for the substantial majority of our content is on an individual basis.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00" w:type="dxa"/>
            <w:vAlign w:val="bottom"/>
          </w:tcPr>
          <w:p>
            <w:pPr>
              <w:spacing w:after="0"/>
              <w:rPr>
                <w:sz w:val="20"/>
                <w:szCs w:val="20"/>
                <w:color w:val="auto"/>
              </w:rPr>
            </w:pPr>
          </w:p>
        </w:tc>
        <w:tc>
          <w:tcPr>
            <w:tcW w:w="7040" w:type="dxa"/>
            <w:vAlign w:val="bottom"/>
            <w:gridSpan w:val="2"/>
          </w:tcPr>
          <w:p>
            <w:pPr>
              <w:jc w:val="center"/>
              <w:ind w:right="1908"/>
              <w:spacing w:after="0"/>
              <w:rPr>
                <w:sz w:val="20"/>
                <w:szCs w:val="20"/>
                <w:color w:val="auto"/>
              </w:rPr>
            </w:pPr>
            <w:r>
              <w:rPr>
                <w:rFonts w:ascii="Arial" w:cs="Arial" w:eastAsia="Arial" w:hAnsi="Arial"/>
                <w:sz w:val="18"/>
                <w:szCs w:val="18"/>
                <w:b w:val="1"/>
                <w:bCs w:val="1"/>
                <w:color w:val="auto"/>
                <w:w w:val="99"/>
              </w:rPr>
              <w:t>Amortization of Film and Television Costs</w:t>
            </w:r>
          </w:p>
        </w:tc>
        <w:tc>
          <w:tcPr>
            <w:tcW w:w="1100" w:type="dxa"/>
            <w:vAlign w:val="bottom"/>
          </w:tcPr>
          <w:p>
            <w:pPr>
              <w:spacing w:after="0"/>
              <w:rPr>
                <w:sz w:val="20"/>
                <w:szCs w:val="20"/>
                <w:color w:val="auto"/>
              </w:rPr>
            </w:pPr>
          </w:p>
        </w:tc>
      </w:tr>
      <w:tr>
        <w:trPr>
          <w:trHeight w:val="521"/>
        </w:trPr>
        <w:tc>
          <w:tcPr>
            <w:tcW w:w="31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93"/>
              </w:rPr>
              <w:t>Three Months Ended</w:t>
            </w:r>
          </w:p>
        </w:tc>
      </w:tr>
      <w:tr>
        <w:trPr>
          <w:trHeight w:val="188"/>
        </w:trPr>
        <w:tc>
          <w:tcPr>
            <w:tcW w:w="31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color w:val="auto"/>
                <w:w w:val="96"/>
              </w:rPr>
              <w:t>March 31,</w:t>
            </w:r>
          </w:p>
        </w:tc>
      </w:tr>
      <w:tr>
        <w:trPr>
          <w:trHeight w:val="19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color w:val="auto"/>
                <w:w w:val="89"/>
              </w:rPr>
              <w:t>2020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Owned film and television costs</w:t>
            </w:r>
          </w:p>
        </w:tc>
        <w:tc>
          <w:tcPr>
            <w:tcW w:w="70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1,788</w:t>
            </w:r>
          </w:p>
        </w:tc>
      </w:tr>
      <w:tr>
        <w:trPr>
          <w:trHeight w:val="270"/>
        </w:trPr>
        <w:tc>
          <w:tcPr>
            <w:tcW w:w="3100" w:type="dxa"/>
            <w:vAlign w:val="bottom"/>
          </w:tcPr>
          <w:p>
            <w:pPr>
              <w:ind w:left="40"/>
              <w:spacing w:after="0"/>
              <w:rPr>
                <w:sz w:val="20"/>
                <w:szCs w:val="20"/>
                <w:color w:val="auto"/>
              </w:rPr>
            </w:pPr>
            <w:r>
              <w:rPr>
                <w:rFonts w:ascii="Arial" w:cs="Arial" w:eastAsia="Arial" w:hAnsi="Arial"/>
                <w:sz w:val="18"/>
                <w:szCs w:val="18"/>
                <w:color w:val="auto"/>
              </w:rPr>
              <w:t>Programming rights</w:t>
            </w:r>
          </w:p>
        </w:tc>
        <w:tc>
          <w:tcPr>
            <w:tcW w:w="70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2,664</w:t>
            </w:r>
          </w:p>
        </w:tc>
      </w:tr>
      <w:tr>
        <w:trPr>
          <w:trHeight w:val="27"/>
        </w:trPr>
        <w:tc>
          <w:tcPr>
            <w:tcW w:w="310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803"/>
        </w:trPr>
        <w:tc>
          <w:tcPr>
            <w:tcW w:w="3100" w:type="dxa"/>
            <w:vAlign w:val="bottom"/>
          </w:tcPr>
          <w:p>
            <w:pPr>
              <w:spacing w:after="0"/>
              <w:rPr>
                <w:sz w:val="24"/>
                <w:szCs w:val="24"/>
                <w:color w:val="auto"/>
              </w:rPr>
            </w:pPr>
          </w:p>
        </w:tc>
        <w:tc>
          <w:tcPr>
            <w:tcW w:w="6780" w:type="dxa"/>
            <w:vAlign w:val="bottom"/>
          </w:tcPr>
          <w:p>
            <w:pPr>
              <w:jc w:val="right"/>
              <w:ind w:right="413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4"/>
              </w:rPr>
              <w:t>March 31, 2020</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w w:val="99"/>
              </w:rPr>
              <w:t>December 31, 2019</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56"/>
        </w:trPr>
        <w:tc>
          <w:tcPr>
            <w:tcW w:w="5960" w:type="dxa"/>
            <w:vAlign w:val="bottom"/>
          </w:tcPr>
          <w:p>
            <w:pPr>
              <w:spacing w:after="0"/>
              <w:rPr>
                <w:sz w:val="13"/>
                <w:szCs w:val="13"/>
                <w:color w:val="auto"/>
              </w:rPr>
            </w:pPr>
          </w:p>
        </w:tc>
        <w:tc>
          <w:tcPr>
            <w:tcW w:w="1360" w:type="dxa"/>
            <w:vAlign w:val="bottom"/>
            <w:gridSpan w:val="2"/>
          </w:tcPr>
          <w:p>
            <w:pPr>
              <w:jc w:val="center"/>
              <w:spacing w:after="0" w:line="156" w:lineRule="exact"/>
              <w:rPr>
                <w:sz w:val="20"/>
                <w:szCs w:val="20"/>
                <w:color w:val="auto"/>
              </w:rPr>
            </w:pPr>
            <w:r>
              <w:rPr>
                <w:rFonts w:ascii="Arial" w:cs="Arial" w:eastAsia="Arial" w:hAnsi="Arial"/>
                <w:sz w:val="14"/>
                <w:szCs w:val="14"/>
                <w:color w:val="auto"/>
                <w:w w:val="96"/>
              </w:rPr>
              <w:t>Film and Television</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Costs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Film Costs</w:t>
            </w:r>
          </w:p>
        </w:tc>
        <w:tc>
          <w:tcPr>
            <w:tcW w:w="1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Television Costs</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Total</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Owned film and television costs: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8"/>
                <w:szCs w:val="18"/>
                <w:color w:val="auto"/>
              </w:rPr>
              <w:t>Released, less amortization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4,317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1,551</w:t>
            </w: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2,810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4,361</w:t>
            </w:r>
          </w:p>
        </w:tc>
      </w:tr>
      <w:tr>
        <w:trPr>
          <w:trHeight w:val="270"/>
        </w:trPr>
        <w:tc>
          <w:tcPr>
            <w:tcW w:w="5960" w:type="dxa"/>
            <w:vAlign w:val="bottom"/>
          </w:tcPr>
          <w:p>
            <w:pPr>
              <w:ind w:left="280"/>
              <w:spacing w:after="0"/>
              <w:rPr>
                <w:sz w:val="20"/>
                <w:szCs w:val="20"/>
                <w:color w:val="auto"/>
              </w:rPr>
            </w:pPr>
            <w:r>
              <w:rPr>
                <w:rFonts w:ascii="Arial" w:cs="Arial" w:eastAsia="Arial" w:hAnsi="Arial"/>
                <w:sz w:val="18"/>
                <w:szCs w:val="18"/>
                <w:color w:val="auto"/>
              </w:rPr>
              <w:t>Completed, not released</w:t>
            </w:r>
          </w:p>
        </w:tc>
        <w:tc>
          <w:tcPr>
            <w:tcW w:w="140" w:type="dxa"/>
            <w:vAlign w:val="bottom"/>
          </w:tcPr>
          <w:p>
            <w:pPr>
              <w:spacing w:after="0"/>
              <w:rPr>
                <w:sz w:val="23"/>
                <w:szCs w:val="23"/>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23"/>
                <w:szCs w:val="23"/>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187</w:t>
            </w:r>
          </w:p>
        </w:tc>
        <w:tc>
          <w:tcPr>
            <w:tcW w:w="520" w:type="dxa"/>
            <w:vAlign w:val="bottom"/>
          </w:tcPr>
          <w:p>
            <w:pPr>
              <w:spacing w:after="0"/>
              <w:rPr>
                <w:sz w:val="23"/>
                <w:szCs w:val="23"/>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187</w:t>
            </w:r>
          </w:p>
        </w:tc>
      </w:tr>
      <w:tr>
        <w:trPr>
          <w:trHeight w:val="270"/>
        </w:trPr>
        <w:tc>
          <w:tcPr>
            <w:tcW w:w="5960" w:type="dxa"/>
            <w:vAlign w:val="bottom"/>
          </w:tcPr>
          <w:p>
            <w:pPr>
              <w:ind w:left="280"/>
              <w:spacing w:after="0"/>
              <w:rPr>
                <w:sz w:val="20"/>
                <w:szCs w:val="20"/>
                <w:color w:val="auto"/>
              </w:rPr>
            </w:pPr>
            <w:r>
              <w:rPr>
                <w:rFonts w:ascii="Arial" w:cs="Arial" w:eastAsia="Arial" w:hAnsi="Arial"/>
                <w:sz w:val="18"/>
                <w:szCs w:val="18"/>
                <w:color w:val="auto"/>
              </w:rPr>
              <w:t>In production and in development</w:t>
            </w:r>
          </w:p>
        </w:tc>
        <w:tc>
          <w:tcPr>
            <w:tcW w:w="140" w:type="dxa"/>
            <w:vAlign w:val="bottom"/>
          </w:tcPr>
          <w:p>
            <w:pPr>
              <w:spacing w:after="0"/>
              <w:rPr>
                <w:sz w:val="23"/>
                <w:szCs w:val="23"/>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2,509</w:t>
            </w:r>
          </w:p>
        </w:tc>
        <w:tc>
          <w:tcPr>
            <w:tcW w:w="300" w:type="dxa"/>
            <w:vAlign w:val="bottom"/>
          </w:tcPr>
          <w:p>
            <w:pPr>
              <w:spacing w:after="0"/>
              <w:rPr>
                <w:sz w:val="23"/>
                <w:szCs w:val="23"/>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1,314</w:t>
            </w:r>
          </w:p>
        </w:tc>
        <w:tc>
          <w:tcPr>
            <w:tcW w:w="520" w:type="dxa"/>
            <w:vAlign w:val="bottom"/>
          </w:tcPr>
          <w:p>
            <w:pPr>
              <w:spacing w:after="0"/>
              <w:rPr>
                <w:sz w:val="23"/>
                <w:szCs w:val="23"/>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1,162</w:t>
            </w:r>
          </w:p>
        </w:tc>
        <w:tc>
          <w:tcPr>
            <w:tcW w:w="34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2,476</w:t>
            </w:r>
          </w:p>
        </w:tc>
      </w:tr>
      <w:tr>
        <w:trPr>
          <w:trHeight w:val="27"/>
        </w:trPr>
        <w:tc>
          <w:tcPr>
            <w:tcW w:w="5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7,064</w:t>
            </w:r>
          </w:p>
        </w:tc>
        <w:tc>
          <w:tcPr>
            <w:tcW w:w="300" w:type="dxa"/>
            <w:vAlign w:val="bottom"/>
          </w:tcPr>
          <w:p>
            <w:pPr>
              <w:spacing w:after="0"/>
              <w:rPr>
                <w:sz w:val="20"/>
                <w:szCs w:val="20"/>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3,052</w:t>
            </w:r>
          </w:p>
        </w:tc>
        <w:tc>
          <w:tcPr>
            <w:tcW w:w="52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3,972</w:t>
            </w:r>
          </w:p>
        </w:tc>
        <w:tc>
          <w:tcPr>
            <w:tcW w:w="3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7,024</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140" w:type="dxa"/>
            <w:vAlign w:val="bottom"/>
          </w:tcPr>
          <w:p>
            <w:pPr>
              <w:spacing w:after="0"/>
              <w:rPr>
                <w:sz w:val="23"/>
                <w:szCs w:val="23"/>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5,321</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5,786</w:t>
            </w:r>
          </w:p>
        </w:tc>
      </w:tr>
      <w:tr>
        <w:trPr>
          <w:trHeight w:val="27"/>
        </w:trPr>
        <w:tc>
          <w:tcPr>
            <w:tcW w:w="5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12,385</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12,810</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140" w:type="dxa"/>
            <w:vAlign w:val="bottom"/>
          </w:tcPr>
          <w:p>
            <w:pPr>
              <w:spacing w:after="0"/>
              <w:rPr>
                <w:sz w:val="23"/>
                <w:szCs w:val="23"/>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3,877</w:t>
            </w:r>
          </w:p>
        </w:tc>
      </w:tr>
      <w:tr>
        <w:trPr>
          <w:trHeight w:val="27"/>
        </w:trPr>
        <w:tc>
          <w:tcPr>
            <w:tcW w:w="5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12,385</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8,933</w:t>
            </w:r>
          </w:p>
        </w:tc>
      </w:tr>
      <w:tr>
        <w:trPr>
          <w:trHeight w:val="34"/>
        </w:trPr>
        <w:tc>
          <w:tcPr>
            <w:tcW w:w="5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summarizes estimated future amortization expense for the capitalized film and television costs recorded in our condensed consolidated balance sheet as of March 31,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Arial" w:cs="Arial" w:eastAsia="Arial" w:hAnsi="Arial"/>
                <w:sz w:val="14"/>
                <w:szCs w:val="14"/>
                <w:color w:val="auto"/>
              </w:rPr>
              <w:t>Owned Film and</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8"/>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Television Costs</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Programming Rights</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Completed, not released:</w:t>
            </w:r>
          </w:p>
        </w:tc>
        <w:tc>
          <w:tcPr>
            <w:tcW w:w="3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5440" w:type="dxa"/>
            <w:vAlign w:val="bottom"/>
          </w:tcPr>
          <w:p>
            <w:pPr>
              <w:ind w:left="180"/>
              <w:spacing w:after="0"/>
              <w:rPr>
                <w:sz w:val="20"/>
                <w:szCs w:val="20"/>
                <w:color w:val="auto"/>
              </w:rPr>
            </w:pPr>
            <w:r>
              <w:rPr>
                <w:rFonts w:ascii="Arial" w:cs="Arial" w:eastAsia="Arial" w:hAnsi="Arial"/>
                <w:sz w:val="18"/>
                <w:szCs w:val="18"/>
                <w:color w:val="auto"/>
              </w:rPr>
              <w:t>Remaining nine months of 2020</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119</w:t>
            </w: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0"/>
        </w:trPr>
        <w:tc>
          <w:tcPr>
            <w:tcW w:w="5440" w:type="dxa"/>
            <w:vAlign w:val="bottom"/>
          </w:tcPr>
          <w:p>
            <w:pPr>
              <w:ind w:left="40"/>
              <w:spacing w:after="0"/>
              <w:rPr>
                <w:sz w:val="20"/>
                <w:szCs w:val="20"/>
                <w:color w:val="auto"/>
              </w:rPr>
            </w:pPr>
            <w:r>
              <w:rPr>
                <w:rFonts w:ascii="Arial" w:cs="Arial" w:eastAsia="Arial" w:hAnsi="Arial"/>
                <w:sz w:val="18"/>
                <w:szCs w:val="18"/>
                <w:color w:val="auto"/>
              </w:rPr>
              <w:t>Released and programming rights:</w:t>
            </w:r>
          </w:p>
        </w:tc>
        <w:tc>
          <w:tcPr>
            <w:tcW w:w="3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440" w:type="dxa"/>
            <w:vAlign w:val="bottom"/>
          </w:tcPr>
          <w:p>
            <w:pPr>
              <w:ind w:left="180"/>
              <w:spacing w:after="0"/>
              <w:rPr>
                <w:sz w:val="20"/>
                <w:szCs w:val="20"/>
                <w:color w:val="auto"/>
              </w:rPr>
            </w:pPr>
            <w:r>
              <w:rPr>
                <w:rFonts w:ascii="Arial" w:cs="Arial" w:eastAsia="Arial" w:hAnsi="Arial"/>
                <w:sz w:val="18"/>
                <w:szCs w:val="18"/>
                <w:color w:val="auto"/>
              </w:rPr>
              <w:t>Remaining nine months of 2020</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1,485</w:t>
            </w:r>
          </w:p>
        </w:tc>
        <w:tc>
          <w:tcPr>
            <w:tcW w:w="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2,775</w:t>
            </w:r>
          </w:p>
        </w:tc>
      </w:tr>
      <w:tr>
        <w:trPr>
          <w:trHeight w:val="270"/>
        </w:trPr>
        <w:tc>
          <w:tcPr>
            <w:tcW w:w="5440" w:type="dxa"/>
            <w:vAlign w:val="bottom"/>
          </w:tcPr>
          <w:p>
            <w:pPr>
              <w:ind w:left="180"/>
              <w:spacing w:after="0"/>
              <w:rPr>
                <w:sz w:val="20"/>
                <w:szCs w:val="20"/>
                <w:color w:val="auto"/>
              </w:rPr>
            </w:pPr>
            <w:r>
              <w:rPr>
                <w:rFonts w:ascii="Arial" w:cs="Arial" w:eastAsia="Arial" w:hAnsi="Arial"/>
                <w:sz w:val="18"/>
                <w:szCs w:val="18"/>
                <w:color w:val="auto"/>
              </w:rPr>
              <w:t>2021</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672</w:t>
            </w:r>
          </w:p>
        </w:tc>
        <w:tc>
          <w:tcPr>
            <w:tcW w:w="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1,197</w:t>
            </w:r>
          </w:p>
        </w:tc>
      </w:tr>
      <w:tr>
        <w:trPr>
          <w:trHeight w:val="270"/>
        </w:trPr>
        <w:tc>
          <w:tcPr>
            <w:tcW w:w="5440" w:type="dxa"/>
            <w:vAlign w:val="bottom"/>
          </w:tcPr>
          <w:p>
            <w:pPr>
              <w:ind w:left="180"/>
              <w:spacing w:after="0"/>
              <w:rPr>
                <w:sz w:val="20"/>
                <w:szCs w:val="20"/>
                <w:color w:val="auto"/>
              </w:rPr>
            </w:pPr>
            <w:r>
              <w:rPr>
                <w:rFonts w:ascii="Arial" w:cs="Arial" w:eastAsia="Arial" w:hAnsi="Arial"/>
                <w:sz w:val="18"/>
                <w:szCs w:val="18"/>
                <w:color w:val="auto"/>
              </w:rPr>
              <w:t>2022</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418</w:t>
            </w:r>
          </w:p>
        </w:tc>
        <w:tc>
          <w:tcPr>
            <w:tcW w:w="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7"/>
        </w:trPr>
        <w:tc>
          <w:tcPr>
            <w:tcW w:w="5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and Recognition of Film and Television Costs</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capitalize costs for owned film and television content, including direct costs, production overhead, print costs, development costs and interest, as well as acquired libraries. Amortization for content predominantly monetized on an individual basis and accrued costs associated with participations and residual payments are recorded using the individual film forecast computation method, which recognizes the costs in the same ratio as the associated ultimate revenue. Estimates of ultimate revenue and total costs are based on anticipated release patterns, public acceptance and historical results for similar productions. Amortization for content predominantly monetized with other owned or licensed content is recorded based on estimated usage. In determining the method of amortization and estimated life of an acquired film or television library, we generally use the method and the life that most closely follow the undiscounted cash flows over the estimated life of the asset. We do not capitalize costs related to the distribution of a film in movie theaters or the licensing or sale of a film or television production, which primarily include costs associated with marketing and distribution.</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for the portion of the film acquired in these arrangements. We account for the proceeds received from the investor under these arrangements as a reduction of our capitalized film costs and the investor’s interest in the profit or loss of the film is recorded as either a charge or a benefit, respectively, in programming and production costs. The investor’s interest in the profit or loss of a film is recorded each period using the individual film forecast computation method.</w:t>
      </w:r>
    </w:p>
    <w:p>
      <w:pPr>
        <w:spacing w:after="0" w:line="1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capitalize the costs of programming rights for content that we license but do not own when the license period begins, the content is made available for use and the costs of programming licenses are known. Programming rights are amortized as the associated programs are broadcast.</w:t>
      </w:r>
    </w:p>
    <w:p>
      <w:pPr>
        <w:spacing w:after="0" w:line="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Owned film and television costs and programming rights are presented as noncurrent assets in film and television costs. We present amortization of film and television costs and accrued costs associated with participation and residual payments in programming and production costs.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an event or a change in circumstance occurs that was known or knowable as of the balance sheet date and that indicates the fair value of either owned film and television content or programming rights is less than the unamortized costs in the balance sheet,</w:t>
      </w:r>
    </w:p>
    <w:p>
      <w:pPr>
        <w:sectPr>
          <w:pgSz w:w="11900" w:h="16838" w:orient="portrait"/>
          <w:cols w:equalWidth="0" w:num="1">
            <w:col w:w="11240"/>
          </w:cols>
          <w:pgMar w:left="320" w:top="121" w:right="339"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determine the fair value and record an impairment charge to the extent the unamortized costs exceed the fair value. Owned film and television costs are assessed either individually or in identified film groups, for content predominantly monetized on an individual basis or with other content, respectively. The substantial majority of our owned film and television costs are evaluated for impairment on an individual title basis. Programming rights that are not part of a film group are generally assessed in packages, channels, or dayparts. A daypart is an aggregation of programs broadcast during a particular time of day or programs of a similar type. Programming rights licensed by Cable Networks are primarily tested on a channel basis for impairment, whereas programming rights licensed by Broadcast Television are tested on a daypart basis. Estimated fair values of owned film and television costs or programming rights are generally based on level 3 inputs including analysis of market participant estimates of future cash flows. We record charges related to impairments or content that is substantively abandoned to programming and production costs. Impairments of capitalized film and television costs were not material in any of the periods presented.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Sports Programming Rights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costs of multiyear, live-event sports programming rights as the rights are utilized over the contract term based on estimated relative value. Estimated relative value is generally based on the ratio of the current period revenue to the estimated ultimate revenue or the terms of the contract. When cash payments, including advanced payments, exceed the relative value of the programming delivered, we recognize an asset in programming rights. Production costs incurred in advance of airing are also presented in programming rights.</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Earnings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color w:val="auto"/>
                <w:w w:val="99"/>
              </w:rPr>
              <w:t>Three Months Ended March 31,</w:t>
            </w: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302"/>
              <w:spacing w:after="0" w:line="156" w:lineRule="exact"/>
              <w:rPr>
                <w:sz w:val="20"/>
                <w:szCs w:val="20"/>
                <w:color w:val="auto"/>
              </w:rPr>
            </w:pPr>
            <w:r>
              <w:rPr>
                <w:rFonts w:ascii="Arial" w:cs="Arial" w:eastAsia="Arial" w:hAnsi="Arial"/>
                <w:sz w:val="14"/>
                <w:szCs w:val="14"/>
                <w:color w:val="auto"/>
                <w:w w:val="92"/>
              </w:rPr>
              <w:t>Net Income</w:t>
            </w: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282"/>
              <w:spacing w:after="0" w:line="156"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9"/>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9"/>
              </w:rPr>
              <w:t>Attributable to</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26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28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25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Amount</w:t>
            </w:r>
          </w:p>
        </w:tc>
      </w:tr>
      <w:tr>
        <w:trPr>
          <w:trHeight w:val="228"/>
        </w:trPr>
        <w:tc>
          <w:tcPr>
            <w:tcW w:w="3280" w:type="dxa"/>
            <w:vAlign w:val="bottom"/>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28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262"/>
              <w:spacing w:after="0"/>
              <w:rPr>
                <w:sz w:val="20"/>
                <w:szCs w:val="20"/>
                <w:color w:val="auto"/>
              </w:rPr>
            </w:pPr>
            <w:r>
              <w:rPr>
                <w:rFonts w:ascii="Arial" w:cs="Arial" w:eastAsia="Arial" w:hAnsi="Arial"/>
                <w:sz w:val="18"/>
                <w:szCs w:val="18"/>
                <w:color w:val="auto"/>
              </w:rPr>
              <w:t>2,147</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4,562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0.47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42"/>
              <w:spacing w:after="0"/>
              <w:rPr>
                <w:sz w:val="20"/>
                <w:szCs w:val="20"/>
                <w:color w:val="auto"/>
              </w:rPr>
            </w:pPr>
            <w:r>
              <w:rPr>
                <w:rFonts w:ascii="Arial" w:cs="Arial" w:eastAsia="Arial" w:hAnsi="Arial"/>
                <w:sz w:val="18"/>
                <w:szCs w:val="18"/>
                <w:color w:val="auto"/>
              </w:rPr>
              <w:t>3,553</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4,534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0.78</w:t>
            </w:r>
          </w:p>
        </w:tc>
      </w:tr>
      <w:tr>
        <w:trPr>
          <w:trHeight w:val="270"/>
        </w:trPr>
        <w:tc>
          <w:tcPr>
            <w:tcW w:w="32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6"/>
        </w:trPr>
        <w:tc>
          <w:tcPr>
            <w:tcW w:w="328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328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28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262"/>
              <w:spacing w:after="0"/>
              <w:rPr>
                <w:sz w:val="20"/>
                <w:szCs w:val="20"/>
                <w:color w:val="auto"/>
              </w:rPr>
            </w:pPr>
            <w:r>
              <w:rPr>
                <w:rFonts w:ascii="Arial" w:cs="Arial" w:eastAsia="Arial" w:hAnsi="Arial"/>
                <w:sz w:val="18"/>
                <w:szCs w:val="18"/>
                <w:b w:val="1"/>
                <w:bCs w:val="1"/>
                <w:color w:val="auto"/>
              </w:rPr>
              <w:t>2,147</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4,617</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b w:val="1"/>
                <w:bCs w:val="1"/>
                <w:color w:val="auto"/>
              </w:rPr>
              <w:t>0.46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242"/>
              <w:spacing w:after="0"/>
              <w:rPr>
                <w:sz w:val="20"/>
                <w:szCs w:val="20"/>
                <w:color w:val="auto"/>
              </w:rPr>
            </w:pPr>
            <w:r>
              <w:rPr>
                <w:rFonts w:ascii="Arial" w:cs="Arial" w:eastAsia="Arial" w:hAnsi="Arial"/>
                <w:sz w:val="18"/>
                <w:szCs w:val="18"/>
                <w:b w:val="1"/>
                <w:bCs w:val="1"/>
                <w:color w:val="auto"/>
              </w:rPr>
              <w:t>3,553</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4,594</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8"/>
                <w:szCs w:val="18"/>
                <w:b w:val="1"/>
                <w:bCs w:val="1"/>
                <w:color w:val="auto"/>
              </w:rPr>
              <w:t>0.77</w:t>
            </w:r>
          </w:p>
        </w:tc>
      </w:tr>
      <w:tr>
        <w:trPr>
          <w:trHeight w:val="34"/>
        </w:trPr>
        <w:tc>
          <w:tcPr>
            <w:tcW w:w="3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common stock. The amount of potential common shares related to our share-based compensation plans that were excluded from diluted EPS because their effect would have been antidilutive was not material for the three months ended March 31, 2020 or 2019.</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2020, our debt had a carrying value of $103.6 billion and an estimated fair value of $118.8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Sky repaid at maturity $655 million (using the exchange rate on the date of repayment) aggregate principal amount of senior floating rate notes due 2020.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As of March 31, 2020, Universal Beijing Resort had $1.5 billion principal amount of a term loan outstanding under the debt financing agreement.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2020, our condensed consolidated balance sheet included assets, primarily property and equipment, and liabilities, including the term loan, of Universal Beijing Resort totaling $3.4 billion and $2.3 billion,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2019, the Financial Accounting Standards Board (“FASB”) updated the accounting guidance related to film and television costs. The updated guidance aligned the accounting for production costs of episodic television series with those of films, allowing for costs to be capitalized in excess of amounts of revenue contracted for each episode. The guidance also updated certain presentation and disclosure requirements for capitalized film and television costs, and when content is predominantly monetized with other owned or licensed content the guidance requires impairment testing for capitalized film and television costs to be performed at a film group level and amortization to be based on usage. We adopted the updated guidance on January 1, 2020 on a prospective basis and as a result, prior period amounts were not adjusted.</w:t>
      </w: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adoption, we now present all film and television costs, including acquired programming rights previously classified as current, as noncurrent in the condensed consolidated balance sheet. The adoption of the updated accounting guidance did not have a material impact on our consolidated results of operations or financial position. See Note 4 for further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2016, the FASB updated the accounting guidance related to the measurement of credit losses on financial instruments, including trade receivables and loans. The updated guidance requires the recognition of credit losses on financial instruments based on an estimate of expected losses, replacing the incurred loss model in the prior guidance. We adopted the updated guidance on January 1, 2020 on a prospective basis recording $124 million, net of tax, as a cumulative effect adjustment to retained earnings and as a result, prior period amounts were not adjusted. The adoption of the updated accounting guidance did not have a material impact on our consolidated results of operations or financial position for any periods presented.</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Investments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60" w:type="dxa"/>
            <w:vAlign w:val="bottom"/>
            <w:gridSpan w:val="3"/>
          </w:tcPr>
          <w:p>
            <w:pPr>
              <w:jc w:val="right"/>
              <w:ind w:right="854"/>
              <w:spacing w:after="0"/>
              <w:rPr>
                <w:sz w:val="20"/>
                <w:szCs w:val="20"/>
                <w:color w:val="auto"/>
              </w:rPr>
            </w:pPr>
            <w:r>
              <w:rPr>
                <w:rFonts w:ascii="Arial" w:cs="Arial" w:eastAsia="Arial" w:hAnsi="Arial"/>
                <w:sz w:val="14"/>
                <w:szCs w:val="14"/>
                <w:color w:val="auto"/>
              </w:rPr>
              <w:t>Three Months Ended</w:t>
            </w:r>
          </w:p>
        </w:tc>
      </w:tr>
      <w:tr>
        <w:trPr>
          <w:trHeight w:val="188"/>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1200" w:type="dxa"/>
            <w:vAlign w:val="bottom"/>
            <w:tcBorders>
              <w:bottom w:val="single" w:sz="8" w:color="auto"/>
            </w:tcBorders>
          </w:tcPr>
          <w:p>
            <w:pPr>
              <w:spacing w:after="0"/>
              <w:rPr>
                <w:sz w:val="16"/>
                <w:szCs w:val="16"/>
                <w:color w:val="auto"/>
              </w:rPr>
            </w:pP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(668)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262</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280" w:type="dxa"/>
            <w:vAlign w:val="bottom"/>
          </w:tcPr>
          <w:p>
            <w:pPr>
              <w:spacing w:after="0"/>
              <w:rPr>
                <w:sz w:val="23"/>
                <w:szCs w:val="23"/>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214</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80" w:type="dxa"/>
            <w:vAlign w:val="bottom"/>
          </w:tcPr>
          <w:p>
            <w:pPr>
              <w:spacing w:after="0"/>
              <w:rPr>
                <w:sz w:val="23"/>
                <w:szCs w:val="23"/>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200</w:t>
            </w:r>
          </w:p>
        </w:tc>
      </w:tr>
      <w:tr>
        <w:trPr>
          <w:trHeight w:val="27"/>
        </w:trPr>
        <w:tc>
          <w:tcPr>
            <w:tcW w:w="8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55"/>
              <w:spacing w:after="0"/>
              <w:rPr>
                <w:sz w:val="20"/>
                <w:szCs w:val="20"/>
                <w:color w:val="auto"/>
              </w:rPr>
            </w:pPr>
            <w:r>
              <w:rPr>
                <w:rFonts w:ascii="Arial" w:cs="Arial" w:eastAsia="Arial" w:hAnsi="Arial"/>
                <w:sz w:val="18"/>
                <w:szCs w:val="18"/>
                <w:b w:val="1"/>
                <w:bCs w:val="1"/>
                <w:color w:val="auto"/>
              </w:rPr>
              <w:t>(716)</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676</w:t>
            </w:r>
          </w:p>
        </w:tc>
      </w:tr>
      <w:tr>
        <w:trPr>
          <w:trHeight w:val="34"/>
        </w:trPr>
        <w:tc>
          <w:tcPr>
            <w:tcW w:w="8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751"/>
        </w:trPr>
        <w:tc>
          <w:tcPr>
            <w:tcW w:w="8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455"/>
              <w:spacing w:after="0"/>
              <w:rPr>
                <w:sz w:val="20"/>
                <w:szCs w:val="20"/>
                <w:color w:val="auto"/>
              </w:rPr>
            </w:pPr>
            <w:r>
              <w:rPr>
                <w:rFonts w:ascii="Arial" w:cs="Arial" w:eastAsia="Arial" w:hAnsi="Arial"/>
                <w:sz w:val="14"/>
                <w:szCs w:val="14"/>
                <w:color w:val="auto"/>
              </w:rPr>
              <w:t>March 31,</w:t>
            </w:r>
          </w:p>
        </w:tc>
        <w:tc>
          <w:tcPr>
            <w:tcW w:w="380" w:type="dxa"/>
            <w:vAlign w:val="bottom"/>
          </w:tcPr>
          <w:p>
            <w:pPr>
              <w:spacing w:after="0"/>
              <w:rPr>
                <w:sz w:val="24"/>
                <w:szCs w:val="24"/>
                <w:color w:val="auto"/>
              </w:rPr>
            </w:pPr>
          </w:p>
        </w:tc>
        <w:tc>
          <w:tcPr>
            <w:tcW w:w="1200" w:type="dxa"/>
            <w:vAlign w:val="bottom"/>
          </w:tcPr>
          <w:p>
            <w:pPr>
              <w:jc w:val="right"/>
              <w:ind w:right="254"/>
              <w:spacing w:after="0"/>
              <w:rPr>
                <w:sz w:val="20"/>
                <w:szCs w:val="20"/>
                <w:color w:val="auto"/>
              </w:rPr>
            </w:pPr>
            <w:r>
              <w:rPr>
                <w:rFonts w:ascii="Arial" w:cs="Arial" w:eastAsia="Arial" w:hAnsi="Arial"/>
                <w:sz w:val="14"/>
                <w:szCs w:val="14"/>
                <w:color w:val="auto"/>
                <w:w w:val="95"/>
              </w:rPr>
              <w:t>December 31,</w:t>
            </w:r>
          </w:p>
        </w:tc>
      </w:tr>
      <w:tr>
        <w:trPr>
          <w:trHeight w:val="188"/>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r>
      <w:tr>
        <w:trPr>
          <w:trHeight w:val="242"/>
        </w:trPr>
        <w:tc>
          <w:tcPr>
            <w:tcW w:w="81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4,777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5,347</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Pr>
          <w:p>
            <w:pPr>
              <w:spacing w:after="0"/>
              <w:rPr>
                <w:sz w:val="23"/>
                <w:szCs w:val="23"/>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320</w:t>
            </w:r>
          </w:p>
        </w:tc>
        <w:tc>
          <w:tcPr>
            <w:tcW w:w="3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353</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280" w:type="dxa"/>
            <w:vAlign w:val="bottom"/>
          </w:tcPr>
          <w:p>
            <w:pPr>
              <w:spacing w:after="0"/>
              <w:rPr>
                <w:sz w:val="23"/>
                <w:szCs w:val="23"/>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1,892</w:t>
            </w:r>
          </w:p>
        </w:tc>
        <w:tc>
          <w:tcPr>
            <w:tcW w:w="3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1,896</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3"/>
                <w:szCs w:val="23"/>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1,794</w:t>
            </w:r>
          </w:p>
        </w:tc>
        <w:tc>
          <w:tcPr>
            <w:tcW w:w="3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1,796</w:t>
            </w:r>
          </w:p>
        </w:tc>
      </w:tr>
      <w:tr>
        <w:trPr>
          <w:trHeight w:val="27"/>
        </w:trPr>
        <w:tc>
          <w:tcPr>
            <w:tcW w:w="8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81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280" w:type="dxa"/>
            <w:vAlign w:val="bottom"/>
          </w:tcPr>
          <w:p>
            <w:pPr>
              <w:spacing w:after="0"/>
              <w:rPr>
                <w:sz w:val="20"/>
                <w:szCs w:val="20"/>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8,783</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9,392</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280" w:type="dxa"/>
            <w:vAlign w:val="bottom"/>
          </w:tcPr>
          <w:p>
            <w:pPr>
              <w:spacing w:after="0"/>
              <w:rPr>
                <w:sz w:val="23"/>
                <w:szCs w:val="23"/>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1,703</w:t>
            </w:r>
          </w:p>
        </w:tc>
        <w:tc>
          <w:tcPr>
            <w:tcW w:w="3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1,709</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Less: Investment securing collateralized obligation</w:t>
            </w:r>
          </w:p>
        </w:tc>
        <w:tc>
          <w:tcPr>
            <w:tcW w:w="280" w:type="dxa"/>
            <w:vAlign w:val="bottom"/>
          </w:tcPr>
          <w:p>
            <w:pPr>
              <w:spacing w:after="0"/>
              <w:rPr>
                <w:sz w:val="23"/>
                <w:szCs w:val="23"/>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612</w:t>
            </w:r>
          </w:p>
        </w:tc>
        <w:tc>
          <w:tcPr>
            <w:tcW w:w="3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694</w:t>
            </w:r>
          </w:p>
        </w:tc>
      </w:tr>
      <w:tr>
        <w:trPr>
          <w:trHeight w:val="27"/>
        </w:trPr>
        <w:tc>
          <w:tcPr>
            <w:tcW w:w="8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15"/>
              <w:spacing w:after="0"/>
              <w:rPr>
                <w:sz w:val="20"/>
                <w:szCs w:val="20"/>
                <w:color w:val="auto"/>
              </w:rPr>
            </w:pPr>
            <w:r>
              <w:rPr>
                <w:rFonts w:ascii="Arial" w:cs="Arial" w:eastAsia="Arial" w:hAnsi="Arial"/>
                <w:sz w:val="18"/>
                <w:szCs w:val="18"/>
                <w:b w:val="1"/>
                <w:bCs w:val="1"/>
                <w:color w:val="auto"/>
              </w:rPr>
              <w:t>6,468</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6,989</w:t>
            </w:r>
          </w:p>
        </w:tc>
      </w:tr>
      <w:tr>
        <w:trPr>
          <w:trHeight w:val="34"/>
        </w:trPr>
        <w:tc>
          <w:tcPr>
            <w:tcW w:w="8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three months ended March 31, 2020 and 2019, we recognized losses of $581 million and income of $374 million, respectively. For the three months ended March 31, 2020 and 2019, we made cash capital contributions totaling $12 million and $37 million, respectively, to Atairos. As of March 31, 2020 and December 31, 2019, our investment was $2.8 billion and $3.2 billion,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 and Collateralized Obligation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2020 and 2019, we recognized our proportionate share of Hulu’s losses of $82 million and $141 million, respectively, in equity in net income (losses) of investees, net and in the first quarter 2019, we recognized a previously deferred dilution gain of $159 million. For the three months ended March 31, 2019, we made cash capital contributions totaling $233 million to Hulu. There were no cash capital contributions made during the three months ended March 31, 2020. As of March 31, 2020 and December 31, 2019, our investment was $612 million and $694 million, respectively.</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we borrowed $5.2 billion under a term loan facility due March 2024 which is fully collateralized by the minimum guaranteed proceeds of the put/call option related to our investment in Hulu. As of March 31, 2020, the carrying value and fair value of our collateralized obligation was $5.2 billion. The estimated fair value was based on level 2 inputs that use interest rates for debt with similar terms and remaining maturities. We present our investment in Hulu and the term loan separately in our condensed consolidated balance sheet in the captions “investment securing collateralized obligation” and “collateralized obligation,” respectively. The recorded value of our investment reflects our historical cost in applying the equity method, and as a result, is less than its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Peloton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Peloton’s initial public offering in September 2019, we present our investment in marketable equity securities, which was previously presented in nonmarketable equity securities. For the three months ended March 31, 2020, we recognized unrealized losses of $19 million in realized and unrealized gains (losses) on equity securities, net. As of March 31, 2020 and December 31, 2019, our investment in Peloton was $275 million and $294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2019, we sold our investment in Snap. For the three months ended March 31, 2019, we recognized unrealized gains of $162 million in realized and unrealized gains (losses) on equity securities,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and December 31, 2019, our investment in the two series of preferred stock of Verizon Americas, Inc., formerly known as AirTouch Communications, Inc. (“AirTouch”) was $1.7 billion and $1.6 billion, respectively, and the associated liability related to redeemable subsidiary preferred shares was $1.7 billion as of both dates.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AirTouch redeemed the preferred stock and we received cash payments totaling $1.7 billion. Subsequently, we redeemed and repurchased the three series of subsidiary preferred stock and made cash payments totaling $1.8 billion.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Intangible Assets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color w:val="auto"/>
              </w:rPr>
              <w:t>March 31, 2020</w:t>
            </w: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color w:val="auto"/>
              </w:rPr>
              <w:t>December 31, 2019</w:t>
            </w:r>
          </w:p>
        </w:tc>
        <w:tc>
          <w:tcPr>
            <w:tcW w:w="20" w:type="dxa"/>
            <w:vAlign w:val="bottom"/>
          </w:tcPr>
          <w:p>
            <w:pPr>
              <w:spacing w:after="0"/>
              <w:rPr>
                <w:sz w:val="16"/>
                <w:szCs w:val="16"/>
                <w:color w:val="auto"/>
              </w:rPr>
            </w:pPr>
          </w:p>
        </w:tc>
      </w:tr>
      <w:tr>
        <w:trPr>
          <w:trHeight w:val="156"/>
        </w:trPr>
        <w:tc>
          <w:tcPr>
            <w:tcW w:w="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800" w:type="dxa"/>
            <w:vAlign w:val="bottom"/>
            <w:gridSpan w:val="2"/>
          </w:tcPr>
          <w:p>
            <w:pPr>
              <w:jc w:val="right"/>
              <w:ind w:right="360"/>
              <w:spacing w:after="0" w:line="156" w:lineRule="exact"/>
              <w:rPr>
                <w:sz w:val="20"/>
                <w:szCs w:val="20"/>
                <w:color w:val="auto"/>
              </w:rPr>
            </w:pPr>
            <w:r>
              <w:rPr>
                <w:rFonts w:ascii="Arial" w:cs="Arial" w:eastAsia="Arial" w:hAnsi="Arial"/>
                <w:sz w:val="14"/>
                <w:szCs w:val="14"/>
                <w:color w:val="auto"/>
              </w:rPr>
              <w:t>Weighted-Average</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Gross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15"/>
              <w:spacing w:after="0" w:line="156" w:lineRule="exact"/>
              <w:rPr>
                <w:sz w:val="20"/>
                <w:szCs w:val="20"/>
                <w:color w:val="auto"/>
              </w:rPr>
            </w:pPr>
            <w:r>
              <w:rPr>
                <w:rFonts w:ascii="Arial" w:cs="Arial" w:eastAsia="Arial" w:hAnsi="Arial"/>
                <w:sz w:val="14"/>
                <w:szCs w:val="14"/>
                <w:color w:val="auto"/>
              </w:rPr>
              <w:t>Gross</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Original Useful Life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280" w:type="dxa"/>
            <w:vAlign w:val="bottom"/>
          </w:tcPr>
          <w:p>
            <w:pPr>
              <w:spacing w:after="0"/>
              <w:rPr>
                <w:sz w:val="12"/>
                <w:szCs w:val="12"/>
                <w:color w:val="auto"/>
              </w:rPr>
            </w:pPr>
          </w:p>
        </w:tc>
        <w:tc>
          <w:tcPr>
            <w:tcW w:w="980" w:type="dxa"/>
            <w:vAlign w:val="bottom"/>
          </w:tcPr>
          <w:p>
            <w:pPr>
              <w:jc w:val="right"/>
              <w:ind w:right="16"/>
              <w:spacing w:after="0" w:line="149" w:lineRule="exact"/>
              <w:rPr>
                <w:sz w:val="20"/>
                <w:szCs w:val="20"/>
                <w:color w:val="auto"/>
              </w:rPr>
            </w:pPr>
            <w:r>
              <w:rPr>
                <w:rFonts w:ascii="Arial" w:cs="Arial" w:eastAsia="Arial" w:hAnsi="Arial"/>
                <w:sz w:val="14"/>
                <w:szCs w:val="14"/>
                <w:color w:val="auto"/>
              </w:rPr>
              <w:t>Accumulated</w:t>
            </w:r>
          </w:p>
        </w:tc>
        <w:tc>
          <w:tcPr>
            <w:tcW w:w="340" w:type="dxa"/>
            <w:vAlign w:val="bottom"/>
          </w:tcPr>
          <w:p>
            <w:pPr>
              <w:spacing w:after="0"/>
              <w:rPr>
                <w:sz w:val="12"/>
                <w:szCs w:val="12"/>
                <w:color w:val="auto"/>
              </w:rPr>
            </w:pPr>
          </w:p>
        </w:tc>
        <w:tc>
          <w:tcPr>
            <w:tcW w:w="880" w:type="dxa"/>
            <w:vAlign w:val="bottom"/>
          </w:tcPr>
          <w:p>
            <w:pPr>
              <w:jc w:val="right"/>
              <w:ind w:right="15"/>
              <w:spacing w:after="0" w:line="149" w:lineRule="exact"/>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2"/>
                <w:szCs w:val="12"/>
                <w:color w:val="auto"/>
              </w:rPr>
            </w:pPr>
          </w:p>
        </w:tc>
        <w:tc>
          <w:tcPr>
            <w:tcW w:w="10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2"/>
                <w:szCs w:val="12"/>
                <w:color w:val="auto"/>
              </w:rPr>
            </w:pPr>
          </w:p>
        </w:tc>
      </w:tr>
      <w:tr>
        <w:trPr>
          <w:trHeight w:val="188"/>
        </w:trPr>
        <w:tc>
          <w:tcPr>
            <w:tcW w:w="40" w:type="dxa"/>
            <w:vAlign w:val="bottom"/>
          </w:tcPr>
          <w:p>
            <w:pPr>
              <w:spacing w:after="0"/>
              <w:rPr>
                <w:sz w:val="16"/>
                <w:szCs w:val="16"/>
                <w:color w:val="auto"/>
              </w:rPr>
            </w:pP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as of March 31, 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Amortization</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6"/>
                <w:szCs w:val="16"/>
                <w:color w:val="auto"/>
              </w:rPr>
            </w:pPr>
          </w:p>
        </w:tc>
      </w:tr>
      <w:tr>
        <w:trPr>
          <w:trHeight w:val="243"/>
        </w:trPr>
        <w:tc>
          <w:tcPr>
            <w:tcW w:w="4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Indefinite-Lived Intangible Assets:</w:t>
            </w:r>
          </w:p>
        </w:tc>
        <w:tc>
          <w:tcPr>
            <w:tcW w:w="2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Franchise rights</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N/A $</w:t>
            </w:r>
          </w:p>
        </w:tc>
        <w:tc>
          <w:tcPr>
            <w:tcW w:w="860" w:type="dxa"/>
            <w:vAlign w:val="bottom"/>
          </w:tcPr>
          <w:p>
            <w:pPr>
              <w:jc w:val="right"/>
              <w:spacing w:after="0"/>
              <w:rPr>
                <w:sz w:val="20"/>
                <w:szCs w:val="20"/>
                <w:color w:val="auto"/>
              </w:rPr>
            </w:pPr>
            <w:r>
              <w:rPr>
                <w:rFonts w:ascii="Arial" w:cs="Arial" w:eastAsia="Arial" w:hAnsi="Arial"/>
                <w:sz w:val="18"/>
                <w:szCs w:val="18"/>
                <w:color w:val="auto"/>
              </w:rPr>
              <w:t>59,365</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59,365</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Trade names</w:t>
            </w:r>
          </w:p>
        </w:tc>
        <w:tc>
          <w:tcPr>
            <w:tcW w:w="280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8,809</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FCC licenses</w:t>
            </w:r>
          </w:p>
        </w:tc>
        <w:tc>
          <w:tcPr>
            <w:tcW w:w="280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860" w:type="dxa"/>
            <w:vAlign w:val="bottom"/>
          </w:tcPr>
          <w:p>
            <w:pPr>
              <w:jc w:val="right"/>
              <w:spacing w:after="0"/>
              <w:rPr>
                <w:sz w:val="20"/>
                <w:szCs w:val="20"/>
                <w:color w:val="auto"/>
              </w:rPr>
            </w:pPr>
            <w:r>
              <w:rPr>
                <w:rFonts w:ascii="Arial" w:cs="Arial" w:eastAsia="Arial" w:hAnsi="Arial"/>
                <w:sz w:val="18"/>
                <w:szCs w:val="18"/>
                <w:color w:val="auto"/>
              </w:rPr>
              <w:t>2,337</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2,337</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Finite-Lived Intangible Assets:</w:t>
            </w:r>
          </w:p>
        </w:tc>
        <w:tc>
          <w:tcPr>
            <w:tcW w:w="2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800" w:type="dxa"/>
            <w:vAlign w:val="bottom"/>
            <w:gridSpan w:val="2"/>
          </w:tcPr>
          <w:p>
            <w:pPr>
              <w:jc w:val="right"/>
              <w:ind w:right="360"/>
              <w:spacing w:after="0"/>
              <w:rPr>
                <w:sz w:val="20"/>
                <w:szCs w:val="20"/>
                <w:color w:val="auto"/>
              </w:rPr>
            </w:pPr>
            <w:r>
              <w:rPr>
                <w:rFonts w:ascii="Arial" w:cs="Arial" w:eastAsia="Arial" w:hAnsi="Arial"/>
                <w:sz w:val="18"/>
                <w:szCs w:val="18"/>
                <w:color w:val="auto"/>
              </w:rPr>
              <w:t>14 years</w:t>
            </w:r>
          </w:p>
        </w:tc>
        <w:tc>
          <w:tcPr>
            <w:tcW w:w="860" w:type="dxa"/>
            <w:vAlign w:val="bottom"/>
          </w:tcPr>
          <w:p>
            <w:pPr>
              <w:jc w:val="right"/>
              <w:spacing w:after="0"/>
              <w:rPr>
                <w:sz w:val="20"/>
                <w:szCs w:val="20"/>
                <w:color w:val="auto"/>
              </w:rPr>
            </w:pPr>
            <w:r>
              <w:rPr>
                <w:rFonts w:ascii="Arial" w:cs="Arial" w:eastAsia="Arial" w:hAnsi="Arial"/>
                <w:sz w:val="18"/>
                <w:szCs w:val="18"/>
                <w:color w:val="auto"/>
              </w:rPr>
              <w:t>21,236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(7,446)</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22,884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(8,295)</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800" w:type="dxa"/>
            <w:vAlign w:val="bottom"/>
            <w:gridSpan w:val="2"/>
          </w:tcPr>
          <w:p>
            <w:pPr>
              <w:jc w:val="right"/>
              <w:ind w:right="360"/>
              <w:spacing w:after="0"/>
              <w:rPr>
                <w:sz w:val="20"/>
                <w:szCs w:val="20"/>
                <w:color w:val="auto"/>
              </w:rPr>
            </w:pPr>
            <w:r>
              <w:rPr>
                <w:rFonts w:ascii="Arial" w:cs="Arial" w:eastAsia="Arial" w:hAnsi="Arial"/>
                <w:sz w:val="18"/>
                <w:szCs w:val="18"/>
                <w:color w:val="auto"/>
              </w:rPr>
              <w:t>5 years</w:t>
            </w:r>
          </w:p>
        </w:tc>
        <w:tc>
          <w:tcPr>
            <w:tcW w:w="860" w:type="dxa"/>
            <w:vAlign w:val="bottom"/>
          </w:tcPr>
          <w:p>
            <w:pPr>
              <w:jc w:val="right"/>
              <w:spacing w:after="0"/>
              <w:rPr>
                <w:sz w:val="20"/>
                <w:szCs w:val="20"/>
                <w:color w:val="auto"/>
              </w:rPr>
            </w:pPr>
            <w:r>
              <w:rPr>
                <w:rFonts w:ascii="Arial" w:cs="Arial" w:eastAsia="Arial" w:hAnsi="Arial"/>
                <w:sz w:val="18"/>
                <w:szCs w:val="18"/>
                <w:color w:val="auto"/>
              </w:rPr>
              <w:t>15,631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(7,742)</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15,357</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(7,287)</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Other agreements and rights</w:t>
            </w:r>
          </w:p>
        </w:tc>
        <w:tc>
          <w:tcPr>
            <w:tcW w:w="2800" w:type="dxa"/>
            <w:vAlign w:val="bottom"/>
            <w:gridSpan w:val="2"/>
          </w:tcPr>
          <w:p>
            <w:pPr>
              <w:jc w:val="right"/>
              <w:ind w:right="360"/>
              <w:spacing w:after="0"/>
              <w:rPr>
                <w:sz w:val="20"/>
                <w:szCs w:val="20"/>
                <w:color w:val="auto"/>
              </w:rPr>
            </w:pPr>
            <w:r>
              <w:rPr>
                <w:rFonts w:ascii="Arial" w:cs="Arial" w:eastAsia="Arial" w:hAnsi="Arial"/>
                <w:sz w:val="18"/>
                <w:szCs w:val="18"/>
                <w:color w:val="auto"/>
              </w:rPr>
              <w:t>28 years</w:t>
            </w:r>
          </w:p>
        </w:tc>
        <w:tc>
          <w:tcPr>
            <w:tcW w:w="860" w:type="dxa"/>
            <w:vAlign w:val="bottom"/>
          </w:tcPr>
          <w:p>
            <w:pPr>
              <w:jc w:val="right"/>
              <w:spacing w:after="0"/>
              <w:rPr>
                <w:sz w:val="20"/>
                <w:szCs w:val="20"/>
                <w:color w:val="auto"/>
              </w:rPr>
            </w:pPr>
            <w:r>
              <w:rPr>
                <w:rFonts w:ascii="Arial" w:cs="Arial" w:eastAsia="Arial" w:hAnsi="Arial"/>
                <w:sz w:val="18"/>
                <w:szCs w:val="18"/>
                <w:color w:val="auto"/>
              </w:rPr>
              <w:t>11,760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(1,104)</w:t>
            </w: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3,958</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110,329</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(16,292)</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112,710</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(17,217)</w:t>
            </w: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6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635"/>
        </w:trPr>
        <w:tc>
          <w:tcPr>
            <w:tcW w:w="6620" w:type="dxa"/>
            <w:vAlign w:val="bottom"/>
            <w:gridSpan w:val="4"/>
          </w:tcPr>
          <w:p>
            <w:pPr>
              <w:spacing w:after="0"/>
              <w:rPr>
                <w:sz w:val="20"/>
                <w:szCs w:val="20"/>
                <w:color w:val="auto"/>
              </w:rPr>
            </w:pPr>
            <w:r>
              <w:rPr>
                <w:rFonts w:ascii="Arial" w:cs="Arial" w:eastAsia="Arial" w:hAnsi="Arial"/>
                <w:sz w:val="18"/>
                <w:szCs w:val="18"/>
                <w:b w:val="1"/>
                <w:bCs w:val="1"/>
                <w:color w:val="auto"/>
              </w:rPr>
              <w:t>Estimated Amortization Expense of Finite-Lived Intangible Assets</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820" w:type="dxa"/>
            <w:vAlign w:val="bottom"/>
            <w:tcBorders>
              <w:bottom w:val="single" w:sz="8" w:color="auto"/>
            </w:tcBorders>
            <w:gridSpan w:val="2"/>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8"/>
        </w:trPr>
        <w:tc>
          <w:tcPr>
            <w:tcW w:w="3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24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Remaining nine months of 2020</w:t>
            </w:r>
          </w:p>
        </w:tc>
        <w:tc>
          <w:tcPr>
            <w:tcW w:w="2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3,381</w:t>
            </w:r>
          </w:p>
        </w:tc>
        <w:tc>
          <w:tcPr>
            <w:tcW w:w="20" w:type="dxa"/>
            <w:vAlign w:val="bottom"/>
          </w:tcPr>
          <w:p>
            <w:pPr>
              <w:spacing w:after="0"/>
              <w:rPr>
                <w:sz w:val="21"/>
                <w:szCs w:val="21"/>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2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4,107</w:t>
            </w:r>
          </w:p>
        </w:tc>
        <w:tc>
          <w:tcPr>
            <w:tcW w:w="20" w:type="dxa"/>
            <w:vAlign w:val="bottom"/>
          </w:tcPr>
          <w:p>
            <w:pPr>
              <w:spacing w:after="0"/>
              <w:rPr>
                <w:sz w:val="23"/>
                <w:szCs w:val="23"/>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2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3,539</w:t>
            </w:r>
          </w:p>
        </w:tc>
        <w:tc>
          <w:tcPr>
            <w:tcW w:w="20" w:type="dxa"/>
            <w:vAlign w:val="bottom"/>
          </w:tcPr>
          <w:p>
            <w:pPr>
              <w:spacing w:after="0"/>
              <w:rPr>
                <w:sz w:val="23"/>
                <w:szCs w:val="23"/>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2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2,951</w:t>
            </w:r>
          </w:p>
        </w:tc>
        <w:tc>
          <w:tcPr>
            <w:tcW w:w="20" w:type="dxa"/>
            <w:vAlign w:val="bottom"/>
          </w:tcPr>
          <w:p>
            <w:pPr>
              <w:spacing w:after="0"/>
              <w:rPr>
                <w:sz w:val="23"/>
                <w:szCs w:val="23"/>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2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2,451</w:t>
            </w:r>
          </w:p>
        </w:tc>
        <w:tc>
          <w:tcPr>
            <w:tcW w:w="2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Supplemental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2020, we granted 15.8 million RSUs and 59.9 million stock options related to our annual management awards. The weighted-average fair values associated with these grants were $42.47 per RSU and $6.53 per stock option.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141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127</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71</w:t>
            </w:r>
          </w:p>
        </w:tc>
        <w:tc>
          <w:tcPr>
            <w:tcW w:w="70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47</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8"/>
              <w:spacing w:after="0"/>
              <w:rPr>
                <w:sz w:val="20"/>
                <w:szCs w:val="20"/>
                <w:color w:val="auto"/>
              </w:rPr>
            </w:pPr>
            <w:r>
              <w:rPr>
                <w:rFonts w:ascii="Arial" w:cs="Arial" w:eastAsia="Arial" w:hAnsi="Arial"/>
                <w:sz w:val="18"/>
                <w:szCs w:val="18"/>
                <w:b w:val="1"/>
                <w:bCs w:val="1"/>
                <w:color w:val="auto"/>
              </w:rPr>
              <w:t>224</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183</w:t>
            </w:r>
          </w:p>
        </w:tc>
      </w:tr>
      <w:tr>
        <w:trPr>
          <w:trHeight w:val="34"/>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we had unrecognized pretax compensation expense of $1.6 billion and $760 million related to nonvested RSUs and nonvested stock options, respectively.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w w:val="94"/>
              </w:rPr>
              <w:t>Three Months Ended</w:t>
            </w:r>
          </w:p>
        </w:tc>
        <w:tc>
          <w:tcPr>
            <w:tcW w:w="900" w:type="dxa"/>
            <w:vAlign w:val="bottom"/>
          </w:tcPr>
          <w:p>
            <w:pPr>
              <w:spacing w:after="0"/>
              <w:rPr>
                <w:sz w:val="14"/>
                <w:szCs w:val="14"/>
                <w:color w:val="auto"/>
              </w:rPr>
            </w:pPr>
          </w:p>
        </w:tc>
      </w:tr>
      <w:tr>
        <w:trPr>
          <w:trHeight w:val="188"/>
        </w:trPr>
        <w:tc>
          <w:tcPr>
            <w:tcW w:w="8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w w:val="96"/>
              </w:rPr>
              <w:t>2019</w:t>
            </w:r>
          </w:p>
        </w:tc>
      </w:tr>
      <w:tr>
        <w:trPr>
          <w:trHeight w:val="242"/>
        </w:trPr>
        <w:tc>
          <w:tcPr>
            <w:tcW w:w="8100" w:type="dxa"/>
            <w:vAlign w:val="bottom"/>
          </w:tcPr>
          <w:p>
            <w:pPr>
              <w:ind w:left="40"/>
              <w:spacing w:after="0"/>
              <w:rPr>
                <w:sz w:val="20"/>
                <w:szCs w:val="20"/>
                <w:color w:val="auto"/>
              </w:rPr>
            </w:pPr>
            <w:r>
              <w:rPr>
                <w:rFonts w:ascii="Arial" w:cs="Arial" w:eastAsia="Arial" w:hAnsi="Arial"/>
                <w:sz w:val="18"/>
                <w:szCs w:val="18"/>
                <w:color w:val="auto"/>
              </w:rPr>
              <w:t>Interest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9"/>
              <w:spacing w:after="0"/>
              <w:rPr>
                <w:sz w:val="20"/>
                <w:szCs w:val="20"/>
                <w:color w:val="auto"/>
              </w:rPr>
            </w:pPr>
            <w:r>
              <w:rPr>
                <w:rFonts w:ascii="Arial" w:cs="Arial" w:eastAsia="Arial" w:hAnsi="Arial"/>
                <w:sz w:val="18"/>
                <w:szCs w:val="18"/>
                <w:color w:val="auto"/>
              </w:rPr>
              <w:t>991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970</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9"/>
              <w:spacing w:after="0"/>
              <w:rPr>
                <w:sz w:val="20"/>
                <w:szCs w:val="20"/>
                <w:color w:val="auto"/>
              </w:rPr>
            </w:pPr>
            <w:r>
              <w:rPr>
                <w:rFonts w:ascii="Arial" w:cs="Arial" w:eastAsia="Arial" w:hAnsi="Arial"/>
                <w:sz w:val="18"/>
                <w:szCs w:val="18"/>
                <w:color w:val="auto"/>
              </w:rPr>
              <w:t>281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189</w:t>
            </w:r>
          </w:p>
        </w:tc>
      </w:tr>
      <w:tr>
        <w:trPr>
          <w:trHeight w:val="27"/>
        </w:trPr>
        <w:tc>
          <w:tcPr>
            <w:tcW w:w="8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93"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1" w:right="339" w:bottom="993"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w:t>
      </w:r>
    </w:p>
    <w:p>
      <w:pPr>
        <w:spacing w:after="0" w:line="7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acquired $1.6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a liability of $1.1 billion for a quarterly cash dividend of $0.23 per common share to be paid in April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center"/>
              <w:ind w:right="316"/>
              <w:spacing w:after="0"/>
              <w:rPr>
                <w:sz w:val="20"/>
                <w:szCs w:val="20"/>
                <w:color w:val="auto"/>
              </w:rPr>
            </w:pPr>
            <w:r>
              <w:rPr>
                <w:rFonts w:ascii="Arial" w:cs="Arial" w:eastAsia="Arial" w:hAnsi="Arial"/>
                <w:sz w:val="14"/>
                <w:szCs w:val="14"/>
                <w:color w:val="auto"/>
                <w:w w:val="96"/>
              </w:rPr>
              <w:t>March 31,</w:t>
            </w:r>
          </w:p>
        </w:tc>
        <w:tc>
          <w:tcPr>
            <w:tcW w:w="340" w:type="dxa"/>
            <w:vAlign w:val="bottom"/>
          </w:tcPr>
          <w:p>
            <w:pPr>
              <w:spacing w:after="0"/>
              <w:rPr>
                <w:sz w:val="14"/>
                <w:szCs w:val="14"/>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color w:val="auto"/>
                <w:w w:val="93"/>
              </w:rPr>
              <w:t>December 31,</w:t>
            </w:r>
          </w:p>
        </w:tc>
      </w:tr>
      <w:tr>
        <w:trPr>
          <w:trHeight w:val="188"/>
        </w:trPr>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color w:val="auto"/>
                <w:w w:val="89"/>
              </w:rPr>
              <w:t>2020</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96"/>
              </w:rPr>
              <w:t>2019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8,516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5,500</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420" w:type="dxa"/>
            <w:vAlign w:val="bottom"/>
          </w:tcPr>
          <w:p>
            <w:pPr>
              <w:spacing w:after="0"/>
              <w:rPr>
                <w:sz w:val="23"/>
                <w:szCs w:val="23"/>
                <w:color w:val="auto"/>
              </w:rPr>
            </w:pP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42</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420" w:type="dxa"/>
            <w:vAlign w:val="bottom"/>
          </w:tcPr>
          <w:p>
            <w:pPr>
              <w:spacing w:after="0"/>
              <w:rPr>
                <w:sz w:val="23"/>
                <w:szCs w:val="23"/>
                <w:color w:val="auto"/>
              </w:rPr>
            </w:pP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47</w:t>
            </w:r>
          </w:p>
        </w:tc>
      </w:tr>
      <w:tr>
        <w:trPr>
          <w:trHeight w:val="27"/>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4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6"/>
              <w:spacing w:after="0"/>
              <w:rPr>
                <w:sz w:val="20"/>
                <w:szCs w:val="20"/>
                <w:color w:val="auto"/>
              </w:rPr>
            </w:pPr>
            <w:r>
              <w:rPr>
                <w:rFonts w:ascii="Arial" w:cs="Arial" w:eastAsia="Arial" w:hAnsi="Arial"/>
                <w:sz w:val="18"/>
                <w:szCs w:val="18"/>
                <w:b w:val="1"/>
                <w:bCs w:val="1"/>
                <w:color w:val="auto"/>
              </w:rPr>
              <w:t>8,609</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b w:val="1"/>
                <w:bCs w:val="1"/>
                <w:color w:val="auto"/>
              </w:rPr>
              <w:t>5,589</w:t>
            </w:r>
          </w:p>
        </w:tc>
      </w:tr>
      <w:tr>
        <w:trPr>
          <w:trHeight w:val="34"/>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621"/>
        </w:trPr>
        <w:tc>
          <w:tcPr>
            <w:tcW w:w="7960" w:type="dxa"/>
            <w:vAlign w:val="bottom"/>
          </w:tcPr>
          <w:p>
            <w:pPr>
              <w:ind w:left="3460"/>
              <w:spacing w:after="0"/>
              <w:rPr>
                <w:sz w:val="20"/>
                <w:szCs w:val="20"/>
                <w:color w:val="auto"/>
              </w:rPr>
            </w:pPr>
            <w:r>
              <w:rPr>
                <w:rFonts w:ascii="Arial" w:cs="Arial" w:eastAsia="Arial" w:hAnsi="Arial"/>
                <w:sz w:val="18"/>
                <w:szCs w:val="18"/>
                <w:b w:val="1"/>
                <w:bCs w:val="1"/>
                <w:color w:val="auto"/>
              </w:rPr>
              <w:t>Accumulated Other Comprehensive Income (Loss)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6"/>
        </w:trPr>
        <w:tc>
          <w:tcPr>
            <w:tcW w:w="7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center"/>
              <w:ind w:right="316"/>
              <w:spacing w:after="0"/>
              <w:rPr>
                <w:sz w:val="20"/>
                <w:szCs w:val="20"/>
                <w:color w:val="auto"/>
              </w:rPr>
            </w:pPr>
            <w:r>
              <w:rPr>
                <w:rFonts w:ascii="Arial" w:cs="Arial" w:eastAsia="Arial" w:hAnsi="Arial"/>
                <w:sz w:val="14"/>
                <w:szCs w:val="14"/>
                <w:color w:val="auto"/>
                <w:w w:val="96"/>
              </w:rPr>
              <w:t>March 31,</w:t>
            </w:r>
          </w:p>
        </w:tc>
        <w:tc>
          <w:tcPr>
            <w:tcW w:w="340" w:type="dxa"/>
            <w:vAlign w:val="bottom"/>
          </w:tcPr>
          <w:p>
            <w:pPr>
              <w:spacing w:after="0"/>
              <w:rPr>
                <w:sz w:val="24"/>
                <w:szCs w:val="24"/>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color w:val="auto"/>
                <w:w w:val="93"/>
              </w:rPr>
              <w:t>March 31,</w:t>
            </w:r>
          </w:p>
        </w:tc>
      </w:tr>
      <w:tr>
        <w:trPr>
          <w:trHeight w:val="188"/>
        </w:trPr>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color w:val="auto"/>
                <w:w w:val="89"/>
              </w:rPr>
              <w:t>2020</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96"/>
              </w:rPr>
              <w:t>2019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420" w:type="dxa"/>
            <w:vAlign w:val="bottom"/>
          </w:tcPr>
          <w:p>
            <w:pPr>
              <w:spacing w:after="0"/>
              <w:rPr>
                <w:sz w:val="23"/>
                <w:szCs w:val="23"/>
                <w:color w:val="auto"/>
              </w:rPr>
            </w:pP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54</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420" w:type="dxa"/>
            <w:vAlign w:val="bottom"/>
          </w:tcPr>
          <w:p>
            <w:pPr>
              <w:spacing w:after="0"/>
              <w:rPr>
                <w:sz w:val="23"/>
                <w:szCs w:val="23"/>
                <w:color w:val="auto"/>
              </w:rPr>
            </w:pP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257</w:t>
            </w:r>
          </w:p>
        </w:tc>
        <w:tc>
          <w:tcPr>
            <w:tcW w:w="3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318</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420" w:type="dxa"/>
            <w:vAlign w:val="bottom"/>
          </w:tcPr>
          <w:p>
            <w:pPr>
              <w:spacing w:after="0"/>
              <w:rPr>
                <w:sz w:val="23"/>
                <w:szCs w:val="23"/>
                <w:color w:val="auto"/>
              </w:rPr>
            </w:pP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(1,495)</w:t>
            </w:r>
          </w:p>
        </w:tc>
        <w:tc>
          <w:tcPr>
            <w:tcW w:w="3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46</w:t>
            </w:r>
          </w:p>
        </w:tc>
      </w:tr>
      <w:tr>
        <w:trPr>
          <w:trHeight w:val="27"/>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4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6"/>
              <w:spacing w:after="0"/>
              <w:rPr>
                <w:sz w:val="20"/>
                <w:szCs w:val="20"/>
                <w:color w:val="auto"/>
              </w:rPr>
            </w:pPr>
            <w:r>
              <w:rPr>
                <w:rFonts w:ascii="Arial" w:cs="Arial" w:eastAsia="Arial" w:hAnsi="Arial"/>
                <w:sz w:val="18"/>
                <w:szCs w:val="18"/>
                <w:b w:val="1"/>
                <w:bCs w:val="1"/>
                <w:color w:val="auto"/>
              </w:rPr>
              <w:t>(1,144)</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b w:val="1"/>
                <w:bCs w:val="1"/>
                <w:color w:val="auto"/>
              </w:rPr>
              <w:t>422</w:t>
            </w:r>
          </w:p>
        </w:tc>
      </w:tr>
      <w:tr>
        <w:trPr>
          <w:trHeight w:val="34"/>
        </w:trPr>
        <w:tc>
          <w:tcPr>
            <w:tcW w:w="7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 of the holders of the Series A cumulative preferred stock of NBCUniversal Enterprise exercised their rights to cause NBCUniversal Enterprise to redeem their shares during the first 30 day election period beginning on March 19, 2020. As of March 31, 2020, the fair value of the NBCUniversal Enterprise redeemable subsidiary preferred stock was $734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ind w:right="76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Communications is a leading provider of high-speed internet, video, voice, wireless, and security and automation services to residential customers under the Xfinity brand; we also provide these and other services to business customers and sell advertising. As of March 31, 2020, our cable systems had 31.9 million total customer relationships, including 29.5 million residential and 2.4 million business customer relationships, and passed more than 59 million homes and businesses. Revenue is generated primarily from residential and business customers that subscribe to our services, which are marketed individually and as bundled services, and from the sale of advertising.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r>
        <w:rPr>
          <w:rFonts w:ascii="Arial" w:cs="Arial" w:eastAsia="Arial" w:hAnsi="Arial"/>
          <w:sz w:val="18"/>
          <w:szCs w:val="18"/>
          <w:i w:val="1"/>
          <w:iCs w:val="1"/>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Cable Networks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 Revenue is generated primarily from the distribution of our cable network programming to traditional and virtual multichannel video providers; from the sale of advertising on our cable networks and digital properties; from the licensing of our owned programming, including programming from our cable television studio production operations, to cable and broadcast networks and subscription video on demand services; and from the sale of our owned content on standard-definition DVDs and Blu-ray discs (together, “DVDs”) and through digital distribution services such as iTunes.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Broadcast Television consists primarily of the NBC and Telemundo broadcast networks, our NBC and Telemundo owned local broadcast television stations, the NBC Universo national cable network, our broadcast television studio production operations, and various digital properties. Revenue is generated primarily from the sale of advertising on our networks and digital properties, from the licensing of programming, including to cable and broadcast networks as well as to subscription video on demand services; from the fees received under retransmission consent agreements and associated fees received from NBC-affiliated and Telemundo-affiliated local broadcast television stations; and from the sale of our owned programming on DVDs and through digital distribution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Filmed Entertainment primarily produces, acquires, markets and distributes filmed entertainment worldwide. Our films are produced primarily under the Universal Pictures, Illumination, DreamWorks Animation and Focus Features names. Revenue is generated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Filmed Entertainment also generates revenue from Fandango, a movie ticketing and entertainment business, consumer products, the production and licensing of live stage plays, and the distribution of filmed entertainment produced by third parties.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Theme Parks consists primarily of our Universal theme parks in Orlando, Florida; Hollywood, California; and Osaka, Japan. In addition, we are developing a theme park in Beijing, China along with a consortium of Chinese state-owned companies, and an additional theme park in Orlando, Florida. Revenue is generated primarily from guest spending at our Universal theme parks.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 As of March 31, 2020, Sky had 23.9 million retail customer relationships.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75"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the development of Peacock.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novel coronavirus disease 2019 (“COVID-19”) and measures taken to prevent its spread across the globe are impacting our businesses in a number of ways. Our Cable Communications results of operations, while strong in the first quarter 2020, will be negatively affected in the second quarter by the significant deterioration in domestic economic conditions in recent weeks and by the costs associated with our support of customer connectivity as the population increasingly works and learns remotely from home. NBCUniversal and Sky results of operations also will be negatively impacted to a greater extent in the second quarter 2020. As a result, we expect the impacts of COVID-19 to increase in significance in the second quarter 2020 and to have a material adverse impact on our consolidated results of operations over the near to medium term.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Communications</w:t>
      </w:r>
    </w:p>
    <w:p>
      <w:pPr>
        <w:spacing w:after="0" w:line="126"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distribution network to date has performed well under the stress of increased traffic and peak usage driven by increased video streaming, gaming and videoconferencing as more customers work and learn remotely from home.</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incurred, and expect to continue to incur in the second quarter of 2020, costs associated with compensating personnel in roles affected by COVID-19. These costs include additional compensation for frontline personnel working to keep our customers connected to our services, and compensation for certain personnel in roles who have been unable to work due to the closing or suspension of operations.</w:t>
      </w:r>
    </w:p>
    <w:p>
      <w:pPr>
        <w:spacing w:after="0" w:line="111"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pledged from mid-March 2020 through the end of June 2020 that new qualifying customers for Internet Essentials, our low-income internet adoption program, are entitled to receive 60 days of free internet services and not to disconnect internet, voice or wireless service for customers for nonpayment. As a result, our customer metrics for the first quarter of 2020 do not include customers connected through the Internet Essentials offer or certain high-risk customers who continue to receive services following nonpayment.</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deteriorating economic conditions and increased economic uncertainty resulting from COVID-19 may result in reduced demand for our residential and business services and have had, and likely will continue to have, negative impacts on our advertising revenue. In addition, we believe there is increased risk associated with collections on our outstanding receivables, and we have incurred, and expect to continue to incur, losses in our allowance for doubtful accounts.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NBCUniversal</w:t>
      </w:r>
    </w:p>
    <w:p>
      <w:pPr>
        <w:spacing w:after="0" w:line="126" w:lineRule="exact"/>
        <w:rPr>
          <w:sz w:val="20"/>
          <w:szCs w:val="20"/>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temporary closure of all of our theme parks in the first quarter of 2020 had the most significant impact on our revenue and Adjusted EBITDA for the three months ended March 31, 2020 on a consolidated basis. We cannot predict the timing of when the parks will reopen or the level of attendance when they do reopen. In addition, although we currently expect that Universal Beijing Resort will open in 2021, certain construction projects, including the development of the Epic Universe theme park in Orlando, will be delayed.</w:t>
      </w:r>
    </w:p>
    <w:p>
      <w:pPr>
        <w:spacing w:after="0" w:line="117"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the deteriorating economic conditions caused by COVID-19 had a limited negative impact on our Cable Networks and Broadcast Television revenue in the first quarter of 2020, we expect significant reductions in advertising spend for the remainder of 2020 and reduced consumer spending generally may cause increased losses in subscribers to our networks.</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incurred, and expect to continue to incur in the second quarter of 2020, costs associated with compensating personnel who have been unable to work due to the closing or suspension of operations, including at our theme parks and at our production studios.</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Sporting events and professional sports seasons have been postponed, which have impacted our first quarter 2020 results of operations, since both advertising revenues and costs associated with broadcasting these programs were not recognized. The timing of when, or the extent to which, these events will occur in 2020 is unclear; their broadcast is expected to impact the timing, and potentially the amount, of revenue and expense recognition. In addition, the 2020 Tokyo Olympics have been postponed from the third quarter of 2020 to the third quarter of 2021 which will result in a corresponding delay of the associated revenue and costs.</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creation and availability of our film and television programming in the United States and globally have been disrupted, including from the suspension of studio production operations. Additionally, with many movie theaters being closed worldwide, we have delayed or altered the theatrical distribution strategy for certain of our films, both domestically and internationally.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75"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Sky</w:t>
      </w:r>
    </w:p>
    <w:p>
      <w:pPr>
        <w:spacing w:after="0" w:line="126" w:lineRule="exact"/>
        <w:rPr>
          <w:sz w:val="20"/>
          <w:szCs w:val="20"/>
          <w:color w:val="auto"/>
        </w:rPr>
      </w:pPr>
    </w:p>
    <w:p>
      <w:pPr>
        <w:jc w:val="both"/>
        <w:ind w:left="660" w:hanging="328"/>
        <w:spacing w:after="0" w:line="27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Sporting events and professional sports seasons, including European soccer, have been postponed, which had significant impacts on Sky’s results of operations in the first quarter of 2020. Direct-to-consumer revenue has been, and will continue to be, negatively impacted as a result of lower sports subscription revenue. Additionally, significant costs associated with broadcasting these programs were not recognized as a result of sporting events not occurring in March of 2020. The timing of when, or the extent to which, these events will occur in 2020 is unclear; their broadcast is expected to impact the timing, and potentially the amount, of revenue and expense recognition.</w:t>
      </w:r>
    </w:p>
    <w:p>
      <w:pPr>
        <w:spacing w:after="0" w:line="122"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suspended certain sales channels due to COVID-19, which has and will continue to impact our net customer additions and revenue.</w:t>
      </w:r>
    </w:p>
    <w:p>
      <w:pPr>
        <w:spacing w:after="0" w:line="194"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COVID-19 has resulted in deteriorating economic conditions and increased economic uncertainty in the U.K. and Europe, intensifying what was an already deteriorating economic and advertising environment in 2019. These conditions negatively impacted revenue in the first quarter of 2020, and we expect these conditions will reduce advertising spend and consumer demand for our services for the remainder of 2020. In addition, there is increased risk associated with collections on our outstanding receivables, and we have incurred and expect to continue to incur losses in our allowance for doubtful accounts.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Global financial markets have been volatile and have experienced significant declines, and domestic and global economic conditions are showing signs of material weakness. At this point, it is impossible to predict the extent and duration of these and any other impacts of COVID-19 to our businesses, or the degree to which demand for our products and services, or supply of key inputs to those products and services, will be affected. This uncertainty makes it challenging for management to estimate with precision the future performance of our businesses.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2020, we evaluated whether the facts and circumstances and available information result in the need for an impairment assessment for any of our long-lived assets, including goodwill, and concluded no assessment was required. We will continue to evaluate the impacts of COVID-19 to our businesses, including the impacts of overall economic conditions, which could result in the recognition of an impairment charge in the future. Our first quarter 2020 results were impacted by significant losses as a result of declines in market values for publicly traded equity securities underlying our investments.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negatively impacted by COVID-19 impacts, we expect that our businesses will continue to generate significant cash flow from operating activities and we believe that these cash flows, together with our existing cash, cash equivalents and investments, available borrowings under our existing credit facilities, and our ability to obtain future external financing, will be sufficient for us to meet our current and long-term liquidity and capital requirements. However, we expect the timing of certain priorities to be impacted, such as the pace of our debt reduction efforts and the delay of certain capital projects.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to consumers has intensified audience fragmentation and disaggregated the way that content traditionally has been viewed by consumers. This increase has caused and likely will continue to cause audience ratings declines at our programming channels.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additional information on the competition our businesses face, see our 2019 Annual Report on Form 10-K and refer to Item 1: Business and Item 1A: Risk Factors. Within the Business section, refer to the “Competition” discussion, and within the Risk Factors section, refer to the risk factors entitled “Our businesses operate in highly competitive and dynamic industries, and our businesses and results of operations could be adversely affected if we do not compete effectively” and “Changes in consumer behavior driven by online video distribution platforms for viewing content continue to adversely affect our businesses and challenge existing business models.”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our businesses is subject to seasonal and cyclical variations. Cable Communications’ results are impacted by the seasonal nature of residential customers receiving our services in college and vacation markets. This generally results in fewer net customer relationship additions in the second quarter of each year.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75"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and operating costs and expenses (comprised of total costs and expenses, excluding depreciation and amortization expense and other operating gains) are cyclical as a result of our periodic broadcasts of major sporting events, such as the Olympic Games, which affect Cable Networks and Broadcast Television, and the Super Bowl, which affects Broadcast Television. In particular, advertising revenue increases due to increased demand for advertising time for these events and distribution revenue increases in the period of broadcasts of the Olympic Games. Operating costs and expenses also increase as a result of our production costs for these broadcasts and the amortization of the related rights fees.</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 Cable Communications, Cable Networks, Broadcast Television and Sky is also subject to cyclical advertising patterns and changes in viewership levels. Advertising revenue in the U.S. is generally higher in the second and fourth quarters of each year and in even-numbered years due to increases in consumer advertising in the spring and in the period leading up to and including the holiday season and advertising related to candidates running for political office and issue-oriented advertising, respectively. Revenue in Cable Networks and Broadcast Television fluctuates depending on the timing of when our programming is aired, which typically results in higher advertising revenue in the second and fourth quarters of each year. Revenue at Sky has seasonally higher audience levels in winter months and increased competition during major sporting events where public service broadcasters lease the rights, such as the Olympic Games and the FIFA World Cup</w:t>
      </w:r>
      <w:r>
        <w:rPr>
          <w:rFonts w:ascii="Arial" w:cs="Arial" w:eastAsia="Arial" w:hAnsi="Arial"/>
          <w:sz w:val="24"/>
          <w:szCs w:val="24"/>
          <w:color w:val="auto"/>
          <w:vertAlign w:val="superscript"/>
        </w:rPr>
        <w:t>TM</w:t>
      </w:r>
      <w:r>
        <w:rPr>
          <w:rFonts w:ascii="Arial" w:cs="Arial" w:eastAsia="Arial" w:hAnsi="Arial"/>
          <w:sz w:val="17"/>
          <w:szCs w:val="17"/>
          <w:color w:val="auto"/>
        </w:rPr>
        <w:t>.</w:t>
      </w:r>
    </w:p>
    <w:p>
      <w:pPr>
        <w:spacing w:after="0" w:line="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 Filmed Entertainment fluctuates due to the timing, nature and number of films released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our Cable Networks, Broadcast Television and Filmed Entertainment segments also fluctuates due to the timing of when our content is made available to licensees.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in Theme Parks fluctuates with changes in theme park attendance that result from the seasonal nature of vacation travel and weather variations, local entertainment offerings and the opening of new attractions, as well as with changes in currency exchange rates. Theme Parks generally experiences peak attendance during the spring holiday period, the summer months when schools are closed and the Christmas holiday season.</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Sky’s results are impacted by the seasonal nature of residential customers receiving direct-to-home (“DTH”) and over the top (“OTT”) video services, including the start of the new soccer seasons and the Christmas holiday. This generally results in greater net customer relationship additions and higher subscriber acquisition costs in the second half of each year due to higher marketing expenses.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Exclusive sports rights, such as local European and Union des Associations Européennes de Football Champions League (“UCL”) soccer, Formula 1, and English cricket, play a key role within Sky’s wider content strategy. In Europe, broadcasting rights for major sports are usually tendered through a competitive auction process, with the winning bidder or bidders acquiring rights over a three to five-year period. This creates some level of cyclicality for Sky, although the staggered timing of major sports rights auctions usually gives Sky time to react to any material changes in the competitive dynamics of the prevailing market. Certain of Sky’s significant sports rights agreements require payments at the start of each season, resulting in increases in sports rights payments in the third and fourth quarter of each year.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75"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791"/>
              <w:spacing w:after="0"/>
              <w:rPr>
                <w:sz w:val="20"/>
                <w:szCs w:val="20"/>
                <w:color w:val="auto"/>
              </w:rPr>
            </w:pPr>
            <w:r>
              <w:rPr>
                <w:rFonts w:ascii="Arial" w:cs="Arial" w:eastAsia="Arial" w:hAnsi="Arial"/>
                <w:sz w:val="14"/>
                <w:szCs w:val="14"/>
                <w:color w:val="auto"/>
              </w:rPr>
              <w:t>Three Months Ended</w:t>
            </w:r>
          </w:p>
        </w:tc>
        <w:tc>
          <w:tcPr>
            <w:tcW w:w="1260" w:type="dxa"/>
            <w:vAlign w:val="bottom"/>
          </w:tcPr>
          <w:p>
            <w:pPr>
              <w:jc w:val="center"/>
              <w:ind w:right="13"/>
              <w:spacing w:after="0"/>
              <w:rPr>
                <w:sz w:val="20"/>
                <w:szCs w:val="20"/>
                <w:color w:val="auto"/>
              </w:rPr>
            </w:pPr>
            <w:r>
              <w:rPr>
                <w:rFonts w:ascii="Arial" w:cs="Arial" w:eastAsia="Arial" w:hAnsi="Arial"/>
                <w:sz w:val="14"/>
                <w:szCs w:val="14"/>
                <w:color w:val="auto"/>
                <w:w w:val="90"/>
              </w:rPr>
              <w:t>Increase/</w:t>
            </w:r>
          </w:p>
        </w:tc>
      </w:tr>
      <w:tr>
        <w:trPr>
          <w:trHeight w:val="188"/>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March 31,</w:t>
            </w: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89"/>
              </w:rPr>
              <w:t>(Decrease)</w:t>
            </w:r>
          </w:p>
        </w:tc>
      </w:tr>
      <w:tr>
        <w:trPr>
          <w:trHeight w:val="263"/>
        </w:trPr>
        <w:tc>
          <w:tcPr>
            <w:tcW w:w="7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12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6"/>
              </w:rPr>
              <w:t>%</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26,609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26,859</w:t>
            </w: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28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8,301</w:t>
            </w:r>
          </w:p>
        </w:tc>
        <w:tc>
          <w:tcPr>
            <w:tcW w:w="44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8,569</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(3.1)</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28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8,254</w:t>
            </w:r>
          </w:p>
        </w:tc>
        <w:tc>
          <w:tcPr>
            <w:tcW w:w="44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7,900</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4.5</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28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1,938</w:t>
            </w:r>
          </w:p>
        </w:tc>
        <w:tc>
          <w:tcPr>
            <w:tcW w:w="44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1,888</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2.6</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2,107</w:t>
            </w:r>
          </w:p>
        </w:tc>
        <w:tc>
          <w:tcPr>
            <w:tcW w:w="44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2,240</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(5.9)</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1,157</w:t>
            </w:r>
          </w:p>
        </w:tc>
        <w:tc>
          <w:tcPr>
            <w:tcW w:w="44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1,080</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7.1</w:t>
            </w:r>
          </w:p>
        </w:tc>
      </w:tr>
      <w:tr>
        <w:trPr>
          <w:trHeight w:val="27"/>
        </w:trPr>
        <w:tc>
          <w:tcPr>
            <w:tcW w:w="7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4,852</w:t>
            </w:r>
          </w:p>
        </w:tc>
        <w:tc>
          <w:tcPr>
            <w:tcW w:w="440" w:type="dxa"/>
            <w:vAlign w:val="bottom"/>
          </w:tcPr>
          <w:p>
            <w:pPr>
              <w:spacing w:after="0"/>
              <w:rPr>
                <w:sz w:val="20"/>
                <w:szCs w:val="20"/>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5,182</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(6.4)</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(1,212)</w:t>
            </w:r>
          </w:p>
        </w:tc>
        <w:tc>
          <w:tcPr>
            <w:tcW w:w="440" w:type="dxa"/>
            <w:vAlign w:val="bottom"/>
          </w:tcPr>
          <w:p>
            <w:pPr>
              <w:spacing w:after="0"/>
              <w:rPr>
                <w:sz w:val="23"/>
                <w:szCs w:val="23"/>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(1,150)</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5.4</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(716)</w:t>
            </w:r>
          </w:p>
        </w:tc>
        <w:tc>
          <w:tcPr>
            <w:tcW w:w="44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676</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(205.7)</w:t>
            </w:r>
          </w:p>
        </w:tc>
      </w:tr>
      <w:tr>
        <w:trPr>
          <w:trHeight w:val="27"/>
        </w:trPr>
        <w:tc>
          <w:tcPr>
            <w:tcW w:w="7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2,924</w:t>
            </w:r>
          </w:p>
        </w:tc>
        <w:tc>
          <w:tcPr>
            <w:tcW w:w="440" w:type="dxa"/>
            <w:vAlign w:val="bottom"/>
          </w:tcPr>
          <w:p>
            <w:pPr>
              <w:spacing w:after="0"/>
              <w:rPr>
                <w:sz w:val="20"/>
                <w:szCs w:val="20"/>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4,708</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(37.9)</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440" w:type="dxa"/>
            <w:vAlign w:val="bottom"/>
          </w:tcPr>
          <w:p>
            <w:pPr>
              <w:spacing w:after="0"/>
              <w:rPr>
                <w:sz w:val="23"/>
                <w:szCs w:val="23"/>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(1,076)</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(35.0)</w:t>
            </w:r>
          </w:p>
        </w:tc>
      </w:tr>
      <w:tr>
        <w:trPr>
          <w:trHeight w:val="27"/>
        </w:trPr>
        <w:tc>
          <w:tcPr>
            <w:tcW w:w="7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2,224</w:t>
            </w:r>
          </w:p>
        </w:tc>
        <w:tc>
          <w:tcPr>
            <w:tcW w:w="440" w:type="dxa"/>
            <w:vAlign w:val="bottom"/>
          </w:tcPr>
          <w:p>
            <w:pPr>
              <w:spacing w:after="0"/>
              <w:rPr>
                <w:sz w:val="20"/>
                <w:szCs w:val="20"/>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3,632</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(38.8)</w:t>
            </w:r>
          </w:p>
        </w:tc>
      </w:tr>
      <w:tr>
        <w:trPr>
          <w:trHeight w:val="256"/>
        </w:trPr>
        <w:tc>
          <w:tcPr>
            <w:tcW w:w="7140" w:type="dxa"/>
            <w:vAlign w:val="bottom"/>
          </w:tcPr>
          <w:p>
            <w:pPr>
              <w:ind w:left="40"/>
              <w:spacing w:after="0"/>
              <w:rPr>
                <w:sz w:val="20"/>
                <w:szCs w:val="20"/>
                <w:color w:val="auto"/>
              </w:rPr>
            </w:pPr>
            <w:r>
              <w:rPr>
                <w:rFonts w:ascii="Arial" w:cs="Arial" w:eastAsia="Arial" w:hAnsi="Arial"/>
                <w:sz w:val="18"/>
                <w:szCs w:val="18"/>
                <w:color w:val="auto"/>
                <w:w w:val="95"/>
              </w:rPr>
              <w:t>Less: Net income attributable to noncontrolling interests and redeemable subsidiary preferred</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7140" w:type="dxa"/>
            <w:vAlign w:val="bottom"/>
          </w:tcPr>
          <w:p>
            <w:pPr>
              <w:ind w:left="200"/>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20"/>
                <w:szCs w:val="20"/>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79</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(2.0)</w:t>
            </w:r>
          </w:p>
        </w:tc>
      </w:tr>
      <w:tr>
        <w:trPr>
          <w:trHeight w:val="27"/>
        </w:trPr>
        <w:tc>
          <w:tcPr>
            <w:tcW w:w="7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2,147</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b w:val="1"/>
                <w:bCs w:val="1"/>
                <w:color w:val="auto"/>
              </w:rPr>
              <w:t>3,553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(39.6)%</w:t>
            </w:r>
          </w:p>
        </w:tc>
      </w:tr>
      <w:tr>
        <w:trPr>
          <w:trHeight w:val="34"/>
        </w:trPr>
        <w:tc>
          <w:tcPr>
            <w:tcW w:w="7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w w:val="97"/>
              </w:rPr>
              <w:t>Basic earnings per common share attributable to Comcast Corporation shareholders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0.47</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b w:val="1"/>
                <w:bCs w:val="1"/>
                <w:color w:val="auto"/>
              </w:rPr>
              <w:t>0.78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(39.7)%</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w w:val="95"/>
              </w:rPr>
              <w:t>Diluted earnings per common share attributable to Comcast Corporation shareholders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0.46</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b w:val="1"/>
                <w:bCs w:val="1"/>
                <w:color w:val="auto"/>
              </w:rPr>
              <w:t>0.77</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(40.3)%</w:t>
            </w:r>
          </w:p>
        </w:tc>
      </w:tr>
      <w:tr>
        <w:trPr>
          <w:trHeight w:val="34"/>
        </w:trPr>
        <w:tc>
          <w:tcPr>
            <w:tcW w:w="7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5"/>
        </w:trPr>
        <w:tc>
          <w:tcPr>
            <w:tcW w:w="7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335"/>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8,130</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b w:val="1"/>
                <w:bCs w:val="1"/>
                <w:color w:val="auto"/>
              </w:rPr>
              <w:t>8,553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0980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 Percentage changes that are considered not meaningful are denoted with NM.</w:t>
      </w:r>
    </w:p>
    <w:p>
      <w:pPr>
        <w:spacing w:after="0" w:line="73" w:lineRule="exact"/>
        <w:rPr>
          <w:sz w:val="20"/>
          <w:szCs w:val="20"/>
          <w:color w:val="auto"/>
        </w:rPr>
      </w:pPr>
    </w:p>
    <w:p>
      <w:pPr>
        <w:ind w:left="260" w:hanging="252"/>
        <w:spacing w:after="0" w:line="273"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30 for additional information, including our definition and our use of Adjusted EBITDA, and for a reconciliation from net income attributable to Comcast Corporation to Adjusted EBITDA.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Theme Parks, Filmed Entertainment, Sky and Cable Networks drove decreases in consolidated revenue for the three months ended March 31, 2020, which were offset by increases in revenue in Cable Communications and Broadcast Television.</w:t>
      </w:r>
    </w:p>
    <w:p>
      <w:pPr>
        <w:spacing w:after="0" w:line="62" w:lineRule="exact"/>
        <w:rPr>
          <w:sz w:val="20"/>
          <w:szCs w:val="20"/>
          <w:color w:val="auto"/>
        </w:rPr>
      </w:pPr>
    </w:p>
    <w:p>
      <w:pPr>
        <w:ind w:right="2120"/>
        <w:spacing w:after="0" w:line="367" w:lineRule="auto"/>
        <w:rPr>
          <w:sz w:val="20"/>
          <w:szCs w:val="20"/>
          <w:color w:val="auto"/>
        </w:rPr>
      </w:pPr>
      <w:r>
        <w:rPr>
          <w:rFonts w:ascii="Arial" w:cs="Arial" w:eastAsia="Arial" w:hAnsi="Arial"/>
          <w:sz w:val="18"/>
          <w:szCs w:val="18"/>
          <w:color w:val="auto"/>
        </w:rPr>
        <w:t xml:space="preserve">Revenue for our segments and other businesses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Cable Communications, Broadcast Television, Theme Parks and Cable Networks drove increases in consolidated operating costs and expenses for the three months ended March 31, 2020, which were partially offset by decreases in operating costs and expenses in Sky and Filmed Entertainment.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for our segments and our corporate operations, businesses development initiatives and other businesses are discussed separately below under the heading “Segment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3"/>
          </w:tcPr>
          <w:p>
            <w:pPr>
              <w:jc w:val="right"/>
              <w:ind w:right="773"/>
              <w:spacing w:after="0"/>
              <w:rPr>
                <w:sz w:val="20"/>
                <w:szCs w:val="20"/>
                <w:color w:val="auto"/>
              </w:rPr>
            </w:pPr>
            <w:r>
              <w:rPr>
                <w:rFonts w:ascii="Arial" w:cs="Arial" w:eastAsia="Arial" w:hAnsi="Arial"/>
                <w:sz w:val="14"/>
                <w:szCs w:val="14"/>
                <w:color w:val="auto"/>
              </w:rPr>
              <w:t>Three Months Ended</w:t>
            </w:r>
          </w:p>
        </w:tc>
        <w:tc>
          <w:tcPr>
            <w:tcW w:w="1300" w:type="dxa"/>
            <w:vAlign w:val="bottom"/>
          </w:tcPr>
          <w:p>
            <w:pPr>
              <w:jc w:val="center"/>
              <w:ind w:right="17"/>
              <w:spacing w:after="0"/>
              <w:rPr>
                <w:sz w:val="20"/>
                <w:szCs w:val="20"/>
                <w:color w:val="auto"/>
              </w:rPr>
            </w:pPr>
            <w:r>
              <w:rPr>
                <w:rFonts w:ascii="Arial" w:cs="Arial" w:eastAsia="Arial" w:hAnsi="Arial"/>
                <w:sz w:val="14"/>
                <w:szCs w:val="14"/>
                <w:color w:val="auto"/>
                <w:w w:val="90"/>
              </w:rPr>
              <w:t>Increase/</w:t>
            </w:r>
          </w:p>
        </w:tc>
      </w:tr>
      <w:tr>
        <w:trPr>
          <w:trHeight w:val="188"/>
        </w:trPr>
        <w:tc>
          <w:tcPr>
            <w:tcW w:w="7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March 31,</w:t>
            </w: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r>
      <w:tr>
        <w:trPr>
          <w:trHeight w:val="263"/>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c>
          <w:tcPr>
            <w:tcW w:w="13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6"/>
              </w:rPr>
              <w:t>%</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1,946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2,035</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71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30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565</w:t>
            </w:r>
          </w:p>
        </w:tc>
        <w:tc>
          <w:tcPr>
            <w:tcW w:w="460" w:type="dxa"/>
            <w:vAlign w:val="bottom"/>
          </w:tcPr>
          <w:p>
            <w:pPr>
              <w:spacing w:after="0"/>
              <w:rPr>
                <w:sz w:val="23"/>
                <w:szCs w:val="23"/>
                <w:color w:val="auto"/>
              </w:rPr>
            </w:pP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515</w:t>
            </w:r>
          </w:p>
        </w:tc>
        <w:tc>
          <w:tcPr>
            <w:tcW w:w="1300" w:type="dxa"/>
            <w:vAlign w:val="bottom"/>
          </w:tcPr>
          <w:p>
            <w:pPr>
              <w:jc w:val="right"/>
              <w:ind w:right="177"/>
              <w:spacing w:after="0"/>
              <w:rPr>
                <w:sz w:val="20"/>
                <w:szCs w:val="20"/>
                <w:color w:val="auto"/>
              </w:rPr>
            </w:pPr>
            <w:r>
              <w:rPr>
                <w:rFonts w:ascii="Arial" w:cs="Arial" w:eastAsia="Arial" w:hAnsi="Arial"/>
                <w:sz w:val="18"/>
                <w:szCs w:val="18"/>
                <w:color w:val="auto"/>
              </w:rPr>
              <w:t>9.8</w:t>
            </w:r>
          </w:p>
        </w:tc>
      </w:tr>
      <w:tr>
        <w:trPr>
          <w:trHeight w:val="270"/>
        </w:trPr>
        <w:tc>
          <w:tcPr>
            <w:tcW w:w="7180" w:type="dxa"/>
            <w:vAlign w:val="bottom"/>
          </w:tcPr>
          <w:p>
            <w:pPr>
              <w:ind w:left="40"/>
              <w:spacing w:after="0"/>
              <w:rPr>
                <w:sz w:val="20"/>
                <w:szCs w:val="20"/>
                <w:color w:val="auto"/>
              </w:rPr>
            </w:pPr>
            <w:r>
              <w:rPr>
                <w:rFonts w:ascii="Arial" w:cs="Arial" w:eastAsia="Arial" w:hAnsi="Arial"/>
                <w:sz w:val="18"/>
                <w:szCs w:val="18"/>
                <w:color w:val="auto"/>
              </w:rPr>
              <w:t>Sky</w:t>
            </w:r>
          </w:p>
        </w:tc>
        <w:tc>
          <w:tcPr>
            <w:tcW w:w="30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718</w:t>
            </w:r>
          </w:p>
        </w:tc>
        <w:tc>
          <w:tcPr>
            <w:tcW w:w="460" w:type="dxa"/>
            <w:vAlign w:val="bottom"/>
          </w:tcPr>
          <w:p>
            <w:pPr>
              <w:spacing w:after="0"/>
              <w:rPr>
                <w:sz w:val="23"/>
                <w:szCs w:val="23"/>
                <w:color w:val="auto"/>
              </w:rPr>
            </w:pP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741</w:t>
            </w:r>
          </w:p>
        </w:tc>
        <w:tc>
          <w:tcPr>
            <w:tcW w:w="1300" w:type="dxa"/>
            <w:vAlign w:val="bottom"/>
          </w:tcPr>
          <w:p>
            <w:pPr>
              <w:jc w:val="right"/>
              <w:ind w:right="117"/>
              <w:spacing w:after="0"/>
              <w:rPr>
                <w:sz w:val="20"/>
                <w:szCs w:val="20"/>
                <w:color w:val="auto"/>
              </w:rPr>
            </w:pPr>
            <w:r>
              <w:rPr>
                <w:rFonts w:ascii="Arial" w:cs="Arial" w:eastAsia="Arial" w:hAnsi="Arial"/>
                <w:sz w:val="18"/>
                <w:szCs w:val="18"/>
                <w:color w:val="auto"/>
              </w:rPr>
              <w:t>(3.1)</w:t>
            </w:r>
          </w:p>
        </w:tc>
      </w:tr>
      <w:tr>
        <w:trPr>
          <w:trHeight w:val="270"/>
        </w:trPr>
        <w:tc>
          <w:tcPr>
            <w:tcW w:w="71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3"/>
                <w:szCs w:val="23"/>
                <w:color w:val="auto"/>
              </w:rPr>
            </w:pP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29</w:t>
            </w:r>
          </w:p>
        </w:tc>
        <w:tc>
          <w:tcPr>
            <w:tcW w:w="1300" w:type="dxa"/>
            <w:vAlign w:val="bottom"/>
          </w:tcPr>
          <w:p>
            <w:pPr>
              <w:jc w:val="right"/>
              <w:ind w:right="177"/>
              <w:spacing w:after="0"/>
              <w:rPr>
                <w:sz w:val="20"/>
                <w:szCs w:val="20"/>
                <w:color w:val="auto"/>
              </w:rPr>
            </w:pPr>
            <w:r>
              <w:rPr>
                <w:rFonts w:ascii="Arial" w:cs="Arial" w:eastAsia="Arial" w:hAnsi="Arial"/>
                <w:sz w:val="18"/>
                <w:szCs w:val="18"/>
                <w:color w:val="auto"/>
              </w:rPr>
              <w:t>23.0</w:t>
            </w:r>
          </w:p>
        </w:tc>
      </w:tr>
      <w:tr>
        <w:trPr>
          <w:trHeight w:val="27"/>
        </w:trPr>
        <w:tc>
          <w:tcPr>
            <w:tcW w:w="7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b w:val="1"/>
                <w:bCs w:val="1"/>
                <w:color w:val="auto"/>
              </w:rPr>
              <w:t>3,264</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13"/>
              <w:spacing w:after="0"/>
              <w:rPr>
                <w:sz w:val="20"/>
                <w:szCs w:val="20"/>
                <w:color w:val="auto"/>
              </w:rPr>
            </w:pPr>
            <w:r>
              <w:rPr>
                <w:rFonts w:ascii="Arial" w:cs="Arial" w:eastAsia="Arial" w:hAnsi="Arial"/>
                <w:sz w:val="18"/>
                <w:szCs w:val="18"/>
                <w:b w:val="1"/>
                <w:bCs w:val="1"/>
                <w:color w:val="auto"/>
              </w:rPr>
              <w:t>3,320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4"/>
        </w:trPr>
        <w:tc>
          <w:tcPr>
            <w:tcW w:w="7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depreciation and amortization expense decreased for the three months ended March 31, 2020 compared to the same period in 2019 primarily due to a decrease in depreciation at Cable Communications related to a reduction in capital expenditures on customer premise equipment, partially offset by an increase in the amortization of certain trade names beginning in the first</w:t>
      </w:r>
    </w:p>
    <w:p>
      <w:pPr>
        <w:sectPr>
          <w:pgSz w:w="11900" w:h="16838" w:orient="portrait"/>
          <w:cols w:equalWidth="0" w:num="1">
            <w:col w:w="11240"/>
          </w:cols>
          <w:pgMar w:left="320" w:top="17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75"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quarter of 2020, which were previously accounted for as indefinite-lived intangible assets (see Note 10). During the first quarter of 2019, we recorded adjustments to the purchase price allocation of Sky, primarily related to intangible assets and property and equipment. This change resulted in an adjustment recorded in the first quarter of 2019 related to the fourth quarter of 2018 that increased depreciation and amortization expense by $53 million.</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from acquisition-related intangible assets, such as customer relationships, totaled $575 million and $504 million for the three months ended March 31, 2020 and 2019, respectively. Amounts primarily relate to customer relationship intangible assets recorded in connection with the Sky transaction in the fourth quarter of 2018 and the NBCUniversal transaction in 2011.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for the three months ended March 31, 2020 compared to the same period in 2019 primarily due to a $140 million charge in the current period related to the early redemption of senior notes due 2021, partially offset by decreases in our debt outstanding.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and Other Income (Loss), Net</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r>
      <w:tr>
        <w:trPr>
          <w:trHeight w:val="188"/>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March 31,</w:t>
            </w:r>
          </w:p>
        </w:tc>
        <w:tc>
          <w:tcPr>
            <w:tcW w:w="880" w:type="dxa"/>
            <w:vAlign w:val="bottom"/>
            <w:tcBorders>
              <w:bottom w:val="single" w:sz="8" w:color="auto"/>
            </w:tcBorders>
          </w:tcPr>
          <w:p>
            <w:pPr>
              <w:spacing w:after="0"/>
              <w:rPr>
                <w:sz w:val="16"/>
                <w:szCs w:val="16"/>
                <w:color w:val="auto"/>
              </w:rPr>
            </w:pPr>
          </w:p>
        </w:tc>
      </w:tr>
      <w:tr>
        <w:trPr>
          <w:trHeight w:val="264"/>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83"/>
              </w:rPr>
              <w:t>2019</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Equity in net income (losses) of investees,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(668)</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262</w:t>
            </w:r>
          </w:p>
        </w:tc>
      </w:tr>
      <w:tr>
        <w:trPr>
          <w:trHeight w:val="270"/>
        </w:trPr>
        <w:tc>
          <w:tcPr>
            <w:tcW w:w="8160" w:type="dxa"/>
            <w:vAlign w:val="bottom"/>
          </w:tcPr>
          <w:p>
            <w:pPr>
              <w:ind w:left="20"/>
              <w:spacing w:after="0"/>
              <w:rPr>
                <w:sz w:val="20"/>
                <w:szCs w:val="20"/>
                <w:color w:val="auto"/>
              </w:rPr>
            </w:pPr>
            <w:r>
              <w:rPr>
                <w:rFonts w:ascii="Arial" w:cs="Arial" w:eastAsia="Arial" w:hAnsi="Arial"/>
                <w:sz w:val="18"/>
                <w:szCs w:val="18"/>
                <w:color w:val="auto"/>
              </w:rPr>
              <w:t>Realized and unrealized gains (losses) on equity securities, net</w:t>
            </w:r>
          </w:p>
        </w:tc>
        <w:tc>
          <w:tcPr>
            <w:tcW w:w="34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(58)</w:t>
            </w:r>
          </w:p>
        </w:tc>
        <w:tc>
          <w:tcPr>
            <w:tcW w:w="64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214</w:t>
            </w:r>
          </w:p>
        </w:tc>
      </w:tr>
      <w:tr>
        <w:trPr>
          <w:trHeight w:val="270"/>
        </w:trPr>
        <w:tc>
          <w:tcPr>
            <w:tcW w:w="8160" w:type="dxa"/>
            <w:vAlign w:val="bottom"/>
          </w:tcPr>
          <w:p>
            <w:pPr>
              <w:ind w:left="20"/>
              <w:spacing w:after="0"/>
              <w:rPr>
                <w:sz w:val="20"/>
                <w:szCs w:val="20"/>
                <w:color w:val="auto"/>
              </w:rPr>
            </w:pPr>
            <w:r>
              <w:rPr>
                <w:rFonts w:ascii="Arial" w:cs="Arial" w:eastAsia="Arial" w:hAnsi="Arial"/>
                <w:sz w:val="18"/>
                <w:szCs w:val="18"/>
                <w:color w:val="auto"/>
              </w:rPr>
              <w:t>Other income (loss), net</w:t>
            </w:r>
          </w:p>
        </w:tc>
        <w:tc>
          <w:tcPr>
            <w:tcW w:w="340" w:type="dxa"/>
            <w:vAlign w:val="bottom"/>
          </w:tcPr>
          <w:p>
            <w:pPr>
              <w:spacing w:after="0"/>
              <w:rPr>
                <w:sz w:val="23"/>
                <w:szCs w:val="23"/>
                <w:color w:val="auto"/>
              </w:rPr>
            </w:pP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200</w:t>
            </w:r>
          </w:p>
        </w:tc>
      </w:tr>
      <w:tr>
        <w:trPr>
          <w:trHeight w:val="27"/>
        </w:trPr>
        <w:tc>
          <w:tcPr>
            <w:tcW w:w="8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Total investment and other income (loss), net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8"/>
              <w:spacing w:after="0"/>
              <w:rPr>
                <w:sz w:val="20"/>
                <w:szCs w:val="20"/>
                <w:color w:val="auto"/>
              </w:rPr>
            </w:pPr>
            <w:r>
              <w:rPr>
                <w:rFonts w:ascii="Arial" w:cs="Arial" w:eastAsia="Arial" w:hAnsi="Arial"/>
                <w:sz w:val="18"/>
                <w:szCs w:val="18"/>
                <w:b w:val="1"/>
                <w:bCs w:val="1"/>
                <w:color w:val="auto"/>
              </w:rPr>
              <w:t>(716)</w:t>
            </w:r>
          </w:p>
        </w:tc>
        <w:tc>
          <w:tcPr>
            <w:tcW w:w="6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b w:val="1"/>
                <w:bCs w:val="1"/>
                <w:color w:val="auto"/>
              </w:rPr>
              <w:t>676</w:t>
            </w:r>
          </w:p>
        </w:tc>
      </w:tr>
      <w:tr>
        <w:trPr>
          <w:trHeight w:val="34"/>
        </w:trPr>
        <w:tc>
          <w:tcPr>
            <w:tcW w:w="8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Net Income (Losses) of Investees, Net</w:t>
      </w:r>
    </w:p>
    <w:p>
      <w:pPr>
        <w:spacing w:after="0" w:line="12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change in equity in net income (losses) of investees, net for the three months ended March 31, 2020 compared to the same period in 2019 was primarily due to our equity method investments in Atairos and Hulu. The income (losses) at Atairos were driven by fair value adjustments on its underlying investments. The equity in net income (losses) of Atairos and Hulu for the three months ended March 31, 2020 and 2019 are presented in the table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w w:val="91"/>
              </w:rPr>
              <w:t>Three Months Ended</w:t>
            </w:r>
          </w:p>
        </w:tc>
        <w:tc>
          <w:tcPr>
            <w:tcW w:w="880" w:type="dxa"/>
            <w:vAlign w:val="bottom"/>
          </w:tcPr>
          <w:p>
            <w:pPr>
              <w:spacing w:after="0"/>
              <w:rPr>
                <w:sz w:val="14"/>
                <w:szCs w:val="14"/>
                <w:color w:val="auto"/>
              </w:rPr>
            </w:pPr>
          </w:p>
        </w:tc>
      </w:tr>
      <w:tr>
        <w:trPr>
          <w:trHeight w:val="188"/>
        </w:trPr>
        <w:tc>
          <w:tcPr>
            <w:tcW w:w="8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March 31,</w:t>
            </w:r>
          </w:p>
        </w:tc>
        <w:tc>
          <w:tcPr>
            <w:tcW w:w="880" w:type="dxa"/>
            <w:vAlign w:val="bottom"/>
            <w:tcBorders>
              <w:bottom w:val="single" w:sz="8" w:color="auto"/>
            </w:tcBorders>
          </w:tcPr>
          <w:p>
            <w:pPr>
              <w:spacing w:after="0"/>
              <w:rPr>
                <w:sz w:val="16"/>
                <w:szCs w:val="16"/>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w w:val="89"/>
              </w:rPr>
              <w:t>2019</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Atairos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374</w:t>
            </w:r>
          </w:p>
        </w:tc>
      </w:tr>
      <w:tr>
        <w:trPr>
          <w:trHeight w:val="270"/>
        </w:trPr>
        <w:tc>
          <w:tcPr>
            <w:tcW w:w="8160" w:type="dxa"/>
            <w:vAlign w:val="bottom"/>
          </w:tcPr>
          <w:p>
            <w:pPr>
              <w:ind w:left="40"/>
              <w:spacing w:after="0"/>
              <w:rPr>
                <w:sz w:val="20"/>
                <w:szCs w:val="20"/>
                <w:color w:val="auto"/>
              </w:rPr>
            </w:pPr>
            <w:r>
              <w:rPr>
                <w:rFonts w:ascii="Arial" w:cs="Arial" w:eastAsia="Arial" w:hAnsi="Arial"/>
                <w:sz w:val="18"/>
                <w:szCs w:val="18"/>
                <w:color w:val="auto"/>
              </w:rPr>
              <w:t>Hulu</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8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Gains (Losses) on Equity Securities, Net</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realized and unrealized gains (losses) on equity securities, net for the three months ended March 31, 2020 compared to the same period in 2019 was primarily due to investment losses in the first quarter of 2020, compared to gains of $162 million recorded in the prior year period related to our interest in Snap, which was sold in the fourth quarter of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other income (loss), net for the three months ended March 31, 2020 compared to the same period in 2019 was primarily due to a gain of $159 million recorded in the prior year period related to the dilution of our Hulu ownership. See Note 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Tax Expense</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 expense for the three months ended March 31, 2020 and 2019 reflects an effective income tax rate that differs from the federal statutory rate primarily due to state and foreign income taxes and adjustments associated with uncertain tax positions. The decrease in income tax expense for the three months ended March 31, 2020 compared to the same period in 2019 was primarily due to lower income before income taxes.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We use Adjusted EBITDA as the measure of profit or loss for our operating segments. See Note 2 for our definition of Adjusted EBITDA and a reconciliation from the aggregate amount of Adjusted EBITDA for our reportable business segments to consolidated income before income taxes.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75"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jc w:val="right"/>
              <w:ind w:right="193"/>
              <w:spacing w:after="0"/>
              <w:rPr>
                <w:sz w:val="20"/>
                <w:szCs w:val="20"/>
                <w:color w:val="auto"/>
              </w:rPr>
            </w:pPr>
            <w:r>
              <w:rPr>
                <w:rFonts w:ascii="Arial" w:cs="Arial" w:eastAsia="Arial" w:hAnsi="Arial"/>
                <w:sz w:val="14"/>
                <w:szCs w:val="14"/>
                <w:color w:val="auto"/>
              </w:rPr>
              <w:t>Increase/</w:t>
            </w:r>
          </w:p>
        </w:tc>
        <w:tc>
          <w:tcPr>
            <w:tcW w:w="1080" w:type="dxa"/>
            <w:vAlign w:val="bottom"/>
          </w:tcPr>
          <w:p>
            <w:pPr>
              <w:spacing w:after="0"/>
              <w:rPr>
                <w:sz w:val="14"/>
                <w:szCs w:val="14"/>
                <w:color w:val="auto"/>
              </w:rPr>
            </w:pPr>
          </w:p>
        </w:tc>
      </w:tr>
      <w:tr>
        <w:trPr>
          <w:trHeight w:val="188"/>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(Decrease)</w:t>
            </w:r>
          </w:p>
        </w:tc>
        <w:tc>
          <w:tcPr>
            <w:tcW w:w="1080" w:type="dxa"/>
            <w:vAlign w:val="bottom"/>
            <w:tcBorders>
              <w:bottom w:val="single" w:sz="8" w:color="auto"/>
            </w:tcBorders>
          </w:tcPr>
          <w:p>
            <w:pPr>
              <w:spacing w:after="0"/>
              <w:rPr>
                <w:sz w:val="16"/>
                <w:szCs w:val="16"/>
                <w:color w:val="auto"/>
              </w:rPr>
            </w:pPr>
          </w:p>
        </w:tc>
      </w:tr>
      <w:tr>
        <w:trPr>
          <w:trHeight w:val="264"/>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96"/>
              </w:rPr>
              <w:t>2019</w:t>
            </w:r>
          </w:p>
        </w:tc>
        <w:tc>
          <w:tcPr>
            <w:tcW w:w="5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333"/>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5,001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4,577</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424</w:t>
            </w:r>
          </w:p>
        </w:tc>
        <w:tc>
          <w:tcPr>
            <w:tcW w:w="108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5,632</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5,628</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0.1</w:t>
            </w: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899</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990</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(91)</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(9.2)</w:t>
            </w: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225</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118</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52.1</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2,043</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1,891</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152</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8.0</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557</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556</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1</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0.3</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443</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413</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30</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7.0</w:t>
            </w:r>
          </w:p>
        </w:tc>
      </w:tr>
      <w:tr>
        <w:trPr>
          <w:trHeight w:val="27"/>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b w:val="1"/>
                <w:bCs w:val="1"/>
                <w:color w:val="auto"/>
              </w:rPr>
              <w:t>14,918</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14,280</w:t>
            </w:r>
          </w:p>
        </w:tc>
        <w:tc>
          <w:tcPr>
            <w:tcW w:w="540" w:type="dxa"/>
            <w:vAlign w:val="bottom"/>
          </w:tcPr>
          <w:p>
            <w:pPr>
              <w:spacing w:after="0"/>
              <w:rPr>
                <w:sz w:val="20"/>
                <w:szCs w:val="20"/>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b w:val="1"/>
                <w:bCs w:val="1"/>
                <w:color w:val="auto"/>
              </w:rPr>
              <w:t>638</w:t>
            </w:r>
          </w:p>
        </w:tc>
        <w:tc>
          <w:tcPr>
            <w:tcW w:w="1080" w:type="dxa"/>
            <w:vAlign w:val="bottom"/>
          </w:tcPr>
          <w:p>
            <w:pPr>
              <w:jc w:val="right"/>
              <w:ind w:right="171"/>
              <w:spacing w:after="0"/>
              <w:rPr>
                <w:sz w:val="20"/>
                <w:szCs w:val="20"/>
                <w:color w:val="auto"/>
              </w:rPr>
            </w:pPr>
            <w:r>
              <w:rPr>
                <w:rFonts w:ascii="Arial" w:cs="Arial" w:eastAsia="Arial" w:hAnsi="Arial"/>
                <w:sz w:val="18"/>
                <w:szCs w:val="18"/>
                <w:b w:val="1"/>
                <w:bCs w:val="1"/>
                <w:color w:val="auto"/>
              </w:rPr>
              <w:t>4.5</w:t>
            </w: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3,479</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3,419</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60</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1.7</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2,012</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1,880</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132</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7.0</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637</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625</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12</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1.9</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954</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972</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(18)</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(1.9)</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406</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391</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15</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3.8</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1,354</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1,265</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89</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7.1</w:t>
            </w:r>
          </w:p>
        </w:tc>
      </w:tr>
      <w:tr>
        <w:trPr>
          <w:trHeight w:val="27"/>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8,842</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8,552</w:t>
            </w:r>
          </w:p>
        </w:tc>
        <w:tc>
          <w:tcPr>
            <w:tcW w:w="540" w:type="dxa"/>
            <w:vAlign w:val="bottom"/>
          </w:tcPr>
          <w:p>
            <w:pPr>
              <w:spacing w:after="0"/>
              <w:rPr>
                <w:sz w:val="20"/>
                <w:szCs w:val="20"/>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290</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3.4</w:t>
            </w:r>
          </w:p>
        </w:tc>
      </w:tr>
      <w:tr>
        <w:trPr>
          <w:trHeight w:val="27"/>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93"/>
              <w:spacing w:after="0"/>
              <w:rPr>
                <w:sz w:val="20"/>
                <w:szCs w:val="20"/>
                <w:color w:val="auto"/>
              </w:rPr>
            </w:pPr>
            <w:r>
              <w:rPr>
                <w:rFonts w:ascii="Arial" w:cs="Arial" w:eastAsia="Arial" w:hAnsi="Arial"/>
                <w:sz w:val="18"/>
                <w:szCs w:val="18"/>
                <w:b w:val="1"/>
                <w:bCs w:val="1"/>
                <w:color w:val="auto"/>
              </w:rPr>
              <w:t>6,076</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5,728</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753"/>
              <w:spacing w:after="0"/>
              <w:rPr>
                <w:sz w:val="20"/>
                <w:szCs w:val="20"/>
                <w:color w:val="auto"/>
              </w:rPr>
            </w:pPr>
            <w:r>
              <w:rPr>
                <w:rFonts w:ascii="Arial" w:cs="Arial" w:eastAsia="Arial" w:hAnsi="Arial"/>
                <w:sz w:val="18"/>
                <w:szCs w:val="18"/>
                <w:b w:val="1"/>
                <w:bCs w:val="1"/>
                <w:color w:val="auto"/>
              </w:rPr>
              <w:t>348</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6.1 %</w:t>
            </w:r>
          </w:p>
        </w:tc>
      </w:tr>
      <w:tr>
        <w:trPr>
          <w:trHeight w:val="34"/>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94"/>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53"/>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40"/>
          </w:cols>
          <w:pgMar w:left="320" w:top="175"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0" w:type="dxa"/>
            <w:vAlign w:val="bottom"/>
            <w:tcBorders>
              <w:bottom w:val="single" w:sz="8" w:color="auto"/>
            </w:tcBorders>
          </w:tcPr>
          <w:p>
            <w:pPr>
              <w:jc w:val="center"/>
              <w:ind w:left="834"/>
              <w:spacing w:after="0"/>
              <w:rPr>
                <w:sz w:val="20"/>
                <w:szCs w:val="20"/>
                <w:color w:val="auto"/>
              </w:rPr>
            </w:pPr>
            <w:r>
              <w:rPr>
                <w:rFonts w:ascii="Arial" w:cs="Arial" w:eastAsia="Arial" w:hAnsi="Arial"/>
                <w:sz w:val="14"/>
                <w:szCs w:val="14"/>
                <w:color w:val="auto"/>
                <w:w w:val="96"/>
              </w:rPr>
              <w:t>Net Additions</w:t>
            </w:r>
          </w:p>
        </w:tc>
        <w:tc>
          <w:tcPr>
            <w:tcW w:w="900" w:type="dxa"/>
            <w:vAlign w:val="bottom"/>
            <w:tcBorders>
              <w:bottom w:val="single" w:sz="8" w:color="auto"/>
            </w:tcBorders>
          </w:tcPr>
          <w:p>
            <w:pPr>
              <w:spacing w:after="0"/>
              <w:rPr>
                <w:sz w:val="16"/>
                <w:szCs w:val="16"/>
                <w:color w:val="auto"/>
              </w:rPr>
            </w:pPr>
          </w:p>
        </w:tc>
      </w:tr>
      <w:tr>
        <w:trPr>
          <w:trHeight w:val="156"/>
        </w:trPr>
        <w:tc>
          <w:tcPr>
            <w:tcW w:w="47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0" w:type="dxa"/>
            <w:vAlign w:val="bottom"/>
          </w:tcPr>
          <w:p>
            <w:pPr>
              <w:jc w:val="center"/>
              <w:ind w:left="834"/>
              <w:spacing w:after="0" w:line="156" w:lineRule="exact"/>
              <w:rPr>
                <w:sz w:val="20"/>
                <w:szCs w:val="20"/>
                <w:color w:val="auto"/>
              </w:rPr>
            </w:pPr>
            <w:r>
              <w:rPr>
                <w:rFonts w:ascii="Arial" w:cs="Arial" w:eastAsia="Arial" w:hAnsi="Arial"/>
                <w:sz w:val="14"/>
                <w:szCs w:val="14"/>
                <w:color w:val="auto"/>
                <w:w w:val="91"/>
              </w:rPr>
              <w:t>Three Months Ended</w:t>
            </w:r>
          </w:p>
        </w:tc>
        <w:tc>
          <w:tcPr>
            <w:tcW w:w="900" w:type="dxa"/>
            <w:vAlign w:val="bottom"/>
          </w:tcPr>
          <w:p>
            <w:pPr>
              <w:spacing w:after="0"/>
              <w:rPr>
                <w:sz w:val="13"/>
                <w:szCs w:val="13"/>
                <w:color w:val="auto"/>
              </w:rPr>
            </w:pPr>
          </w:p>
        </w:tc>
      </w:tr>
      <w:tr>
        <w:trPr>
          <w:trHeight w:val="188"/>
        </w:trPr>
        <w:tc>
          <w:tcPr>
            <w:tcW w:w="4740" w:type="dxa"/>
            <w:vAlign w:val="bottom"/>
          </w:tcPr>
          <w:p>
            <w:pPr>
              <w:spacing w:after="0"/>
              <w:rPr>
                <w:sz w:val="16"/>
                <w:szCs w:val="16"/>
                <w:color w:val="auto"/>
              </w:rPr>
            </w:pPr>
          </w:p>
        </w:tc>
        <w:tc>
          <w:tcPr>
            <w:tcW w:w="20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March 31,</w:t>
            </w:r>
          </w:p>
        </w:tc>
        <w:tc>
          <w:tcPr>
            <w:tcW w:w="13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center"/>
              <w:ind w:left="834"/>
              <w:spacing w:after="0"/>
              <w:rPr>
                <w:sz w:val="20"/>
                <w:szCs w:val="20"/>
                <w:color w:val="auto"/>
              </w:rPr>
            </w:pPr>
            <w:r>
              <w:rPr>
                <w:rFonts w:ascii="Arial" w:cs="Arial" w:eastAsia="Arial" w:hAnsi="Arial"/>
                <w:sz w:val="14"/>
                <w:szCs w:val="14"/>
                <w:color w:val="auto"/>
                <w:w w:val="96"/>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80" w:type="dxa"/>
            <w:vAlign w:val="bottom"/>
            <w:tcBorders>
              <w:bottom w:val="single" w:sz="8" w:color="auto"/>
            </w:tcBorders>
          </w:tcPr>
          <w:p>
            <w:pPr>
              <w:jc w:val="right"/>
              <w:ind w:right="1112"/>
              <w:spacing w:after="0"/>
              <w:rPr>
                <w:sz w:val="20"/>
                <w:szCs w:val="20"/>
                <w:color w:val="auto"/>
              </w:rPr>
            </w:pPr>
            <w:r>
              <w:rPr>
                <w:rFonts w:ascii="Arial" w:cs="Arial" w:eastAsia="Arial" w:hAnsi="Arial"/>
                <w:sz w:val="14"/>
                <w:szCs w:val="14"/>
                <w:color w:val="auto"/>
              </w:rPr>
              <w:t>2020</w:t>
            </w:r>
          </w:p>
        </w:tc>
        <w:tc>
          <w:tcPr>
            <w:tcW w:w="132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2019</w:t>
            </w:r>
          </w:p>
        </w:tc>
        <w:tc>
          <w:tcPr>
            <w:tcW w:w="2200" w:type="dxa"/>
            <w:vAlign w:val="bottom"/>
            <w:tcBorders>
              <w:bottom w:val="single" w:sz="8" w:color="auto"/>
            </w:tcBorders>
          </w:tcPr>
          <w:p>
            <w:pPr>
              <w:jc w:val="right"/>
              <w:ind w:right="1254"/>
              <w:spacing w:after="0"/>
              <w:rPr>
                <w:sz w:val="20"/>
                <w:szCs w:val="20"/>
                <w:color w:val="auto"/>
              </w:rPr>
            </w:pPr>
            <w:r>
              <w:rPr>
                <w:rFonts w:ascii="Arial" w:cs="Arial" w:eastAsia="Arial" w:hAnsi="Arial"/>
                <w:sz w:val="14"/>
                <w:szCs w:val="14"/>
                <w:color w:val="auto"/>
              </w:rPr>
              <w:t>2020</w:t>
            </w: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2019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2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74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29,509</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28,385</w:t>
            </w:r>
          </w:p>
        </w:tc>
        <w:tc>
          <w:tcPr>
            <w:tcW w:w="2200" w:type="dxa"/>
            <w:vAlign w:val="bottom"/>
          </w:tcPr>
          <w:p>
            <w:pPr>
              <w:jc w:val="right"/>
              <w:ind w:right="774"/>
              <w:spacing w:after="0"/>
              <w:rPr>
                <w:sz w:val="20"/>
                <w:szCs w:val="20"/>
                <w:color w:val="auto"/>
              </w:rPr>
            </w:pPr>
            <w:r>
              <w:rPr>
                <w:rFonts w:ascii="Arial" w:cs="Arial" w:eastAsia="Arial" w:hAnsi="Arial"/>
                <w:sz w:val="18"/>
                <w:szCs w:val="18"/>
                <w:color w:val="auto"/>
              </w:rPr>
              <w:t>360</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276</w:t>
            </w:r>
          </w:p>
        </w:tc>
      </w:tr>
      <w:tr>
        <w:trPr>
          <w:trHeight w:val="270"/>
        </w:trPr>
        <w:tc>
          <w:tcPr>
            <w:tcW w:w="474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2,408</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2,327</w:t>
            </w:r>
          </w:p>
        </w:tc>
        <w:tc>
          <w:tcPr>
            <w:tcW w:w="2200" w:type="dxa"/>
            <w:vAlign w:val="bottom"/>
          </w:tcPr>
          <w:p>
            <w:pPr>
              <w:jc w:val="right"/>
              <w:ind w:right="774"/>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31,917</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30,712</w:t>
            </w:r>
          </w:p>
        </w:tc>
        <w:tc>
          <w:tcPr>
            <w:tcW w:w="2200" w:type="dxa"/>
            <w:vAlign w:val="bottom"/>
          </w:tcPr>
          <w:p>
            <w:pPr>
              <w:jc w:val="right"/>
              <w:ind w:right="774"/>
              <w:spacing w:after="0"/>
              <w:rPr>
                <w:sz w:val="20"/>
                <w:szCs w:val="20"/>
                <w:color w:val="auto"/>
              </w:rPr>
            </w:pPr>
            <w:r>
              <w:rPr>
                <w:rFonts w:ascii="Arial" w:cs="Arial" w:eastAsia="Arial" w:hAnsi="Arial"/>
                <w:sz w:val="18"/>
                <w:szCs w:val="18"/>
                <w:color w:val="auto"/>
              </w:rPr>
              <w:t>371</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300</w:t>
            </w:r>
          </w:p>
        </w:tc>
      </w:tr>
      <w:tr>
        <w:trPr>
          <w:trHeight w:val="27"/>
        </w:trPr>
        <w:tc>
          <w:tcPr>
            <w:tcW w:w="47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Residential customer relationships mix</w:t>
            </w: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4740" w:type="dxa"/>
            <w:vAlign w:val="bottom"/>
          </w:tcPr>
          <w:p>
            <w:pPr>
              <w:ind w:left="200"/>
              <w:spacing w:after="0"/>
              <w:rPr>
                <w:sz w:val="20"/>
                <w:szCs w:val="20"/>
                <w:color w:val="auto"/>
              </w:rPr>
            </w:pPr>
            <w:r>
              <w:rPr>
                <w:rFonts w:ascii="Arial" w:cs="Arial" w:eastAsia="Arial" w:hAnsi="Arial"/>
                <w:sz w:val="18"/>
                <w:szCs w:val="18"/>
                <w:color w:val="auto"/>
              </w:rPr>
              <w:t>One product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10,801</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9,295</w:t>
            </w:r>
          </w:p>
        </w:tc>
        <w:tc>
          <w:tcPr>
            <w:tcW w:w="2200" w:type="dxa"/>
            <w:vAlign w:val="bottom"/>
          </w:tcPr>
          <w:p>
            <w:pPr>
              <w:jc w:val="right"/>
              <w:ind w:right="774"/>
              <w:spacing w:after="0"/>
              <w:rPr>
                <w:sz w:val="20"/>
                <w:szCs w:val="20"/>
                <w:color w:val="auto"/>
              </w:rPr>
            </w:pPr>
            <w:r>
              <w:rPr>
                <w:rFonts w:ascii="Arial" w:cs="Arial" w:eastAsia="Arial" w:hAnsi="Arial"/>
                <w:sz w:val="18"/>
                <w:szCs w:val="18"/>
                <w:color w:val="auto"/>
              </w:rPr>
              <w:t>554</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280</w:t>
            </w:r>
          </w:p>
        </w:tc>
      </w:tr>
      <w:tr>
        <w:trPr>
          <w:trHeight w:val="270"/>
        </w:trPr>
        <w:tc>
          <w:tcPr>
            <w:tcW w:w="4740" w:type="dxa"/>
            <w:vAlign w:val="bottom"/>
          </w:tcPr>
          <w:p>
            <w:pPr>
              <w:ind w:left="200"/>
              <w:spacing w:after="0"/>
              <w:rPr>
                <w:sz w:val="20"/>
                <w:szCs w:val="20"/>
                <w:color w:val="auto"/>
              </w:rPr>
            </w:pPr>
            <w:r>
              <w:rPr>
                <w:rFonts w:ascii="Arial" w:cs="Arial" w:eastAsia="Arial" w:hAnsi="Arial"/>
                <w:sz w:val="18"/>
                <w:szCs w:val="18"/>
                <w:color w:val="auto"/>
              </w:rPr>
              <w:t>Two product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8,848</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9,009</w:t>
            </w:r>
          </w:p>
        </w:tc>
        <w:tc>
          <w:tcPr>
            <w:tcW w:w="2200" w:type="dxa"/>
            <w:vAlign w:val="bottom"/>
          </w:tcPr>
          <w:p>
            <w:pPr>
              <w:jc w:val="right"/>
              <w:ind w:right="714"/>
              <w:spacing w:after="0"/>
              <w:rPr>
                <w:sz w:val="20"/>
                <w:szCs w:val="20"/>
                <w:color w:val="auto"/>
              </w:rPr>
            </w:pPr>
            <w:r>
              <w:rPr>
                <w:rFonts w:ascii="Arial" w:cs="Arial" w:eastAsia="Arial" w:hAnsi="Arial"/>
                <w:sz w:val="18"/>
                <w:szCs w:val="18"/>
                <w:color w:val="auto"/>
              </w:rPr>
              <w:t>(75)</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0"/>
        </w:trPr>
        <w:tc>
          <w:tcPr>
            <w:tcW w:w="4740" w:type="dxa"/>
            <w:vAlign w:val="bottom"/>
          </w:tcPr>
          <w:p>
            <w:pPr>
              <w:ind w:left="200"/>
              <w:spacing w:after="0"/>
              <w:rPr>
                <w:sz w:val="20"/>
                <w:szCs w:val="20"/>
                <w:color w:val="auto"/>
              </w:rPr>
            </w:pPr>
            <w:r>
              <w:rPr>
                <w:rFonts w:ascii="Arial" w:cs="Arial" w:eastAsia="Arial" w:hAnsi="Arial"/>
                <w:sz w:val="18"/>
                <w:szCs w:val="18"/>
                <w:color w:val="auto"/>
              </w:rPr>
              <w:t>Three or more product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9,860</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10,081</w:t>
            </w:r>
          </w:p>
        </w:tc>
        <w:tc>
          <w:tcPr>
            <w:tcW w:w="2200" w:type="dxa"/>
            <w:vAlign w:val="bottom"/>
          </w:tcPr>
          <w:p>
            <w:pPr>
              <w:jc w:val="right"/>
              <w:ind w:right="714"/>
              <w:spacing w:after="0"/>
              <w:rPr>
                <w:sz w:val="20"/>
                <w:szCs w:val="20"/>
                <w:color w:val="auto"/>
              </w:rPr>
            </w:pPr>
            <w:r>
              <w:rPr>
                <w:rFonts w:ascii="Arial" w:cs="Arial" w:eastAsia="Arial" w:hAnsi="Arial"/>
                <w:sz w:val="18"/>
                <w:szCs w:val="18"/>
                <w:color w:val="auto"/>
              </w:rPr>
              <w:t>(119)</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7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474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26,880</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25,449</w:t>
            </w:r>
          </w:p>
        </w:tc>
        <w:tc>
          <w:tcPr>
            <w:tcW w:w="2200" w:type="dxa"/>
            <w:vAlign w:val="bottom"/>
          </w:tcPr>
          <w:p>
            <w:pPr>
              <w:jc w:val="right"/>
              <w:ind w:right="774"/>
              <w:spacing w:after="0"/>
              <w:rPr>
                <w:sz w:val="20"/>
                <w:szCs w:val="20"/>
                <w:color w:val="auto"/>
              </w:rPr>
            </w:pPr>
            <w:r>
              <w:rPr>
                <w:rFonts w:ascii="Arial" w:cs="Arial" w:eastAsia="Arial" w:hAnsi="Arial"/>
                <w:sz w:val="18"/>
                <w:szCs w:val="18"/>
                <w:color w:val="auto"/>
              </w:rPr>
              <w:t>466</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352</w:t>
            </w:r>
          </w:p>
        </w:tc>
      </w:tr>
      <w:tr>
        <w:trPr>
          <w:trHeight w:val="270"/>
        </w:trPr>
        <w:tc>
          <w:tcPr>
            <w:tcW w:w="474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2,226</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2,148</w:t>
            </w:r>
          </w:p>
        </w:tc>
        <w:tc>
          <w:tcPr>
            <w:tcW w:w="2200" w:type="dxa"/>
            <w:vAlign w:val="bottom"/>
          </w:tcPr>
          <w:p>
            <w:pPr>
              <w:jc w:val="right"/>
              <w:ind w:right="774"/>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29,106</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27,598</w:t>
            </w:r>
          </w:p>
        </w:tc>
        <w:tc>
          <w:tcPr>
            <w:tcW w:w="2200" w:type="dxa"/>
            <w:vAlign w:val="bottom"/>
          </w:tcPr>
          <w:p>
            <w:pPr>
              <w:jc w:val="right"/>
              <w:ind w:right="774"/>
              <w:spacing w:after="0"/>
              <w:rPr>
                <w:sz w:val="20"/>
                <w:szCs w:val="20"/>
                <w:color w:val="auto"/>
              </w:rPr>
            </w:pPr>
            <w:r>
              <w:rPr>
                <w:rFonts w:ascii="Arial" w:cs="Arial" w:eastAsia="Arial" w:hAnsi="Arial"/>
                <w:sz w:val="18"/>
                <w:szCs w:val="18"/>
                <w:color w:val="auto"/>
              </w:rPr>
              <w:t>477</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375</w:t>
            </w:r>
          </w:p>
        </w:tc>
      </w:tr>
      <w:tr>
        <w:trPr>
          <w:trHeight w:val="27"/>
        </w:trPr>
        <w:tc>
          <w:tcPr>
            <w:tcW w:w="47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474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19,900</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20,852</w:t>
            </w:r>
          </w:p>
        </w:tc>
        <w:tc>
          <w:tcPr>
            <w:tcW w:w="2200" w:type="dxa"/>
            <w:vAlign w:val="bottom"/>
          </w:tcPr>
          <w:p>
            <w:pPr>
              <w:jc w:val="right"/>
              <w:ind w:right="714"/>
              <w:spacing w:after="0"/>
              <w:rPr>
                <w:sz w:val="20"/>
                <w:szCs w:val="20"/>
                <w:color w:val="auto"/>
              </w:rPr>
            </w:pPr>
            <w:r>
              <w:rPr>
                <w:rFonts w:ascii="Arial" w:cs="Arial" w:eastAsia="Arial" w:hAnsi="Arial"/>
                <w:sz w:val="18"/>
                <w:szCs w:val="18"/>
                <w:color w:val="auto"/>
              </w:rPr>
              <w:t>(388)</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474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944</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1,014</w:t>
            </w:r>
          </w:p>
        </w:tc>
        <w:tc>
          <w:tcPr>
            <w:tcW w:w="2200" w:type="dxa"/>
            <w:vAlign w:val="bottom"/>
          </w:tcPr>
          <w:p>
            <w:pPr>
              <w:jc w:val="right"/>
              <w:ind w:right="714"/>
              <w:spacing w:after="0"/>
              <w:rPr>
                <w:sz w:val="20"/>
                <w:szCs w:val="20"/>
                <w:color w:val="auto"/>
              </w:rPr>
            </w:pPr>
            <w:r>
              <w:rPr>
                <w:rFonts w:ascii="Arial" w:cs="Arial" w:eastAsia="Arial" w:hAnsi="Arial"/>
                <w:sz w:val="18"/>
                <w:szCs w:val="18"/>
                <w:color w:val="auto"/>
              </w:rPr>
              <w:t>(22)</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20,845</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21,865</w:t>
            </w:r>
          </w:p>
        </w:tc>
        <w:tc>
          <w:tcPr>
            <w:tcW w:w="2200" w:type="dxa"/>
            <w:vAlign w:val="bottom"/>
          </w:tcPr>
          <w:p>
            <w:pPr>
              <w:jc w:val="right"/>
              <w:ind w:right="714"/>
              <w:spacing w:after="0"/>
              <w:rPr>
                <w:sz w:val="20"/>
                <w:szCs w:val="20"/>
                <w:color w:val="auto"/>
              </w:rPr>
            </w:pPr>
            <w:r>
              <w:rPr>
                <w:rFonts w:ascii="Arial" w:cs="Arial" w:eastAsia="Arial" w:hAnsi="Arial"/>
                <w:sz w:val="18"/>
                <w:szCs w:val="18"/>
                <w:color w:val="auto"/>
              </w:rPr>
              <w:t>(409)</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47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474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9,840</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10,089</w:t>
            </w:r>
          </w:p>
        </w:tc>
        <w:tc>
          <w:tcPr>
            <w:tcW w:w="2200" w:type="dxa"/>
            <w:vAlign w:val="bottom"/>
          </w:tcPr>
          <w:p>
            <w:pPr>
              <w:jc w:val="right"/>
              <w:ind w:right="714"/>
              <w:spacing w:after="0"/>
              <w:rPr>
                <w:sz w:val="20"/>
                <w:szCs w:val="20"/>
                <w:color w:val="auto"/>
              </w:rPr>
            </w:pPr>
            <w:r>
              <w:rPr>
                <w:rFonts w:ascii="Arial" w:cs="Arial" w:eastAsia="Arial" w:hAnsi="Arial"/>
                <w:sz w:val="18"/>
                <w:szCs w:val="18"/>
                <w:color w:val="auto"/>
              </w:rPr>
              <w:t>(94)</w:t>
            </w: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474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1,347</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1,307</w:t>
            </w:r>
          </w:p>
        </w:tc>
        <w:tc>
          <w:tcPr>
            <w:tcW w:w="2200" w:type="dxa"/>
            <w:vAlign w:val="bottom"/>
          </w:tcPr>
          <w:p>
            <w:pPr>
              <w:jc w:val="right"/>
              <w:ind w:right="774"/>
              <w:spacing w:after="0"/>
              <w:rPr>
                <w:sz w:val="20"/>
                <w:szCs w:val="20"/>
                <w:color w:val="auto"/>
              </w:rPr>
            </w:pPr>
            <w:r>
              <w:rPr>
                <w:rFonts w:ascii="Arial" w:cs="Arial" w:eastAsia="Arial" w:hAnsi="Arial"/>
                <w:sz w:val="18"/>
                <w:szCs w:val="18"/>
                <w:color w:val="auto"/>
              </w:rPr>
              <w:t>5</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11,187</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11,396</w:t>
            </w:r>
          </w:p>
        </w:tc>
        <w:tc>
          <w:tcPr>
            <w:tcW w:w="2200" w:type="dxa"/>
            <w:vAlign w:val="bottom"/>
          </w:tcPr>
          <w:p>
            <w:pPr>
              <w:jc w:val="right"/>
              <w:ind w:right="714"/>
              <w:spacing w:after="0"/>
              <w:rPr>
                <w:sz w:val="20"/>
                <w:szCs w:val="20"/>
                <w:color w:val="auto"/>
              </w:rPr>
            </w:pPr>
            <w:r>
              <w:rPr>
                <w:rFonts w:ascii="Arial" w:cs="Arial" w:eastAsia="Arial" w:hAnsi="Arial"/>
                <w:sz w:val="18"/>
                <w:szCs w:val="18"/>
                <w:color w:val="auto"/>
              </w:rPr>
              <w:t>(89)</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47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Wireless</w:t>
            </w: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Wireless lines</w:t>
            </w:r>
          </w:p>
        </w:tc>
        <w:tc>
          <w:tcPr>
            <w:tcW w:w="2080" w:type="dxa"/>
            <w:vAlign w:val="bottom"/>
          </w:tcPr>
          <w:p>
            <w:pPr>
              <w:jc w:val="right"/>
              <w:ind w:right="652"/>
              <w:spacing w:after="0"/>
              <w:rPr>
                <w:sz w:val="20"/>
                <w:szCs w:val="20"/>
                <w:color w:val="auto"/>
              </w:rPr>
            </w:pPr>
            <w:r>
              <w:rPr>
                <w:rFonts w:ascii="Arial" w:cs="Arial" w:eastAsia="Arial" w:hAnsi="Arial"/>
                <w:sz w:val="18"/>
                <w:szCs w:val="18"/>
                <w:color w:val="auto"/>
              </w:rPr>
              <w:t>2,267</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1,405</w:t>
            </w:r>
          </w:p>
        </w:tc>
        <w:tc>
          <w:tcPr>
            <w:tcW w:w="2200" w:type="dxa"/>
            <w:vAlign w:val="bottom"/>
          </w:tcPr>
          <w:p>
            <w:pPr>
              <w:jc w:val="right"/>
              <w:ind w:right="774"/>
              <w:spacing w:after="0"/>
              <w:rPr>
                <w:sz w:val="20"/>
                <w:szCs w:val="20"/>
                <w:color w:val="auto"/>
              </w:rPr>
            </w:pPr>
            <w:r>
              <w:rPr>
                <w:rFonts w:ascii="Arial" w:cs="Arial" w:eastAsia="Arial" w:hAnsi="Arial"/>
                <w:sz w:val="18"/>
                <w:szCs w:val="18"/>
                <w:color w:val="auto"/>
              </w:rPr>
              <w:t>216</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multiple dwelling units (“MDUs”), including buildings located on college campuses, whose residents have the ability to receive additional services, such as additional programming choices or our high-definition video (“HD”) or digital video recorder (“DVR”) services, we count and report customers based on the number of potential billable relationships within each MDU. For MDUs whose residents are not able to receive additional services, the MDU is counted as a single customer. Residential high-speed internet and video customers as of March 31, 2020 included prepaid customers totaling approximately 246,000 and 9,000, respectively. Wireless lines represent the number of activated eligible wireless devices on customers’ accounts. Individual customer relationships may have multiple wireless lines. Customer metrics for the first quarter of 2020 do not include customers connected through a new free Internet Essentials offer or high-risk customers who continue to receive services following nonpayment (refer to “Impacts of COVID-19” for further discussion).</w:t>
      </w:r>
    </w:p>
    <w:p>
      <w:pPr>
        <w:spacing w:after="0" w:line="276" w:lineRule="exact"/>
        <w:rPr>
          <w:sz w:val="20"/>
          <w:szCs w:val="20"/>
          <w:color w:val="auto"/>
        </w:rPr>
      </w:pPr>
    </w:p>
    <w:p>
      <w:pPr>
        <w:jc w:val="center"/>
        <w:ind w:left="8780"/>
        <w:spacing w:after="0"/>
        <w:rPr>
          <w:sz w:val="20"/>
          <w:szCs w:val="20"/>
          <w:color w:val="auto"/>
        </w:rPr>
      </w:pPr>
      <w:r>
        <w:rPr>
          <w:rFonts w:ascii="Arial" w:cs="Arial" w:eastAsia="Arial" w:hAnsi="Arial"/>
          <w:sz w:val="14"/>
          <w:szCs w:val="14"/>
          <w:color w:val="auto"/>
        </w:rPr>
        <w:t>Three Months Ended</w:t>
      </w:r>
    </w:p>
    <w:p>
      <w:pPr>
        <w:jc w:val="center"/>
        <w:ind w:left="878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13335</wp:posOffset>
            </wp:positionV>
            <wp:extent cx="1568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2019</w:t>
            </w:r>
          </w:p>
        </w:tc>
      </w:tr>
      <w:tr>
        <w:trPr>
          <w:trHeight w:val="242"/>
        </w:trPr>
        <w:tc>
          <w:tcPr>
            <w:tcW w:w="6680" w:type="dxa"/>
            <w:vAlign w:val="bottom"/>
          </w:tcPr>
          <w:p>
            <w:pPr>
              <w:ind w:left="40"/>
              <w:spacing w:after="0"/>
              <w:rPr>
                <w:sz w:val="20"/>
                <w:szCs w:val="20"/>
                <w:color w:val="auto"/>
              </w:rPr>
            </w:pPr>
            <w:r>
              <w:rPr>
                <w:rFonts w:ascii="Arial" w:cs="Arial" w:eastAsia="Arial" w:hAnsi="Arial"/>
                <w:sz w:val="18"/>
                <w:szCs w:val="18"/>
                <w:color w:val="auto"/>
              </w:rPr>
              <w:t>Average monthly total revenue per customer relationship</w:t>
            </w:r>
          </w:p>
        </w:tc>
        <w:tc>
          <w:tcPr>
            <w:tcW w:w="2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156.71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155.75</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color w:val="auto"/>
              </w:rPr>
              <w:t>Average monthly Adjusted EBITDA per customer relationship</w:t>
            </w:r>
          </w:p>
        </w:tc>
        <w:tc>
          <w:tcPr>
            <w:tcW w:w="2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63.83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62.48</w:t>
            </w:r>
          </w:p>
        </w:tc>
      </w:tr>
      <w:tr>
        <w:trPr>
          <w:trHeight w:val="27"/>
        </w:trPr>
        <w:tc>
          <w:tcPr>
            <w:tcW w:w="6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high-speed internet, video and voice services is also impacted by changes in the allocation of revenue among services sold in a bundle, the allocation does not impact average monthly total revenue per customer relationship. Each of our services has a different contribution to operating margin and we also use average monthly Adjusted EBITDA per customer relationship to evaluate the profitability of our customer base across our service offerings. We believe these metrics are useful to understand the trends in our business and average monthly Adjusted EBITDA per customer relationship is useful particularly as we continue to focus on growing our higher-margin businesses, including residential high-speed internet and business services.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for the three months ended March 31, 2020 compared to the same period in 2019 primarily due to an increase in the number of residential high-speed internet customers. The remaining increase in revenue was due to an increase in average rates.</w:t>
      </w:r>
    </w:p>
    <w:p>
      <w:pPr>
        <w:sectPr>
          <w:pgSz w:w="11900" w:h="16838" w:orient="portrait"/>
          <w:cols w:equalWidth="0" w:num="1">
            <w:col w:w="11240"/>
          </w:cols>
          <w:pgMar w:left="320" w:top="17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75"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was flat for the three months ended March 31, 2020 compared to the same period in 2019 due to an increase in average rates, offset by a decline in the number of residential video customers.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and expect that we will continue to experience, declines in the number of residential video customers due to competitive pressures, and we expect that our video revenue will continue to decline as a result of the competitive environment and shifting video consumption patterns. We believe our X1 platform helps us compete more effectively against this competition, and have also continued to employ sales and marketing programs, such as promotions, bundled service offerings and service offerings targeted at specific market segments.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decreased for the three months ended March 31, 2020 compared to the same period in 2019 primarily due to decreases in average rates and the number of residential voice customers. We expect that the number of residential voice customers and voice revenue will continue to decline.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for the three months ended March 31, 2020 compared to the same period in 2019 primarily due to an increase in the number of customer lines.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increased for the three months ended March 31, 2020 compared to the same period in 2019 primarily due to an increase in average rates and an increase in the number of customers receiving our services.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was flat for the three months ended March 31, 2020 compared to the same period in 2019 as increases in political advertising were offset by reduced spending from advertisers due to COVID-19. We expect reduced spending from advertisers over the near to medium term as a result of deteriorating economic conditions resulting from COVID-19.</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both the three months ended March 31, 2020 and 2019, 5% of our advertising revenue was generated from our NBCUniversal segments. These amounts are eliminated in our condensed consolidated financial statements but are included in the amounts presented above.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for the three months ended March 31, 2020 compared to the same period in 2019 primarily due to increases in revenue from our security and automation services and from the licensing of our technology platforms to other multichannel video providers.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Programming expenses increased for the three months ended March 31, 2020 compared to the same period in 2019 primarily due to an increase in retransmission consent and sports programming fees, partially offset by a decline in the number of video subscribers. We anticipate that our programming expenses will increase at rates higher than those experienced in 2019, due to the timing of contract renewals in 2020.</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Technical and product support expenses increased for the three months ended March 31, 2020 compared to the same period in 2019 primarily due to increased costs associated with our wireless phone service and additional compensation costs for certain personnel as a result of COVID-19.</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service expenses increased for the three months ended March 31, 2020 compared to the same period in 2019 primarily due to an increase in costs as a result of opening new Xfinity stores, partially offset by lower labor costs as a result of reduced call volumes.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marketing and promotion expenses decreased for the three months ended March 31, 2020 compared to the same period in 2019 primarily due to a decrease in spending.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increased for the three months ended March 31, 2020 compared to the same period in 2019 primarily due to an increase in the related rates of these fees and an increase in the revenue to which the fees apply.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costs and expenses increased for the three months ended March 31, 2020 compared to the same period in 2019 primarily due to an increase in the allowance for doubtful accounts as a result of COVID-19 and an increase in administrative expenses.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75"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margin is Adjusted EBITDA as a percentage of revenue. We believe this metric is useful particularly as we continue to focus on growing our higher-margin businesses, including residential high-speed internet and business services, and on reducing losses related to our wireless phone service and improving overall operating cost management.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margin for the three months ended March 31, 2020 and 2019 was 40.7% and 40.1%, respectively. The most significant operating costs and expenses are the programming expenses we incur to provide content to our video customers, which increased 1.7% for the three months ended March 31, 2020 compared to the same period in 2019. Losses from our wireless phone service were $59 million in the current year period compared to losses of $103 million in the prior year period.</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2,859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2,868</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(9)</w:t>
            </w: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2,684</w:t>
            </w:r>
          </w:p>
        </w:tc>
        <w:tc>
          <w:tcPr>
            <w:tcW w:w="6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2,467</w:t>
            </w:r>
          </w:p>
        </w:tc>
        <w:tc>
          <w:tcPr>
            <w:tcW w:w="5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217</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8.8</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1,370</w:t>
            </w:r>
          </w:p>
        </w:tc>
        <w:tc>
          <w:tcPr>
            <w:tcW w:w="6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1,768</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(398)</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(22.5)</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869</w:t>
            </w:r>
          </w:p>
        </w:tc>
        <w:tc>
          <w:tcPr>
            <w:tcW w:w="6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1,276</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(407)</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(31.9)</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(66)</w:t>
            </w:r>
          </w:p>
        </w:tc>
        <w:tc>
          <w:tcPr>
            <w:tcW w:w="5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18</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7,734</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rPr>
              <w:t>8,313</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b w:val="1"/>
                <w:bCs w:val="1"/>
                <w:color w:val="auto"/>
              </w:rPr>
              <w:t>(579)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1,248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1,262</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(14)</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501</w:t>
            </w:r>
          </w:p>
        </w:tc>
        <w:tc>
          <w:tcPr>
            <w:tcW w:w="6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387</w:t>
            </w:r>
          </w:p>
        </w:tc>
        <w:tc>
          <w:tcPr>
            <w:tcW w:w="5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114</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29.6</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364</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(258)</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(70.9)</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76</w:t>
            </w:r>
          </w:p>
        </w:tc>
        <w:tc>
          <w:tcPr>
            <w:tcW w:w="6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498</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(422)</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(84.7)</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(184)</w:t>
            </w:r>
          </w:p>
        </w:tc>
        <w:tc>
          <w:tcPr>
            <w:tcW w:w="6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(174)</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1,747</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rPr>
              <w:t>2,337</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b w:val="1"/>
                <w:bCs w:val="1"/>
                <w:color w:val="auto"/>
              </w:rPr>
              <w:t>(590)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(25.3)%</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right"/>
              <w:ind w:right="135"/>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2019</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1,708</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1,735</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5"/>
              <w:spacing w:after="0"/>
              <w:rPr>
                <w:sz w:val="20"/>
                <w:szCs w:val="20"/>
                <w:color w:val="auto"/>
              </w:rPr>
            </w:pPr>
            <w:r>
              <w:rPr>
                <w:rFonts w:ascii="Arial" w:cs="Arial" w:eastAsia="Arial" w:hAnsi="Arial"/>
                <w:sz w:val="18"/>
                <w:szCs w:val="18"/>
                <w:color w:val="auto"/>
              </w:rPr>
              <w:t>(27)</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834</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852</w:t>
            </w:r>
          </w:p>
        </w:tc>
        <w:tc>
          <w:tcPr>
            <w:tcW w:w="540" w:type="dxa"/>
            <w:vAlign w:val="bottom"/>
          </w:tcPr>
          <w:p>
            <w:pPr>
              <w:spacing w:after="0"/>
              <w:rPr>
                <w:sz w:val="23"/>
                <w:szCs w:val="23"/>
                <w:color w:val="auto"/>
              </w:rPr>
            </w:pPr>
          </w:p>
        </w:tc>
        <w:tc>
          <w:tcPr>
            <w:tcW w:w="1620" w:type="dxa"/>
            <w:vAlign w:val="bottom"/>
          </w:tcPr>
          <w:p>
            <w:pPr>
              <w:jc w:val="right"/>
              <w:ind w:right="535"/>
              <w:spacing w:after="0"/>
              <w:rPr>
                <w:sz w:val="20"/>
                <w:szCs w:val="20"/>
                <w:color w:val="auto"/>
              </w:rPr>
            </w:pPr>
            <w:r>
              <w:rPr>
                <w:rFonts w:ascii="Arial" w:cs="Arial" w:eastAsia="Arial" w:hAnsi="Arial"/>
                <w:sz w:val="18"/>
                <w:szCs w:val="18"/>
                <w:color w:val="auto"/>
              </w:rPr>
              <w:t>(18)</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(2.2)</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317</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281</w:t>
            </w:r>
          </w:p>
        </w:tc>
        <w:tc>
          <w:tcPr>
            <w:tcW w:w="540" w:type="dxa"/>
            <w:vAlign w:val="bottom"/>
          </w:tcPr>
          <w:p>
            <w:pPr>
              <w:spacing w:after="0"/>
              <w:rPr>
                <w:sz w:val="23"/>
                <w:szCs w:val="23"/>
                <w:color w:val="auto"/>
              </w:rPr>
            </w:pPr>
          </w:p>
        </w:tc>
        <w:tc>
          <w:tcPr>
            <w:tcW w:w="1620" w:type="dxa"/>
            <w:vAlign w:val="bottom"/>
          </w:tcPr>
          <w:p>
            <w:pPr>
              <w:jc w:val="right"/>
              <w:ind w:right="595"/>
              <w:spacing w:after="0"/>
              <w:rPr>
                <w:sz w:val="20"/>
                <w:szCs w:val="20"/>
                <w:color w:val="auto"/>
              </w:rPr>
            </w:pPr>
            <w:r>
              <w:rPr>
                <w:rFonts w:ascii="Arial" w:cs="Arial" w:eastAsia="Arial" w:hAnsi="Arial"/>
                <w:sz w:val="18"/>
                <w:szCs w:val="18"/>
                <w:color w:val="auto"/>
              </w:rPr>
              <w:t>36</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13.0</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2,859</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2,868</w:t>
            </w:r>
          </w:p>
        </w:tc>
        <w:tc>
          <w:tcPr>
            <w:tcW w:w="540" w:type="dxa"/>
            <w:vAlign w:val="bottom"/>
          </w:tcPr>
          <w:p>
            <w:pPr>
              <w:spacing w:after="0"/>
              <w:rPr>
                <w:sz w:val="20"/>
                <w:szCs w:val="20"/>
                <w:color w:val="auto"/>
              </w:rPr>
            </w:pPr>
          </w:p>
        </w:tc>
        <w:tc>
          <w:tcPr>
            <w:tcW w:w="1620" w:type="dxa"/>
            <w:vAlign w:val="bottom"/>
          </w:tcPr>
          <w:p>
            <w:pPr>
              <w:jc w:val="right"/>
              <w:ind w:right="535"/>
              <w:spacing w:after="0"/>
              <w:rPr>
                <w:sz w:val="20"/>
                <w:szCs w:val="20"/>
                <w:color w:val="auto"/>
              </w:rPr>
            </w:pPr>
            <w:r>
              <w:rPr>
                <w:rFonts w:ascii="Arial" w:cs="Arial" w:eastAsia="Arial" w:hAnsi="Arial"/>
                <w:sz w:val="18"/>
                <w:szCs w:val="18"/>
                <w:b w:val="1"/>
                <w:bCs w:val="1"/>
                <w:color w:val="auto"/>
              </w:rPr>
              <w:t>(9)</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(0.3)</w:t>
            </w:r>
          </w:p>
        </w:tc>
      </w:tr>
      <w:tr>
        <w:trPr>
          <w:trHeight w:val="270"/>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1,118</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1,143</w:t>
            </w:r>
          </w:p>
        </w:tc>
        <w:tc>
          <w:tcPr>
            <w:tcW w:w="540" w:type="dxa"/>
            <w:vAlign w:val="bottom"/>
          </w:tcPr>
          <w:p>
            <w:pPr>
              <w:spacing w:after="0"/>
              <w:rPr>
                <w:sz w:val="23"/>
                <w:szCs w:val="23"/>
                <w:color w:val="auto"/>
              </w:rPr>
            </w:pPr>
          </w:p>
        </w:tc>
        <w:tc>
          <w:tcPr>
            <w:tcW w:w="1620" w:type="dxa"/>
            <w:vAlign w:val="bottom"/>
          </w:tcPr>
          <w:p>
            <w:pPr>
              <w:jc w:val="right"/>
              <w:ind w:right="535"/>
              <w:spacing w:after="0"/>
              <w:rPr>
                <w:sz w:val="20"/>
                <w:szCs w:val="20"/>
                <w:color w:val="auto"/>
              </w:rPr>
            </w:pPr>
            <w:r>
              <w:rPr>
                <w:rFonts w:ascii="Arial" w:cs="Arial" w:eastAsia="Arial" w:hAnsi="Arial"/>
                <w:sz w:val="18"/>
                <w:szCs w:val="18"/>
                <w:color w:val="auto"/>
              </w:rPr>
              <w:t>(25)</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(2.1)</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386</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359</w:t>
            </w:r>
          </w:p>
        </w:tc>
        <w:tc>
          <w:tcPr>
            <w:tcW w:w="540" w:type="dxa"/>
            <w:vAlign w:val="bottom"/>
          </w:tcPr>
          <w:p>
            <w:pPr>
              <w:spacing w:after="0"/>
              <w:rPr>
                <w:sz w:val="23"/>
                <w:szCs w:val="23"/>
                <w:color w:val="auto"/>
              </w:rPr>
            </w:pPr>
          </w:p>
        </w:tc>
        <w:tc>
          <w:tcPr>
            <w:tcW w:w="1620" w:type="dxa"/>
            <w:vAlign w:val="bottom"/>
          </w:tcPr>
          <w:p>
            <w:pPr>
              <w:jc w:val="right"/>
              <w:ind w:right="595"/>
              <w:spacing w:after="0"/>
              <w:rPr>
                <w:sz w:val="20"/>
                <w:szCs w:val="20"/>
                <w:color w:val="auto"/>
              </w:rPr>
            </w:pPr>
            <w:r>
              <w:rPr>
                <w:rFonts w:ascii="Arial" w:cs="Arial" w:eastAsia="Arial" w:hAnsi="Arial"/>
                <w:sz w:val="18"/>
                <w:szCs w:val="18"/>
                <w:color w:val="auto"/>
              </w:rPr>
              <w:t>27</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7.8</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107</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3"/>
                <w:szCs w:val="23"/>
                <w:color w:val="auto"/>
              </w:rPr>
            </w:pPr>
          </w:p>
        </w:tc>
        <w:tc>
          <w:tcPr>
            <w:tcW w:w="1620" w:type="dxa"/>
            <w:vAlign w:val="bottom"/>
          </w:tcPr>
          <w:p>
            <w:pPr>
              <w:jc w:val="right"/>
              <w:ind w:right="595"/>
              <w:spacing w:after="0"/>
              <w:rPr>
                <w:sz w:val="20"/>
                <w:szCs w:val="20"/>
                <w:color w:val="auto"/>
              </w:rPr>
            </w:pPr>
            <w:r>
              <w:rPr>
                <w:rFonts w:ascii="Arial" w:cs="Arial" w:eastAsia="Arial" w:hAnsi="Arial"/>
                <w:sz w:val="18"/>
                <w:szCs w:val="18"/>
                <w:color w:val="auto"/>
              </w:rPr>
              <w:t>3</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2.6</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8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1,611</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1,606</w:t>
            </w:r>
          </w:p>
        </w:tc>
        <w:tc>
          <w:tcPr>
            <w:tcW w:w="540" w:type="dxa"/>
            <w:vAlign w:val="bottom"/>
          </w:tcPr>
          <w:p>
            <w:pPr>
              <w:spacing w:after="0"/>
              <w:rPr>
                <w:sz w:val="20"/>
                <w:szCs w:val="20"/>
                <w:color w:val="auto"/>
              </w:rPr>
            </w:pPr>
          </w:p>
        </w:tc>
        <w:tc>
          <w:tcPr>
            <w:tcW w:w="1620" w:type="dxa"/>
            <w:vAlign w:val="bottom"/>
          </w:tcPr>
          <w:p>
            <w:pPr>
              <w:jc w:val="right"/>
              <w:ind w:right="595"/>
              <w:spacing w:after="0"/>
              <w:rPr>
                <w:sz w:val="20"/>
                <w:szCs w:val="20"/>
                <w:color w:val="auto"/>
              </w:rPr>
            </w:pPr>
            <w:r>
              <w:rPr>
                <w:rFonts w:ascii="Arial" w:cs="Arial" w:eastAsia="Arial" w:hAnsi="Arial"/>
                <w:sz w:val="18"/>
                <w:szCs w:val="18"/>
                <w:color w:val="auto"/>
              </w:rPr>
              <w:t>5</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0.4</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1,248</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1,262</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5"/>
              <w:spacing w:after="0"/>
              <w:rPr>
                <w:sz w:val="20"/>
                <w:szCs w:val="20"/>
                <w:color w:val="auto"/>
              </w:rPr>
            </w:pPr>
            <w:r>
              <w:rPr>
                <w:rFonts w:ascii="Arial" w:cs="Arial" w:eastAsia="Arial" w:hAnsi="Arial"/>
                <w:sz w:val="18"/>
                <w:szCs w:val="18"/>
                <w:b w:val="1"/>
                <w:bCs w:val="1"/>
                <w:color w:val="auto"/>
              </w:rPr>
              <w:t>(14)</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86"/>
        </w:trPr>
        <w:tc>
          <w:tcPr>
            <w:tcW w:w="4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94"/>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40"/>
          </w:cols>
          <w:pgMar w:left="320" w:top="175"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Cable Networks revenue remained flat for the three months ended March 31, 2020 compared to the same period in 2019 as decreases in distribution revenue and advertising revenue were offset by increases in content licensing and other revenue. The decrease in distribution revenue was primarily due to increased declines in the number of subscribers at our cable networks, partially offset by increases in the contractual rates charged under distribution agreements and the timing of contract renewals. Advertising revenue decreased compared to the same period in 2019 primarily due to audience ratings declines at our networks and reduced spending from advertisers resulting from professional sports leagues postponing events due to COVID-19, which was partially offset by higher prices for advertising units sold. We expect reduced spending from advertisers over the near to medium term as a result of deteriorating economic conditions due to COVID-19. The increase in content licensing and other revenue was due to the timing of content provided under our licensing agreements and revenue from our digital properties.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both the three months ended March 31, 2020 and 2019, 15% of our Cable Networks segment revenue was generated from our Cable Communications segment. These amounts are eliminated in our condensed consolidated financial statements but are included in the amounts presented above.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costs and expenses remained flat for the three months ended March 31, 2020 compared to the same period in 2019 as increases in other operating and administrative costs were offset by decreases in programming and production costs. The increase in other operating and administrative costs was primarily due to our digital properties and employee-related costs. The decrease in programming and production costs was primarily due to decreases in the recognition of sports programming costs as a result of professional sports leagues postponing events as a result of COVID-19, partially offset by increases in other programming costs at our networks.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35"/>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w w:val="96"/>
              </w:rPr>
              <w:t>2019</w:t>
            </w:r>
          </w:p>
        </w:tc>
        <w:tc>
          <w:tcPr>
            <w:tcW w:w="5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15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1,318</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1,317</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75"/>
              <w:spacing w:after="0"/>
              <w:rPr>
                <w:sz w:val="20"/>
                <w:szCs w:val="20"/>
                <w:color w:val="auto"/>
              </w:rPr>
            </w:pPr>
            <w:r>
              <w:rPr>
                <w:rFonts w:ascii="Arial" w:cs="Arial" w:eastAsia="Arial" w:hAnsi="Arial"/>
                <w:sz w:val="18"/>
                <w:szCs w:val="18"/>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735</w:t>
            </w:r>
          </w:p>
        </w:tc>
        <w:tc>
          <w:tcPr>
            <w:tcW w:w="70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560</w:t>
            </w:r>
          </w:p>
        </w:tc>
        <w:tc>
          <w:tcPr>
            <w:tcW w:w="560" w:type="dxa"/>
            <w:vAlign w:val="bottom"/>
          </w:tcPr>
          <w:p>
            <w:pPr>
              <w:spacing w:after="0"/>
              <w:rPr>
                <w:sz w:val="23"/>
                <w:szCs w:val="23"/>
                <w:color w:val="auto"/>
              </w:rPr>
            </w:pPr>
          </w:p>
        </w:tc>
        <w:tc>
          <w:tcPr>
            <w:tcW w:w="1600" w:type="dxa"/>
            <w:vAlign w:val="bottom"/>
          </w:tcPr>
          <w:p>
            <w:pPr>
              <w:jc w:val="right"/>
              <w:ind w:right="575"/>
              <w:spacing w:after="0"/>
              <w:rPr>
                <w:sz w:val="20"/>
                <w:szCs w:val="20"/>
                <w:color w:val="auto"/>
              </w:rPr>
            </w:pPr>
            <w:r>
              <w:rPr>
                <w:rFonts w:ascii="Arial" w:cs="Arial" w:eastAsia="Arial" w:hAnsi="Arial"/>
                <w:sz w:val="18"/>
                <w:szCs w:val="18"/>
                <w:color w:val="auto"/>
              </w:rPr>
              <w:t>175</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31.3</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631</w:t>
            </w:r>
          </w:p>
        </w:tc>
        <w:tc>
          <w:tcPr>
            <w:tcW w:w="70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590</w:t>
            </w:r>
          </w:p>
        </w:tc>
        <w:tc>
          <w:tcPr>
            <w:tcW w:w="560" w:type="dxa"/>
            <w:vAlign w:val="bottom"/>
          </w:tcPr>
          <w:p>
            <w:pPr>
              <w:spacing w:after="0"/>
              <w:rPr>
                <w:sz w:val="23"/>
                <w:szCs w:val="23"/>
                <w:color w:val="auto"/>
              </w:rPr>
            </w:pPr>
          </w:p>
        </w:tc>
        <w:tc>
          <w:tcPr>
            <w:tcW w:w="1600" w:type="dxa"/>
            <w:vAlign w:val="bottom"/>
          </w:tcPr>
          <w:p>
            <w:pPr>
              <w:jc w:val="right"/>
              <w:ind w:right="575"/>
              <w:spacing w:after="0"/>
              <w:rPr>
                <w:sz w:val="20"/>
                <w:szCs w:val="20"/>
                <w:color w:val="auto"/>
              </w:rPr>
            </w:pPr>
            <w:r>
              <w:rPr>
                <w:rFonts w:ascii="Arial" w:cs="Arial" w:eastAsia="Arial" w:hAnsi="Arial"/>
                <w:sz w:val="18"/>
                <w:szCs w:val="18"/>
                <w:color w:val="auto"/>
              </w:rPr>
              <w:t>41</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6.9</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2,684</w:t>
            </w:r>
          </w:p>
        </w:tc>
        <w:tc>
          <w:tcPr>
            <w:tcW w:w="70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2,467</w:t>
            </w:r>
          </w:p>
        </w:tc>
        <w:tc>
          <w:tcPr>
            <w:tcW w:w="560" w:type="dxa"/>
            <w:vAlign w:val="bottom"/>
          </w:tcPr>
          <w:p>
            <w:pPr>
              <w:spacing w:after="0"/>
              <w:rPr>
                <w:sz w:val="20"/>
                <w:szCs w:val="20"/>
                <w:color w:val="auto"/>
              </w:rPr>
            </w:pPr>
          </w:p>
        </w:tc>
        <w:tc>
          <w:tcPr>
            <w:tcW w:w="1600" w:type="dxa"/>
            <w:vAlign w:val="bottom"/>
          </w:tcPr>
          <w:p>
            <w:pPr>
              <w:jc w:val="right"/>
              <w:ind w:right="575"/>
              <w:spacing w:after="0"/>
              <w:rPr>
                <w:sz w:val="20"/>
                <w:szCs w:val="20"/>
                <w:color w:val="auto"/>
              </w:rPr>
            </w:pPr>
            <w:r>
              <w:rPr>
                <w:rFonts w:ascii="Arial" w:cs="Arial" w:eastAsia="Arial" w:hAnsi="Arial"/>
                <w:sz w:val="18"/>
                <w:szCs w:val="18"/>
                <w:b w:val="1"/>
                <w:bCs w:val="1"/>
                <w:color w:val="auto"/>
              </w:rPr>
              <w:t>217</w:t>
            </w:r>
          </w:p>
        </w:tc>
        <w:tc>
          <w:tcPr>
            <w:tcW w:w="1020" w:type="dxa"/>
            <w:vAlign w:val="bottom"/>
          </w:tcPr>
          <w:p>
            <w:pPr>
              <w:jc w:val="right"/>
              <w:ind w:right="172"/>
              <w:spacing w:after="0"/>
              <w:rPr>
                <w:sz w:val="20"/>
                <w:szCs w:val="20"/>
                <w:color w:val="auto"/>
              </w:rPr>
            </w:pPr>
            <w:r>
              <w:rPr>
                <w:rFonts w:ascii="Arial" w:cs="Arial" w:eastAsia="Arial" w:hAnsi="Arial"/>
                <w:sz w:val="18"/>
                <w:szCs w:val="18"/>
                <w:b w:val="1"/>
                <w:bCs w:val="1"/>
                <w:color w:val="auto"/>
              </w:rPr>
              <w:t>8.8</w:t>
            </w:r>
          </w:p>
        </w:tc>
      </w:tr>
      <w:tr>
        <w:trPr>
          <w:trHeight w:val="270"/>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1,652</w:t>
            </w:r>
          </w:p>
        </w:tc>
        <w:tc>
          <w:tcPr>
            <w:tcW w:w="70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1,577</w:t>
            </w:r>
          </w:p>
        </w:tc>
        <w:tc>
          <w:tcPr>
            <w:tcW w:w="560" w:type="dxa"/>
            <w:vAlign w:val="bottom"/>
          </w:tcPr>
          <w:p>
            <w:pPr>
              <w:spacing w:after="0"/>
              <w:rPr>
                <w:sz w:val="23"/>
                <w:szCs w:val="23"/>
                <w:color w:val="auto"/>
              </w:rPr>
            </w:pPr>
          </w:p>
        </w:tc>
        <w:tc>
          <w:tcPr>
            <w:tcW w:w="1600" w:type="dxa"/>
            <w:vAlign w:val="bottom"/>
          </w:tcPr>
          <w:p>
            <w:pPr>
              <w:jc w:val="right"/>
              <w:ind w:right="575"/>
              <w:spacing w:after="0"/>
              <w:rPr>
                <w:sz w:val="20"/>
                <w:szCs w:val="20"/>
                <w:color w:val="auto"/>
              </w:rPr>
            </w:pPr>
            <w:r>
              <w:rPr>
                <w:rFonts w:ascii="Arial" w:cs="Arial" w:eastAsia="Arial" w:hAnsi="Arial"/>
                <w:sz w:val="18"/>
                <w:szCs w:val="18"/>
                <w:color w:val="auto"/>
              </w:rPr>
              <w:t>75</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4.8</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411</w:t>
            </w:r>
          </w:p>
        </w:tc>
        <w:tc>
          <w:tcPr>
            <w:tcW w:w="70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382</w:t>
            </w:r>
          </w:p>
        </w:tc>
        <w:tc>
          <w:tcPr>
            <w:tcW w:w="560" w:type="dxa"/>
            <w:vAlign w:val="bottom"/>
          </w:tcPr>
          <w:p>
            <w:pPr>
              <w:spacing w:after="0"/>
              <w:rPr>
                <w:sz w:val="23"/>
                <w:szCs w:val="23"/>
                <w:color w:val="auto"/>
              </w:rPr>
            </w:pPr>
          </w:p>
        </w:tc>
        <w:tc>
          <w:tcPr>
            <w:tcW w:w="1600" w:type="dxa"/>
            <w:vAlign w:val="bottom"/>
          </w:tcPr>
          <w:p>
            <w:pPr>
              <w:jc w:val="right"/>
              <w:ind w:right="575"/>
              <w:spacing w:after="0"/>
              <w:rPr>
                <w:sz w:val="20"/>
                <w:szCs w:val="20"/>
                <w:color w:val="auto"/>
              </w:rPr>
            </w:pPr>
            <w:r>
              <w:rPr>
                <w:rFonts w:ascii="Arial" w:cs="Arial" w:eastAsia="Arial" w:hAnsi="Arial"/>
                <w:sz w:val="18"/>
                <w:szCs w:val="18"/>
                <w:color w:val="auto"/>
              </w:rPr>
              <w:t>29</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7.6</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120</w:t>
            </w:r>
          </w:p>
        </w:tc>
        <w:tc>
          <w:tcPr>
            <w:tcW w:w="70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121</w:t>
            </w:r>
          </w:p>
        </w:tc>
        <w:tc>
          <w:tcPr>
            <w:tcW w:w="560" w:type="dxa"/>
            <w:vAlign w:val="bottom"/>
          </w:tcPr>
          <w:p>
            <w:pPr>
              <w:spacing w:after="0"/>
              <w:rPr>
                <w:sz w:val="23"/>
                <w:szCs w:val="23"/>
                <w:color w:val="auto"/>
              </w:rPr>
            </w:pPr>
          </w:p>
        </w:tc>
        <w:tc>
          <w:tcPr>
            <w:tcW w:w="1600" w:type="dxa"/>
            <w:vAlign w:val="bottom"/>
          </w:tcPr>
          <w:p>
            <w:pPr>
              <w:jc w:val="right"/>
              <w:ind w:right="515"/>
              <w:spacing w:after="0"/>
              <w:rPr>
                <w:sz w:val="20"/>
                <w:szCs w:val="20"/>
                <w:color w:val="auto"/>
              </w:rPr>
            </w:pPr>
            <w:r>
              <w:rPr>
                <w:rFonts w:ascii="Arial" w:cs="Arial" w:eastAsia="Arial" w:hAnsi="Arial"/>
                <w:sz w:val="18"/>
                <w:szCs w:val="18"/>
                <w:color w:val="auto"/>
              </w:rPr>
              <w:t>(1)</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(1.1)</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2,183</w:t>
            </w:r>
          </w:p>
        </w:tc>
        <w:tc>
          <w:tcPr>
            <w:tcW w:w="70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2,080</w:t>
            </w:r>
          </w:p>
        </w:tc>
        <w:tc>
          <w:tcPr>
            <w:tcW w:w="560" w:type="dxa"/>
            <w:vAlign w:val="bottom"/>
          </w:tcPr>
          <w:p>
            <w:pPr>
              <w:spacing w:after="0"/>
              <w:rPr>
                <w:sz w:val="20"/>
                <w:szCs w:val="20"/>
                <w:color w:val="auto"/>
              </w:rPr>
            </w:pPr>
          </w:p>
        </w:tc>
        <w:tc>
          <w:tcPr>
            <w:tcW w:w="1600" w:type="dxa"/>
            <w:vAlign w:val="bottom"/>
          </w:tcPr>
          <w:p>
            <w:pPr>
              <w:jc w:val="right"/>
              <w:ind w:right="575"/>
              <w:spacing w:after="0"/>
              <w:rPr>
                <w:sz w:val="20"/>
                <w:szCs w:val="20"/>
                <w:color w:val="auto"/>
              </w:rPr>
            </w:pPr>
            <w:r>
              <w:rPr>
                <w:rFonts w:ascii="Arial" w:cs="Arial" w:eastAsia="Arial" w:hAnsi="Arial"/>
                <w:sz w:val="18"/>
                <w:szCs w:val="18"/>
                <w:color w:val="auto"/>
              </w:rPr>
              <w:t>103</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4.9</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501</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387</w:t>
            </w: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575"/>
              <w:spacing w:after="0"/>
              <w:rPr>
                <w:sz w:val="20"/>
                <w:szCs w:val="20"/>
                <w:color w:val="auto"/>
              </w:rPr>
            </w:pPr>
            <w:r>
              <w:rPr>
                <w:rFonts w:ascii="Arial" w:cs="Arial" w:eastAsia="Arial" w:hAnsi="Arial"/>
                <w:sz w:val="18"/>
                <w:szCs w:val="18"/>
                <w:b w:val="1"/>
                <w:bCs w:val="1"/>
                <w:color w:val="auto"/>
              </w:rPr>
              <w:t>114</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29.6 %</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Broadcast Television revenue increased for the three months ended March 31, 2020 compared to the same period in 2019 primarily due to increases in content licensing revenue and distribution and other revenue. The increase in content licensing revenue was primarily due to the timing of content provided under our licensing agreements. The increase in distribution and other revenue was primarily due to increases in fees recognized under our retransmission consent agreements. Advertising revenue was flat for the three months ended March 31, 2020 compared to the same period in 2019 as higher prices for advertising units sold and increased political advertising were offset by continued declines in audience ratings and reduced spending from advertisers due to COVID-19. We expect reduced spending from advertisers over the near to medium term as a result of deteriorating economic conditions resulting from COVID-19.</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75"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costs and expenses increased for the three months ended March 31, 2020 compared to the same period in 2019 primarily due to increases in programming and production costs and other operating and administrative costs. The increase in programming and production costs was primarily due to increases in costs related to original and acquired programming and higher studio production costs. These increases were partially offset by the impact of the adoption of updated accounting guidance in the first quarter of 2020, which removed certain limitations on the amounts capitalized for episodic television series and had a favorable impact on programming and production expense in the current period (see Note 8). The increase in other operating and administrative costs and expenses was primarily due to additional personnel costs.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2019</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317</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445</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(128)</w:t>
            </w:r>
          </w:p>
        </w:tc>
        <w:tc>
          <w:tcPr>
            <w:tcW w:w="10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691</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817</w:t>
            </w:r>
          </w:p>
        </w:tc>
        <w:tc>
          <w:tcPr>
            <w:tcW w:w="54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(126)</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(15.4)</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171</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267</w:t>
            </w:r>
          </w:p>
        </w:tc>
        <w:tc>
          <w:tcPr>
            <w:tcW w:w="54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(96)</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(35.8)</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191</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239</w:t>
            </w:r>
          </w:p>
        </w:tc>
        <w:tc>
          <w:tcPr>
            <w:tcW w:w="54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(48)</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(20.3)</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1,370</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1,768</w:t>
            </w:r>
          </w:p>
        </w:tc>
        <w:tc>
          <w:tcPr>
            <w:tcW w:w="540" w:type="dxa"/>
            <w:vAlign w:val="bottom"/>
          </w:tcPr>
          <w:p>
            <w:pPr>
              <w:spacing w:after="0"/>
              <w:rPr>
                <w:sz w:val="20"/>
                <w:szCs w:val="20"/>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b w:val="1"/>
                <w:bCs w:val="1"/>
                <w:color w:val="auto"/>
              </w:rPr>
              <w:t>(398)</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(22.5)</w:t>
            </w:r>
          </w:p>
        </w:tc>
      </w:tr>
      <w:tr>
        <w:trPr>
          <w:trHeight w:val="270"/>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608</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733</w:t>
            </w:r>
          </w:p>
        </w:tc>
        <w:tc>
          <w:tcPr>
            <w:tcW w:w="54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(125)</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(17.1)</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264</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261</w:t>
            </w:r>
          </w:p>
        </w:tc>
        <w:tc>
          <w:tcPr>
            <w:tcW w:w="54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3</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1.1</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392</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410</w:t>
            </w:r>
          </w:p>
        </w:tc>
        <w:tc>
          <w:tcPr>
            <w:tcW w:w="54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(18)</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(4.4)</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1,264</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1,404</w:t>
            </w:r>
          </w:p>
        </w:tc>
        <w:tc>
          <w:tcPr>
            <w:tcW w:w="540" w:type="dxa"/>
            <w:vAlign w:val="bottom"/>
          </w:tcPr>
          <w:p>
            <w:pPr>
              <w:spacing w:after="0"/>
              <w:rPr>
                <w:sz w:val="20"/>
                <w:szCs w:val="20"/>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(140)</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(10.0)</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106</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364</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b w:val="1"/>
                <w:bCs w:val="1"/>
                <w:color w:val="auto"/>
              </w:rPr>
              <w:t>(258)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(70.9)%</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Filmed Entertainment revenue decreased for the three months ended March 31, 2020 compared to the same period in 2019 due to decreases in theatrical revenue, content licensing revenue, home entertainment revenue and other revenue. The decrease in theatrical revenue was primarily due to strong performances of films in the prior year period, including </w:t>
      </w:r>
      <w:r>
        <w:rPr>
          <w:rFonts w:ascii="Arial" w:cs="Arial" w:eastAsia="Arial" w:hAnsi="Arial"/>
          <w:sz w:val="16"/>
          <w:szCs w:val="16"/>
          <w:i w:val="1"/>
          <w:iCs w:val="1"/>
          <w:color w:val="auto"/>
        </w:rPr>
        <w:t>How to Train Your Dragon: The Hidden World</w:t>
      </w:r>
      <w:r>
        <w:rPr>
          <w:rFonts w:ascii="Arial" w:cs="Arial" w:eastAsia="Arial" w:hAnsi="Arial"/>
          <w:sz w:val="16"/>
          <w:szCs w:val="16"/>
          <w:color w:val="auto"/>
        </w:rPr>
        <w:t xml:space="preserve">, </w:t>
      </w:r>
      <w:r>
        <w:rPr>
          <w:rFonts w:ascii="Arial" w:cs="Arial" w:eastAsia="Arial" w:hAnsi="Arial"/>
          <w:sz w:val="16"/>
          <w:szCs w:val="16"/>
          <w:i w:val="1"/>
          <w:iCs w:val="1"/>
          <w:color w:val="auto"/>
        </w:rPr>
        <w:t>Us</w:t>
      </w:r>
      <w:r>
        <w:rPr>
          <w:rFonts w:ascii="Arial" w:cs="Arial" w:eastAsia="Arial" w:hAnsi="Arial"/>
          <w:sz w:val="16"/>
          <w:szCs w:val="16"/>
          <w:color w:val="auto"/>
        </w:rPr>
        <w:t xml:space="preserve"> and </w:t>
      </w:r>
      <w:r>
        <w:rPr>
          <w:rFonts w:ascii="Arial" w:cs="Arial" w:eastAsia="Arial" w:hAnsi="Arial"/>
          <w:sz w:val="16"/>
          <w:szCs w:val="16"/>
          <w:i w:val="1"/>
          <w:iCs w:val="1"/>
          <w:color w:val="auto"/>
        </w:rPr>
        <w:t>Glass</w:t>
      </w:r>
      <w:r>
        <w:rPr>
          <w:rFonts w:ascii="Arial" w:cs="Arial" w:eastAsia="Arial" w:hAnsi="Arial"/>
          <w:sz w:val="16"/>
          <w:szCs w:val="16"/>
          <w:color w:val="auto"/>
        </w:rPr>
        <w:t xml:space="preserve">, partially offset by the performances of films in the current year period, including </w:t>
      </w:r>
      <w:r>
        <w:rPr>
          <w:rFonts w:ascii="Arial" w:cs="Arial" w:eastAsia="Arial" w:hAnsi="Arial"/>
          <w:sz w:val="16"/>
          <w:szCs w:val="16"/>
          <w:i w:val="1"/>
          <w:iCs w:val="1"/>
          <w:color w:val="auto"/>
        </w:rPr>
        <w:t>1917, Dolittle, The Invisible Man</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Photograph.</w:t>
      </w:r>
      <w:r>
        <w:rPr>
          <w:rFonts w:ascii="Arial" w:cs="Arial" w:eastAsia="Arial" w:hAnsi="Arial"/>
          <w:sz w:val="16"/>
          <w:szCs w:val="16"/>
          <w:color w:val="auto"/>
        </w:rPr>
        <w:t xml:space="preserve"> Films released late in the first quarter of 2020 were negatively impacted by theater closures as a result of COVID-19. The decrease in content licensing revenue was primarily due to the timing of when content was made available under licensing agreements, partially offset by the impacts of making certain 2020 releases available on demand after theater closures due to COVID-19, including </w:t>
      </w:r>
      <w:r>
        <w:rPr>
          <w:rFonts w:ascii="Arial" w:cs="Arial" w:eastAsia="Arial" w:hAnsi="Arial"/>
          <w:sz w:val="16"/>
          <w:szCs w:val="16"/>
          <w:i w:val="1"/>
          <w:iCs w:val="1"/>
          <w:color w:val="auto"/>
        </w:rPr>
        <w:t>The Invisible Man, Emma.</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Hunt.</w:t>
      </w:r>
      <w:r>
        <w:rPr>
          <w:rFonts w:ascii="Arial" w:cs="Arial" w:eastAsia="Arial" w:hAnsi="Arial"/>
          <w:sz w:val="16"/>
          <w:szCs w:val="16"/>
          <w:color w:val="auto"/>
        </w:rPr>
        <w:t xml:space="preserve"> The decrease in home entertainment revenue was primarily due to higher sales of 2019 releases, including </w:t>
      </w:r>
      <w:r>
        <w:rPr>
          <w:rFonts w:ascii="Arial" w:cs="Arial" w:eastAsia="Arial" w:hAnsi="Arial"/>
          <w:sz w:val="16"/>
          <w:szCs w:val="16"/>
          <w:i w:val="1"/>
          <w:iCs w:val="1"/>
          <w:color w:val="auto"/>
        </w:rPr>
        <w:t>Dr. Seuss</w:t>
      </w:r>
      <w:r>
        <w:rPr>
          <w:rFonts w:ascii="Arial" w:cs="Arial" w:eastAsia="Arial" w:hAnsi="Arial"/>
          <w:sz w:val="16"/>
          <w:szCs w:val="16"/>
          <w:color w:val="auto"/>
        </w:rPr>
        <w:t xml:space="preserve">’ </w:t>
      </w:r>
      <w:r>
        <w:rPr>
          <w:rFonts w:ascii="Arial" w:cs="Arial" w:eastAsia="Arial" w:hAnsi="Arial"/>
          <w:sz w:val="16"/>
          <w:szCs w:val="16"/>
          <w:i w:val="1"/>
          <w:iCs w:val="1"/>
          <w:color w:val="auto"/>
        </w:rPr>
        <w:t>The Grinch, Halloween</w:t>
      </w:r>
      <w:r>
        <w:rPr>
          <w:rFonts w:ascii="Arial" w:cs="Arial" w:eastAsia="Arial" w:hAnsi="Arial"/>
          <w:sz w:val="16"/>
          <w:szCs w:val="16"/>
          <w:color w:val="auto"/>
        </w:rPr>
        <w:t xml:space="preserve"> and </w:t>
      </w:r>
      <w:r>
        <w:rPr>
          <w:rFonts w:ascii="Arial" w:cs="Arial" w:eastAsia="Arial" w:hAnsi="Arial"/>
          <w:sz w:val="16"/>
          <w:szCs w:val="16"/>
          <w:i w:val="1"/>
          <w:iCs w:val="1"/>
          <w:color w:val="auto"/>
        </w:rPr>
        <w:t>Night School</w:t>
      </w:r>
      <w:r>
        <w:rPr>
          <w:rFonts w:ascii="Arial" w:cs="Arial" w:eastAsia="Arial" w:hAnsi="Arial"/>
          <w:sz w:val="16"/>
          <w:szCs w:val="16"/>
          <w:color w:val="auto"/>
        </w:rPr>
        <w:t xml:space="preserve"> compared to the sales of 2020 releases, including </w:t>
      </w:r>
      <w:r>
        <w:rPr>
          <w:rFonts w:ascii="Arial" w:cs="Arial" w:eastAsia="Arial" w:hAnsi="Arial"/>
          <w:sz w:val="16"/>
          <w:szCs w:val="16"/>
          <w:i w:val="1"/>
          <w:iCs w:val="1"/>
          <w:color w:val="auto"/>
        </w:rPr>
        <w:t>1917</w:t>
      </w:r>
      <w:r>
        <w:rPr>
          <w:rFonts w:ascii="Arial" w:cs="Arial" w:eastAsia="Arial" w:hAnsi="Arial"/>
          <w:sz w:val="16"/>
          <w:szCs w:val="16"/>
          <w:color w:val="auto"/>
        </w:rPr>
        <w:t xml:space="preserve"> and </w:t>
      </w:r>
      <w:r>
        <w:rPr>
          <w:rFonts w:ascii="Arial" w:cs="Arial" w:eastAsia="Arial" w:hAnsi="Arial"/>
          <w:sz w:val="16"/>
          <w:szCs w:val="16"/>
          <w:i w:val="1"/>
          <w:iCs w:val="1"/>
          <w:color w:val="auto"/>
        </w:rPr>
        <w:t>Downton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Abbey </w:t>
      </w:r>
      <w:r>
        <w:rPr>
          <w:rFonts w:ascii="Arial" w:cs="Arial" w:eastAsia="Arial" w:hAnsi="Arial"/>
          <w:sz w:val="16"/>
          <w:szCs w:val="16"/>
          <w:color w:val="auto"/>
        </w:rPr>
        <w:t>and continued sales of</w:t>
      </w:r>
      <w:r>
        <w:rPr>
          <w:rFonts w:ascii="Arial" w:cs="Arial" w:eastAsia="Arial" w:hAnsi="Arial"/>
          <w:sz w:val="16"/>
          <w:szCs w:val="16"/>
          <w:i w:val="1"/>
          <w:iCs w:val="1"/>
          <w:color w:val="auto"/>
        </w:rPr>
        <w:t xml:space="preserve"> Fast and Furious Presents: Hobbs and Shaw. </w:t>
      </w:r>
      <w:r>
        <w:rPr>
          <w:rFonts w:ascii="Arial" w:cs="Arial" w:eastAsia="Arial" w:hAnsi="Arial"/>
          <w:sz w:val="16"/>
          <w:szCs w:val="16"/>
          <w:color w:val="auto"/>
        </w:rPr>
        <w:t>The decrease in other revenue was primarily due to decreases in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our live stage play and movie ticketing and entertainment businesses, which were impacted by theater and entertainment venue closures as a result of COVID-19. Filmed Entertainment revenue is expected to continue to be negatively impacted over the near to medium term as a result of COVID-19.</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costs and expenses decreased for the three months ended March 31, 2020 compared to the same period in 2019 primarily due to decreases in programming and production costs and advertising, marketing and promotion costs. The decrease in programming and production costs was primarily due to higher amortization of film production costs in the prior year period. The decrease in advertising, marketing and promotion costs was due to higher spending on the marketing of prior year period releases and lower spending in the current period.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75"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jc w:val="right"/>
              <w:ind w:right="159"/>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w w:val="96"/>
              </w:rPr>
              <w:t>2019</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9"/>
              <w:spacing w:after="0"/>
              <w:rPr>
                <w:sz w:val="20"/>
                <w:szCs w:val="20"/>
                <w:color w:val="auto"/>
              </w:rPr>
            </w:pPr>
            <w:r>
              <w:rPr>
                <w:rFonts w:ascii="Arial" w:cs="Arial" w:eastAsia="Arial" w:hAnsi="Arial"/>
                <w:sz w:val="18"/>
                <w:szCs w:val="18"/>
                <w:color w:val="auto"/>
              </w:rPr>
              <w:t>869</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1,276</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9"/>
              <w:spacing w:after="0"/>
              <w:rPr>
                <w:sz w:val="20"/>
                <w:szCs w:val="20"/>
                <w:color w:val="auto"/>
              </w:rPr>
            </w:pPr>
            <w:r>
              <w:rPr>
                <w:rFonts w:ascii="Arial" w:cs="Arial" w:eastAsia="Arial" w:hAnsi="Arial"/>
                <w:sz w:val="18"/>
                <w:szCs w:val="18"/>
                <w:color w:val="auto"/>
              </w:rPr>
              <w:t>(407)</w:t>
            </w:r>
          </w:p>
        </w:tc>
        <w:tc>
          <w:tcPr>
            <w:tcW w:w="102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0"/>
        </w:trPr>
        <w:tc>
          <w:tcPr>
            <w:tcW w:w="48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3"/>
                <w:szCs w:val="23"/>
                <w:color w:val="auto"/>
              </w:rPr>
            </w:pPr>
          </w:p>
        </w:tc>
        <w:tc>
          <w:tcPr>
            <w:tcW w:w="1160" w:type="dxa"/>
            <w:vAlign w:val="bottom"/>
          </w:tcPr>
          <w:p>
            <w:pPr>
              <w:jc w:val="right"/>
              <w:ind w:right="99"/>
              <w:spacing w:after="0"/>
              <w:rPr>
                <w:sz w:val="20"/>
                <w:szCs w:val="20"/>
                <w:color w:val="auto"/>
              </w:rPr>
            </w:pPr>
            <w:r>
              <w:rPr>
                <w:rFonts w:ascii="Arial" w:cs="Arial" w:eastAsia="Arial" w:hAnsi="Arial"/>
                <w:sz w:val="18"/>
                <w:szCs w:val="18"/>
                <w:color w:val="auto"/>
              </w:rPr>
              <w:t>793</w:t>
            </w:r>
          </w:p>
        </w:tc>
        <w:tc>
          <w:tcPr>
            <w:tcW w:w="700" w:type="dxa"/>
            <w:vAlign w:val="bottom"/>
          </w:tcPr>
          <w:p>
            <w:pPr>
              <w:spacing w:after="0"/>
              <w:rPr>
                <w:sz w:val="23"/>
                <w:szCs w:val="23"/>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778</w:t>
            </w:r>
          </w:p>
        </w:tc>
        <w:tc>
          <w:tcPr>
            <w:tcW w:w="560" w:type="dxa"/>
            <w:vAlign w:val="bottom"/>
          </w:tcPr>
          <w:p>
            <w:pPr>
              <w:spacing w:after="0"/>
              <w:rPr>
                <w:sz w:val="23"/>
                <w:szCs w:val="23"/>
                <w:color w:val="auto"/>
              </w:rPr>
            </w:pPr>
          </w:p>
        </w:tc>
        <w:tc>
          <w:tcPr>
            <w:tcW w:w="1620" w:type="dxa"/>
            <w:vAlign w:val="bottom"/>
          </w:tcPr>
          <w:p>
            <w:pPr>
              <w:jc w:val="right"/>
              <w:ind w:right="599"/>
              <w:spacing w:after="0"/>
              <w:rPr>
                <w:sz w:val="20"/>
                <w:szCs w:val="20"/>
                <w:color w:val="auto"/>
              </w:rPr>
            </w:pPr>
            <w:r>
              <w:rPr>
                <w:rFonts w:ascii="Arial" w:cs="Arial" w:eastAsia="Arial" w:hAnsi="Arial"/>
                <w:sz w:val="18"/>
                <w:szCs w:val="18"/>
                <w:color w:val="auto"/>
              </w:rPr>
              <w:t>15</w:t>
            </w: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1.8</w:t>
            </w:r>
          </w:p>
        </w:tc>
      </w:tr>
      <w:tr>
        <w:trPr>
          <w:trHeight w:val="27"/>
        </w:trPr>
        <w:tc>
          <w:tcPr>
            <w:tcW w:w="4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99"/>
              <w:spacing w:after="0"/>
              <w:rPr>
                <w:sz w:val="20"/>
                <w:szCs w:val="20"/>
                <w:color w:val="auto"/>
              </w:rPr>
            </w:pPr>
            <w:r>
              <w:rPr>
                <w:rFonts w:ascii="Arial" w:cs="Arial" w:eastAsia="Arial" w:hAnsi="Arial"/>
                <w:sz w:val="18"/>
                <w:szCs w:val="18"/>
                <w:b w:val="1"/>
                <w:bCs w:val="1"/>
                <w:color w:val="auto"/>
              </w:rPr>
              <w:t>76</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5"/>
              <w:spacing w:after="0"/>
              <w:rPr>
                <w:sz w:val="20"/>
                <w:szCs w:val="20"/>
                <w:color w:val="auto"/>
              </w:rPr>
            </w:pPr>
            <w:r>
              <w:rPr>
                <w:rFonts w:ascii="Arial" w:cs="Arial" w:eastAsia="Arial" w:hAnsi="Arial"/>
                <w:sz w:val="18"/>
                <w:szCs w:val="18"/>
                <w:b w:val="1"/>
                <w:bCs w:val="1"/>
                <w:color w:val="auto"/>
              </w:rPr>
              <w:t>498</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9"/>
              <w:spacing w:after="0"/>
              <w:rPr>
                <w:sz w:val="20"/>
                <w:szCs w:val="20"/>
                <w:color w:val="auto"/>
              </w:rPr>
            </w:pPr>
            <w:r>
              <w:rPr>
                <w:rFonts w:ascii="Arial" w:cs="Arial" w:eastAsia="Arial" w:hAnsi="Arial"/>
                <w:sz w:val="18"/>
                <w:szCs w:val="18"/>
                <w:b w:val="1"/>
                <w:bCs w:val="1"/>
                <w:color w:val="auto"/>
              </w:rPr>
              <w:t>(422)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(84.7)%</w:t>
            </w:r>
          </w:p>
        </w:tc>
      </w:tr>
      <w:tr>
        <w:trPr>
          <w:trHeight w:val="34"/>
        </w:trPr>
        <w:tc>
          <w:tcPr>
            <w:tcW w:w="4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Parks revenue decreased for the three months ended March 31, 2020 compared to the same period in 2019 primarily due to the closures of our theme park in Japan in late February and our theme parks in Orlando and Hollywood in mid-March as a result of COVID-19. Theme Parks results of operations will continue to be negatively impacted in the near term and the extent of the impacts will depend on when the parks reopen and the level of attendance when they do reopen.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0"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 xml:space="preserve">Theme Parks operating costs and expenses increased for the three months ended March 31, 2020 compared to the same period in 2019 primarily due to increases in employee-related costs, which included continued compensation during park closures, and pre-opening costs associated with Universal Beijing Resort and </w:t>
      </w:r>
      <w:r>
        <w:rPr>
          <w:rFonts w:ascii="Arial" w:cs="Arial" w:eastAsia="Arial" w:hAnsi="Arial"/>
          <w:sz w:val="16"/>
          <w:szCs w:val="16"/>
          <w:i w:val="1"/>
          <w:iCs w:val="1"/>
          <w:color w:val="auto"/>
        </w:rPr>
        <w:t>Super Nintendo World</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 Universal Japan, partially offset by lower costs relating to park operations due to the park closures.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Segment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ind w:right="115"/>
              <w:spacing w:after="0"/>
              <w:rPr>
                <w:sz w:val="20"/>
                <w:szCs w:val="20"/>
                <w:color w:val="auto"/>
              </w:rPr>
            </w:pPr>
            <w:r>
              <w:rPr>
                <w:rFonts w:ascii="Arial" w:cs="Arial" w:eastAsia="Arial" w:hAnsi="Arial"/>
                <w:sz w:val="14"/>
                <w:szCs w:val="14"/>
                <w:color w:val="auto"/>
              </w:rPr>
              <w:t>Increase/</w:t>
            </w:r>
          </w:p>
        </w:tc>
        <w:tc>
          <w:tcPr>
            <w:tcW w:w="1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Constant Currency</w:t>
            </w:r>
          </w:p>
        </w:tc>
      </w:tr>
      <w:tr>
        <w:trPr>
          <w:trHeight w:val="188"/>
        </w:trPr>
        <w:tc>
          <w:tcPr>
            <w:tcW w:w="3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(Decrease)</w:t>
            </w:r>
          </w:p>
        </w:tc>
        <w:tc>
          <w:tcPr>
            <w:tcW w:w="1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Growth</w:t>
            </w:r>
            <w:r>
              <w:rPr>
                <w:rFonts w:ascii="Arial" w:cs="Arial" w:eastAsia="Arial" w:hAnsi="Arial"/>
                <w:sz w:val="8"/>
                <w:szCs w:val="8"/>
                <w:color w:val="auto"/>
                <w:w w:val="98"/>
              </w:rPr>
              <w:t>(a)</w:t>
            </w:r>
          </w:p>
        </w:tc>
      </w:tr>
      <w:tr>
        <w:trPr>
          <w:trHeight w:val="263"/>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5"/>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3480" w:type="dxa"/>
            <w:vAlign w:val="bottom"/>
          </w:tcPr>
          <w:p>
            <w:pPr>
              <w:ind w:left="380"/>
              <w:spacing w:after="0"/>
              <w:rPr>
                <w:sz w:val="20"/>
                <w:szCs w:val="20"/>
                <w:color w:val="auto"/>
              </w:rPr>
            </w:pPr>
            <w:r>
              <w:rPr>
                <w:rFonts w:ascii="Arial" w:cs="Arial" w:eastAsia="Arial" w:hAnsi="Arial"/>
                <w:sz w:val="18"/>
                <w:szCs w:val="18"/>
                <w:color w:val="auto"/>
              </w:rPr>
              <w:t>Direct-to-consumer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3,679</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3,834</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(155)</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3480" w:type="dxa"/>
            <w:vAlign w:val="bottom"/>
          </w:tcPr>
          <w:p>
            <w:pPr>
              <w:ind w:left="380"/>
              <w:spacing w:after="0"/>
              <w:rPr>
                <w:sz w:val="20"/>
                <w:szCs w:val="20"/>
                <w:color w:val="auto"/>
              </w:rPr>
            </w:pPr>
            <w:r>
              <w:rPr>
                <w:rFonts w:ascii="Arial" w:cs="Arial" w:eastAsia="Arial" w:hAnsi="Arial"/>
                <w:sz w:val="18"/>
                <w:szCs w:val="18"/>
                <w:color w:val="auto"/>
              </w:rPr>
              <w:t>Content</w:t>
            </w:r>
          </w:p>
        </w:tc>
        <w:tc>
          <w:tcPr>
            <w:tcW w:w="340" w:type="dxa"/>
            <w:vAlign w:val="bottom"/>
          </w:tcPr>
          <w:p>
            <w:pPr>
              <w:spacing w:after="0"/>
              <w:rPr>
                <w:sz w:val="23"/>
                <w:szCs w:val="23"/>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325</w:t>
            </w:r>
          </w:p>
        </w:tc>
        <w:tc>
          <w:tcPr>
            <w:tcW w:w="70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370</w:t>
            </w:r>
          </w:p>
        </w:tc>
        <w:tc>
          <w:tcPr>
            <w:tcW w:w="520" w:type="dxa"/>
            <w:vAlign w:val="bottom"/>
          </w:tcPr>
          <w:p>
            <w:pPr>
              <w:spacing w:after="0"/>
              <w:rPr>
                <w:sz w:val="23"/>
                <w:szCs w:val="23"/>
                <w:color w:val="auto"/>
              </w:rPr>
            </w:pP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(45)</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(12.3)</w:t>
            </w:r>
          </w:p>
        </w:tc>
        <w:tc>
          <w:tcPr>
            <w:tcW w:w="1500" w:type="dxa"/>
            <w:vAlign w:val="bottom"/>
          </w:tcPr>
          <w:p>
            <w:pPr>
              <w:jc w:val="right"/>
              <w:ind w:right="115"/>
              <w:spacing w:after="0"/>
              <w:rPr>
                <w:sz w:val="20"/>
                <w:szCs w:val="20"/>
                <w:color w:val="auto"/>
              </w:rPr>
            </w:pPr>
            <w:r>
              <w:rPr>
                <w:rFonts w:ascii="Arial" w:cs="Arial" w:eastAsia="Arial" w:hAnsi="Arial"/>
                <w:sz w:val="18"/>
                <w:szCs w:val="18"/>
                <w:color w:val="auto"/>
              </w:rPr>
              <w:t>(10.5)</w:t>
            </w:r>
          </w:p>
        </w:tc>
      </w:tr>
      <w:tr>
        <w:trPr>
          <w:trHeight w:val="270"/>
        </w:trPr>
        <w:tc>
          <w:tcPr>
            <w:tcW w:w="34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513</w:t>
            </w:r>
          </w:p>
        </w:tc>
        <w:tc>
          <w:tcPr>
            <w:tcW w:w="70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593</w:t>
            </w:r>
          </w:p>
        </w:tc>
        <w:tc>
          <w:tcPr>
            <w:tcW w:w="520" w:type="dxa"/>
            <w:vAlign w:val="bottom"/>
          </w:tcPr>
          <w:p>
            <w:pPr>
              <w:spacing w:after="0"/>
              <w:rPr>
                <w:sz w:val="23"/>
                <w:szCs w:val="23"/>
                <w:color w:val="auto"/>
              </w:rPr>
            </w:pP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(80)</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(13.5)</w:t>
            </w:r>
          </w:p>
        </w:tc>
        <w:tc>
          <w:tcPr>
            <w:tcW w:w="1500" w:type="dxa"/>
            <w:vAlign w:val="bottom"/>
          </w:tcPr>
          <w:p>
            <w:pPr>
              <w:jc w:val="right"/>
              <w:ind w:right="115"/>
              <w:spacing w:after="0"/>
              <w:rPr>
                <w:sz w:val="20"/>
                <w:szCs w:val="20"/>
                <w:color w:val="auto"/>
              </w:rPr>
            </w:pPr>
            <w:r>
              <w:rPr>
                <w:rFonts w:ascii="Arial" w:cs="Arial" w:eastAsia="Arial" w:hAnsi="Arial"/>
                <w:sz w:val="18"/>
                <w:szCs w:val="18"/>
                <w:color w:val="auto"/>
              </w:rPr>
              <w:t>(11.6)</w:t>
            </w:r>
          </w:p>
        </w:tc>
      </w:tr>
      <w:tr>
        <w:trPr>
          <w:trHeight w:val="27"/>
        </w:trPr>
        <w:tc>
          <w:tcPr>
            <w:tcW w:w="3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b w:val="1"/>
                <w:bCs w:val="1"/>
                <w:color w:val="auto"/>
              </w:rPr>
              <w:t>4,517</w:t>
            </w:r>
          </w:p>
        </w:tc>
        <w:tc>
          <w:tcPr>
            <w:tcW w:w="70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4,797</w:t>
            </w:r>
          </w:p>
        </w:tc>
        <w:tc>
          <w:tcPr>
            <w:tcW w:w="520" w:type="dxa"/>
            <w:vAlign w:val="bottom"/>
          </w:tcPr>
          <w:p>
            <w:pPr>
              <w:spacing w:after="0"/>
              <w:rPr>
                <w:sz w:val="20"/>
                <w:szCs w:val="20"/>
                <w:color w:val="auto"/>
              </w:rPr>
            </w:pPr>
          </w:p>
        </w:tc>
        <w:tc>
          <w:tcPr>
            <w:tcW w:w="1500" w:type="dxa"/>
            <w:vAlign w:val="bottom"/>
          </w:tcPr>
          <w:p>
            <w:pPr>
              <w:jc w:val="right"/>
              <w:ind w:right="495"/>
              <w:spacing w:after="0"/>
              <w:rPr>
                <w:sz w:val="20"/>
                <w:szCs w:val="20"/>
                <w:color w:val="auto"/>
              </w:rPr>
            </w:pPr>
            <w:r>
              <w:rPr>
                <w:rFonts w:ascii="Arial" w:cs="Arial" w:eastAsia="Arial" w:hAnsi="Arial"/>
                <w:sz w:val="18"/>
                <w:szCs w:val="18"/>
                <w:b w:val="1"/>
                <w:bCs w:val="1"/>
                <w:color w:val="auto"/>
              </w:rPr>
              <w:t>(280)</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(5.8)</w:t>
            </w:r>
          </w:p>
        </w:tc>
        <w:tc>
          <w:tcPr>
            <w:tcW w:w="1500" w:type="dxa"/>
            <w:vAlign w:val="bottom"/>
          </w:tcPr>
          <w:p>
            <w:pPr>
              <w:jc w:val="right"/>
              <w:ind w:right="115"/>
              <w:spacing w:after="0"/>
              <w:rPr>
                <w:sz w:val="20"/>
                <w:szCs w:val="20"/>
                <w:color w:val="auto"/>
              </w:rPr>
            </w:pPr>
            <w:r>
              <w:rPr>
                <w:rFonts w:ascii="Arial" w:cs="Arial" w:eastAsia="Arial" w:hAnsi="Arial"/>
                <w:sz w:val="18"/>
                <w:szCs w:val="18"/>
                <w:b w:val="1"/>
                <w:bCs w:val="1"/>
                <w:color w:val="auto"/>
              </w:rPr>
              <w:t>(3.7)</w:t>
            </w:r>
          </w:p>
        </w:tc>
      </w:tr>
      <w:tr>
        <w:trPr>
          <w:trHeight w:val="270"/>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4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2,064</w:t>
            </w:r>
          </w:p>
        </w:tc>
        <w:tc>
          <w:tcPr>
            <w:tcW w:w="70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2,301</w:t>
            </w:r>
          </w:p>
        </w:tc>
        <w:tc>
          <w:tcPr>
            <w:tcW w:w="520" w:type="dxa"/>
            <w:vAlign w:val="bottom"/>
          </w:tcPr>
          <w:p>
            <w:pPr>
              <w:spacing w:after="0"/>
              <w:rPr>
                <w:sz w:val="23"/>
                <w:szCs w:val="23"/>
                <w:color w:val="auto"/>
              </w:rPr>
            </w:pP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(237)</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(10.3)</w:t>
            </w:r>
          </w:p>
        </w:tc>
        <w:tc>
          <w:tcPr>
            <w:tcW w:w="1500" w:type="dxa"/>
            <w:vAlign w:val="bottom"/>
          </w:tcPr>
          <w:p>
            <w:pPr>
              <w:jc w:val="right"/>
              <w:ind w:right="115"/>
              <w:spacing w:after="0"/>
              <w:rPr>
                <w:sz w:val="20"/>
                <w:szCs w:val="20"/>
                <w:color w:val="auto"/>
              </w:rPr>
            </w:pPr>
            <w:r>
              <w:rPr>
                <w:rFonts w:ascii="Arial" w:cs="Arial" w:eastAsia="Arial" w:hAnsi="Arial"/>
                <w:sz w:val="18"/>
                <w:szCs w:val="18"/>
                <w:color w:val="auto"/>
              </w:rPr>
              <w:t>(8.2)</w:t>
            </w:r>
          </w:p>
        </w:tc>
      </w:tr>
      <w:tr>
        <w:trPr>
          <w:trHeight w:val="270"/>
        </w:trPr>
        <w:tc>
          <w:tcPr>
            <w:tcW w:w="3480" w:type="dxa"/>
            <w:vAlign w:val="bottom"/>
          </w:tcPr>
          <w:p>
            <w:pPr>
              <w:ind w:left="380"/>
              <w:spacing w:after="0"/>
              <w:rPr>
                <w:sz w:val="20"/>
                <w:szCs w:val="20"/>
                <w:color w:val="auto"/>
              </w:rPr>
            </w:pPr>
            <w:r>
              <w:rPr>
                <w:rFonts w:ascii="Arial" w:cs="Arial" w:eastAsia="Arial" w:hAnsi="Arial"/>
                <w:sz w:val="18"/>
                <w:szCs w:val="18"/>
                <w:color w:val="auto"/>
              </w:rPr>
              <w:t>Direct network costs</w:t>
            </w:r>
          </w:p>
        </w:tc>
        <w:tc>
          <w:tcPr>
            <w:tcW w:w="340" w:type="dxa"/>
            <w:vAlign w:val="bottom"/>
          </w:tcPr>
          <w:p>
            <w:pPr>
              <w:spacing w:after="0"/>
              <w:rPr>
                <w:sz w:val="23"/>
                <w:szCs w:val="23"/>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457</w:t>
            </w:r>
          </w:p>
        </w:tc>
        <w:tc>
          <w:tcPr>
            <w:tcW w:w="70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385</w:t>
            </w:r>
          </w:p>
        </w:tc>
        <w:tc>
          <w:tcPr>
            <w:tcW w:w="520" w:type="dxa"/>
            <w:vAlign w:val="bottom"/>
          </w:tcPr>
          <w:p>
            <w:pPr>
              <w:spacing w:after="0"/>
              <w:rPr>
                <w:sz w:val="23"/>
                <w:szCs w:val="23"/>
                <w:color w:val="auto"/>
              </w:rPr>
            </w:pPr>
          </w:p>
        </w:tc>
        <w:tc>
          <w:tcPr>
            <w:tcW w:w="1500" w:type="dxa"/>
            <w:vAlign w:val="bottom"/>
          </w:tcPr>
          <w:p>
            <w:pPr>
              <w:jc w:val="right"/>
              <w:ind w:right="555"/>
              <w:spacing w:after="0"/>
              <w:rPr>
                <w:sz w:val="20"/>
                <w:szCs w:val="20"/>
                <w:color w:val="auto"/>
              </w:rPr>
            </w:pPr>
            <w:r>
              <w:rPr>
                <w:rFonts w:ascii="Arial" w:cs="Arial" w:eastAsia="Arial" w:hAnsi="Arial"/>
                <w:sz w:val="18"/>
                <w:szCs w:val="18"/>
                <w:color w:val="auto"/>
              </w:rPr>
              <w:t>72</w:t>
            </w: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18.7</w:t>
            </w:r>
          </w:p>
        </w:tc>
        <w:tc>
          <w:tcPr>
            <w:tcW w:w="1500" w:type="dxa"/>
            <w:vAlign w:val="bottom"/>
          </w:tcPr>
          <w:p>
            <w:pPr>
              <w:jc w:val="right"/>
              <w:ind w:right="175"/>
              <w:spacing w:after="0"/>
              <w:rPr>
                <w:sz w:val="20"/>
                <w:szCs w:val="20"/>
                <w:color w:val="auto"/>
              </w:rPr>
            </w:pPr>
            <w:r>
              <w:rPr>
                <w:rFonts w:ascii="Arial" w:cs="Arial" w:eastAsia="Arial" w:hAnsi="Arial"/>
                <w:sz w:val="18"/>
                <w:szCs w:val="18"/>
                <w:color w:val="auto"/>
              </w:rPr>
              <w:t>20.9</w:t>
            </w:r>
          </w:p>
        </w:tc>
      </w:tr>
      <w:tr>
        <w:trPr>
          <w:trHeight w:val="270"/>
        </w:trPr>
        <w:tc>
          <w:tcPr>
            <w:tcW w:w="348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1,445</w:t>
            </w:r>
          </w:p>
        </w:tc>
        <w:tc>
          <w:tcPr>
            <w:tcW w:w="70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1,448</w:t>
            </w:r>
          </w:p>
        </w:tc>
        <w:tc>
          <w:tcPr>
            <w:tcW w:w="520" w:type="dxa"/>
            <w:vAlign w:val="bottom"/>
          </w:tcPr>
          <w:p>
            <w:pPr>
              <w:spacing w:after="0"/>
              <w:rPr>
                <w:sz w:val="23"/>
                <w:szCs w:val="23"/>
                <w:color w:val="auto"/>
              </w:rPr>
            </w:pP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(3)</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(0.1)</w:t>
            </w:r>
          </w:p>
        </w:tc>
        <w:tc>
          <w:tcPr>
            <w:tcW w:w="1500" w:type="dxa"/>
            <w:vAlign w:val="bottom"/>
          </w:tcPr>
          <w:p>
            <w:pPr>
              <w:jc w:val="right"/>
              <w:ind w:right="175"/>
              <w:spacing w:after="0"/>
              <w:rPr>
                <w:sz w:val="20"/>
                <w:szCs w:val="20"/>
                <w:color w:val="auto"/>
              </w:rPr>
            </w:pPr>
            <w:r>
              <w:rPr>
                <w:rFonts w:ascii="Arial" w:cs="Arial" w:eastAsia="Arial" w:hAnsi="Arial"/>
                <w:sz w:val="18"/>
                <w:szCs w:val="18"/>
                <w:color w:val="auto"/>
              </w:rPr>
              <w:t>2.1</w:t>
            </w:r>
          </w:p>
        </w:tc>
      </w:tr>
      <w:tr>
        <w:trPr>
          <w:trHeight w:val="27"/>
        </w:trPr>
        <w:tc>
          <w:tcPr>
            <w:tcW w:w="3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3,966</w:t>
            </w:r>
          </w:p>
        </w:tc>
        <w:tc>
          <w:tcPr>
            <w:tcW w:w="70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4,134</w:t>
            </w:r>
          </w:p>
        </w:tc>
        <w:tc>
          <w:tcPr>
            <w:tcW w:w="520" w:type="dxa"/>
            <w:vAlign w:val="bottom"/>
          </w:tcPr>
          <w:p>
            <w:pPr>
              <w:spacing w:after="0"/>
              <w:rPr>
                <w:sz w:val="20"/>
                <w:szCs w:val="20"/>
                <w:color w:val="auto"/>
              </w:rPr>
            </w:pP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(168)</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(4.1)</w:t>
            </w:r>
          </w:p>
        </w:tc>
        <w:tc>
          <w:tcPr>
            <w:tcW w:w="1500" w:type="dxa"/>
            <w:vAlign w:val="bottom"/>
          </w:tcPr>
          <w:p>
            <w:pPr>
              <w:jc w:val="right"/>
              <w:ind w:right="115"/>
              <w:spacing w:after="0"/>
              <w:rPr>
                <w:sz w:val="20"/>
                <w:szCs w:val="20"/>
                <w:color w:val="auto"/>
              </w:rPr>
            </w:pPr>
            <w:r>
              <w:rPr>
                <w:rFonts w:ascii="Arial" w:cs="Arial" w:eastAsia="Arial" w:hAnsi="Arial"/>
                <w:sz w:val="18"/>
                <w:szCs w:val="18"/>
                <w:color w:val="auto"/>
              </w:rPr>
              <w:t>(1.9)</w:t>
            </w:r>
          </w:p>
        </w:tc>
      </w:tr>
      <w:tr>
        <w:trPr>
          <w:trHeight w:val="27"/>
        </w:trPr>
        <w:tc>
          <w:tcPr>
            <w:tcW w:w="3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95"/>
              <w:spacing w:after="0"/>
              <w:rPr>
                <w:sz w:val="20"/>
                <w:szCs w:val="20"/>
                <w:color w:val="auto"/>
              </w:rPr>
            </w:pPr>
            <w:r>
              <w:rPr>
                <w:rFonts w:ascii="Arial" w:cs="Arial" w:eastAsia="Arial" w:hAnsi="Arial"/>
                <w:sz w:val="18"/>
                <w:szCs w:val="18"/>
                <w:b w:val="1"/>
                <w:bCs w:val="1"/>
                <w:color w:val="auto"/>
              </w:rPr>
              <w:t>551</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663</w:t>
            </w: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495"/>
              <w:spacing w:after="0"/>
              <w:rPr>
                <w:sz w:val="20"/>
                <w:szCs w:val="20"/>
                <w:color w:val="auto"/>
              </w:rPr>
            </w:pPr>
            <w:r>
              <w:rPr>
                <w:rFonts w:ascii="Arial" w:cs="Arial" w:eastAsia="Arial" w:hAnsi="Arial"/>
                <w:sz w:val="18"/>
                <w:szCs w:val="18"/>
                <w:b w:val="1"/>
                <w:bCs w:val="1"/>
                <w:color w:val="auto"/>
              </w:rPr>
              <w:t>(112)</w:t>
            </w: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(16.9)%</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r>
      <w:tr>
        <w:trPr>
          <w:trHeight w:val="34"/>
        </w:trPr>
        <w:tc>
          <w:tcPr>
            <w:tcW w:w="3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63" w:lineRule="exact"/>
        <w:rPr>
          <w:sz w:val="20"/>
          <w:szCs w:val="20"/>
          <w:color w:val="auto"/>
        </w:rPr>
      </w:pPr>
    </w:p>
    <w:p>
      <w:pPr>
        <w:ind w:left="260" w:hanging="252"/>
        <w:spacing w:after="0" w:line="273"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30 for additional information, including our definition and our use of constant currency, and for a reconciliation of Sky’s constant currency growth rates.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40" w:type="dxa"/>
            <w:vAlign w:val="bottom"/>
            <w:tcBorders>
              <w:bottom w:val="single" w:sz="8" w:color="auto"/>
            </w:tcBorders>
          </w:tcPr>
          <w:p>
            <w:pPr>
              <w:jc w:val="center"/>
              <w:ind w:left="884"/>
              <w:spacing w:after="0"/>
              <w:rPr>
                <w:sz w:val="20"/>
                <w:szCs w:val="20"/>
                <w:color w:val="auto"/>
              </w:rPr>
            </w:pPr>
            <w:r>
              <w:rPr>
                <w:rFonts w:ascii="Arial" w:cs="Arial" w:eastAsia="Arial" w:hAnsi="Arial"/>
                <w:sz w:val="14"/>
                <w:szCs w:val="14"/>
                <w:color w:val="auto"/>
                <w:w w:val="98"/>
              </w:rPr>
              <w:t>Net Additions</w:t>
            </w:r>
          </w:p>
        </w:tc>
        <w:tc>
          <w:tcPr>
            <w:tcW w:w="940" w:type="dxa"/>
            <w:vAlign w:val="bottom"/>
            <w:tcBorders>
              <w:bottom w:val="single" w:sz="8" w:color="auto"/>
            </w:tcBorders>
          </w:tcPr>
          <w:p>
            <w:pPr>
              <w:spacing w:after="0"/>
              <w:rPr>
                <w:sz w:val="16"/>
                <w:szCs w:val="16"/>
                <w:color w:val="auto"/>
              </w:rPr>
            </w:pPr>
          </w:p>
        </w:tc>
      </w:tr>
      <w:tr>
        <w:trPr>
          <w:trHeight w:val="156"/>
        </w:trPr>
        <w:tc>
          <w:tcPr>
            <w:tcW w:w="49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80" w:type="dxa"/>
            <w:vAlign w:val="bottom"/>
            <w:gridSpan w:val="2"/>
          </w:tcPr>
          <w:p>
            <w:pPr>
              <w:jc w:val="center"/>
              <w:spacing w:after="0" w:line="156" w:lineRule="exact"/>
              <w:rPr>
                <w:sz w:val="20"/>
                <w:szCs w:val="20"/>
                <w:color w:val="auto"/>
              </w:rPr>
            </w:pPr>
            <w:r>
              <w:rPr>
                <w:rFonts w:ascii="Arial" w:cs="Arial" w:eastAsia="Arial" w:hAnsi="Arial"/>
                <w:sz w:val="14"/>
                <w:szCs w:val="14"/>
                <w:color w:val="auto"/>
                <w:w w:val="93"/>
              </w:rPr>
              <w:t>Three Months Ended</w:t>
            </w:r>
          </w:p>
        </w:tc>
      </w:tr>
      <w:tr>
        <w:trPr>
          <w:trHeight w:val="188"/>
        </w:trPr>
        <w:tc>
          <w:tcPr>
            <w:tcW w:w="4960" w:type="dxa"/>
            <w:vAlign w:val="bottom"/>
          </w:tcPr>
          <w:p>
            <w:pPr>
              <w:spacing w:after="0"/>
              <w:rPr>
                <w:sz w:val="16"/>
                <w:szCs w:val="16"/>
                <w:color w:val="auto"/>
              </w:rPr>
            </w:pPr>
          </w:p>
        </w:tc>
        <w:tc>
          <w:tcPr>
            <w:tcW w:w="21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March 31,</w:t>
            </w:r>
          </w:p>
        </w:tc>
        <w:tc>
          <w:tcPr>
            <w:tcW w:w="1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left="884"/>
              <w:spacing w:after="0"/>
              <w:rPr>
                <w:sz w:val="20"/>
                <w:szCs w:val="20"/>
                <w:color w:val="auto"/>
              </w:rPr>
            </w:pPr>
            <w:r>
              <w:rPr>
                <w:rFonts w:ascii="Arial" w:cs="Arial" w:eastAsia="Arial" w:hAnsi="Arial"/>
                <w:sz w:val="14"/>
                <w:szCs w:val="14"/>
                <w:color w:val="auto"/>
                <w:w w:val="93"/>
              </w:rPr>
              <w:t>March 31,</w:t>
            </w:r>
          </w:p>
        </w:tc>
        <w:tc>
          <w:tcPr>
            <w:tcW w:w="940" w:type="dxa"/>
            <w:vAlign w:val="bottom"/>
            <w:tcBorders>
              <w:bottom w:val="single" w:sz="8" w:color="auto"/>
            </w:tcBorders>
          </w:tcPr>
          <w:p>
            <w:pPr>
              <w:spacing w:after="0"/>
              <w:rPr>
                <w:sz w:val="16"/>
                <w:szCs w:val="16"/>
                <w:color w:val="auto"/>
              </w:rPr>
            </w:pP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100" w:type="dxa"/>
            <w:vAlign w:val="bottom"/>
            <w:tcBorders>
              <w:bottom w:val="single" w:sz="8" w:color="auto"/>
            </w:tcBorders>
          </w:tcPr>
          <w:p>
            <w:pPr>
              <w:jc w:val="right"/>
              <w:ind w:right="1142"/>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color w:val="auto"/>
              </w:rPr>
              <w:t>2019</w:t>
            </w:r>
          </w:p>
        </w:tc>
        <w:tc>
          <w:tcPr>
            <w:tcW w:w="1940" w:type="dxa"/>
            <w:vAlign w:val="bottom"/>
            <w:tcBorders>
              <w:bottom w:val="single" w:sz="8" w:color="auto"/>
            </w:tcBorders>
          </w:tcPr>
          <w:p>
            <w:pPr>
              <w:jc w:val="right"/>
              <w:ind w:right="1004"/>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2100" w:type="dxa"/>
            <w:vAlign w:val="bottom"/>
          </w:tcPr>
          <w:p>
            <w:pPr>
              <w:jc w:val="right"/>
              <w:ind w:right="662"/>
              <w:spacing w:after="0"/>
              <w:rPr>
                <w:sz w:val="20"/>
                <w:szCs w:val="20"/>
                <w:color w:val="auto"/>
              </w:rPr>
            </w:pPr>
            <w:r>
              <w:rPr>
                <w:rFonts w:ascii="Arial" w:cs="Arial" w:eastAsia="Arial" w:hAnsi="Arial"/>
                <w:sz w:val="18"/>
                <w:szCs w:val="18"/>
                <w:color w:val="auto"/>
              </w:rPr>
              <w:t>23,930</w:t>
            </w:r>
          </w:p>
        </w:tc>
        <w:tc>
          <w:tcPr>
            <w:tcW w:w="1300" w:type="dxa"/>
            <w:vAlign w:val="bottom"/>
          </w:tcPr>
          <w:p>
            <w:pPr>
              <w:jc w:val="right"/>
              <w:ind w:right="259"/>
              <w:spacing w:after="0"/>
              <w:rPr>
                <w:sz w:val="20"/>
                <w:szCs w:val="20"/>
                <w:color w:val="auto"/>
              </w:rPr>
            </w:pPr>
            <w:r>
              <w:rPr>
                <w:rFonts w:ascii="Arial" w:cs="Arial" w:eastAsia="Arial" w:hAnsi="Arial"/>
                <w:sz w:val="18"/>
                <w:szCs w:val="18"/>
                <w:color w:val="auto"/>
              </w:rPr>
              <w:t>23,712</w:t>
            </w:r>
          </w:p>
        </w:tc>
        <w:tc>
          <w:tcPr>
            <w:tcW w:w="1940" w:type="dxa"/>
            <w:vAlign w:val="bottom"/>
          </w:tcPr>
          <w:p>
            <w:pPr>
              <w:jc w:val="right"/>
              <w:ind w:right="484"/>
              <w:spacing w:after="0"/>
              <w:rPr>
                <w:sz w:val="20"/>
                <w:szCs w:val="20"/>
                <w:color w:val="auto"/>
              </w:rPr>
            </w:pPr>
            <w:r>
              <w:rPr>
                <w:rFonts w:ascii="Arial" w:cs="Arial" w:eastAsia="Arial" w:hAnsi="Arial"/>
                <w:sz w:val="18"/>
                <w:szCs w:val="18"/>
                <w:color w:val="auto"/>
              </w:rPr>
              <w:t>(65)</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112</w:t>
            </w:r>
          </w:p>
        </w:tc>
      </w:tr>
      <w:tr>
        <w:trPr>
          <w:trHeight w:val="27"/>
        </w:trPr>
        <w:tc>
          <w:tcPr>
            <w:tcW w:w="49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Sky customer relationships represent the number of residential retail customers that subscribe to at least one of Sky’s four primary services of video, high-speed internet, voice and wireless phone service. Commercial retail customers include hotels, bars, workplaces and restaurants with an active subscription for the purpose of providing Sky services to customers. Sky reports commercial customers based on the number of commercial agreements per venue in the U.K., a residential equivalent unit based upon the multiple of residential customer revenue in Italy and the number of active venues (bars and restaurants) or rooms (hotels and clinics) in Germany.</w:t>
      </w:r>
    </w:p>
    <w:p>
      <w:pPr>
        <w:sectPr>
          <w:pgSz w:w="11900" w:h="16838" w:orient="portrait"/>
          <w:cols w:equalWidth="0" w:num="1">
            <w:col w:w="11240"/>
          </w:cols>
          <w:pgMar w:left="320" w:top="175" w:right="33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75" w:right="3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center"/>
              <w:ind w:right="144"/>
              <w:spacing w:after="0"/>
              <w:rPr>
                <w:sz w:val="20"/>
                <w:szCs w:val="20"/>
                <w:color w:val="auto"/>
              </w:rPr>
            </w:pPr>
            <w:r>
              <w:rPr>
                <w:rFonts w:ascii="Arial" w:cs="Arial" w:eastAsia="Arial" w:hAnsi="Arial"/>
                <w:sz w:val="14"/>
                <w:szCs w:val="14"/>
                <w:color w:val="auto"/>
                <w:w w:val="89"/>
              </w:rPr>
              <w:t>Constant</w:t>
            </w:r>
          </w:p>
        </w:tc>
      </w:tr>
      <w:tr>
        <w:trPr>
          <w:trHeight w:val="148"/>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jc w:val="center"/>
              <w:ind w:left="484"/>
              <w:spacing w:after="0" w:line="149" w:lineRule="exact"/>
              <w:rPr>
                <w:sz w:val="20"/>
                <w:szCs w:val="20"/>
                <w:color w:val="auto"/>
              </w:rPr>
            </w:pPr>
            <w:r>
              <w:rPr>
                <w:rFonts w:ascii="Arial" w:cs="Arial" w:eastAsia="Arial" w:hAnsi="Arial"/>
                <w:sz w:val="14"/>
                <w:szCs w:val="14"/>
                <w:color w:val="auto"/>
                <w:w w:val="90"/>
              </w:rPr>
              <w:t>Increase/</w:t>
            </w:r>
          </w:p>
        </w:tc>
        <w:tc>
          <w:tcPr>
            <w:tcW w:w="1140" w:type="dxa"/>
            <w:vAlign w:val="bottom"/>
          </w:tcPr>
          <w:p>
            <w:pPr>
              <w:spacing w:after="0"/>
              <w:rPr>
                <w:sz w:val="12"/>
                <w:szCs w:val="12"/>
                <w:color w:val="auto"/>
              </w:rPr>
            </w:pPr>
          </w:p>
        </w:tc>
        <w:tc>
          <w:tcPr>
            <w:tcW w:w="1240" w:type="dxa"/>
            <w:vAlign w:val="bottom"/>
          </w:tcPr>
          <w:p>
            <w:pPr>
              <w:jc w:val="center"/>
              <w:ind w:right="144"/>
              <w:spacing w:after="0" w:line="149" w:lineRule="exact"/>
              <w:rPr>
                <w:sz w:val="20"/>
                <w:szCs w:val="20"/>
                <w:color w:val="auto"/>
              </w:rPr>
            </w:pPr>
            <w:r>
              <w:rPr>
                <w:rFonts w:ascii="Arial" w:cs="Arial" w:eastAsia="Arial" w:hAnsi="Arial"/>
                <w:sz w:val="14"/>
                <w:szCs w:val="14"/>
                <w:color w:val="auto"/>
                <w:w w:val="95"/>
              </w:rPr>
              <w:t>Currency</w:t>
            </w:r>
          </w:p>
        </w:tc>
      </w:tr>
      <w:tr>
        <w:trPr>
          <w:trHeight w:val="188"/>
        </w:trPr>
        <w:tc>
          <w:tcPr>
            <w:tcW w:w="4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March 31,</w:t>
            </w: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left="504"/>
              <w:spacing w:after="0"/>
              <w:rPr>
                <w:sz w:val="20"/>
                <w:szCs w:val="20"/>
                <w:color w:val="auto"/>
              </w:rPr>
            </w:pPr>
            <w:r>
              <w:rPr>
                <w:rFonts w:ascii="Arial" w:cs="Arial" w:eastAsia="Arial" w:hAnsi="Arial"/>
                <w:sz w:val="14"/>
                <w:szCs w:val="14"/>
                <w:color w:val="auto"/>
                <w:w w:val="89"/>
              </w:rPr>
              <w:t>(Decrease)</w:t>
            </w:r>
          </w:p>
        </w:tc>
        <w:tc>
          <w:tcPr>
            <w:tcW w:w="1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color w:val="auto"/>
                <w:w w:val="98"/>
              </w:rPr>
              <w:t>Growth</w:t>
            </w:r>
            <w:r>
              <w:rPr>
                <w:rFonts w:ascii="Arial" w:cs="Arial" w:eastAsia="Arial" w:hAnsi="Arial"/>
                <w:sz w:val="8"/>
                <w:szCs w:val="8"/>
                <w:color w:val="auto"/>
                <w:w w:val="98"/>
              </w:rPr>
              <w:t>(a)</w:t>
            </w:r>
          </w:p>
        </w:tc>
      </w:tr>
      <w:tr>
        <w:trPr>
          <w:trHeight w:val="250"/>
        </w:trPr>
        <w:tc>
          <w:tcPr>
            <w:tcW w:w="4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084"/>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w w:val="96"/>
              </w:rPr>
              <w:t>%</w:t>
            </w:r>
          </w:p>
        </w:tc>
      </w:tr>
      <w:tr>
        <w:trPr>
          <w:trHeight w:val="228"/>
        </w:trPr>
        <w:tc>
          <w:tcPr>
            <w:tcW w:w="4340" w:type="dxa"/>
            <w:vAlign w:val="bottom"/>
          </w:tcPr>
          <w:p>
            <w:pPr>
              <w:ind w:left="40"/>
              <w:spacing w:after="0"/>
              <w:rPr>
                <w:sz w:val="20"/>
                <w:szCs w:val="20"/>
                <w:color w:val="auto"/>
              </w:rPr>
            </w:pPr>
            <w:r>
              <w:rPr>
                <w:rFonts w:ascii="Arial" w:cs="Arial" w:eastAsia="Arial" w:hAnsi="Arial"/>
                <w:sz w:val="18"/>
                <w:szCs w:val="18"/>
                <w:color w:val="auto"/>
                <w:w w:val="91"/>
              </w:rPr>
              <w:t>Average monthly direct-to-consumer revenue per customer</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51.19</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54.03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4"/>
              <w:spacing w:after="0"/>
              <w:rPr>
                <w:sz w:val="20"/>
                <w:szCs w:val="20"/>
                <w:color w:val="auto"/>
              </w:rPr>
            </w:pPr>
            <w:r>
              <w:rPr>
                <w:rFonts w:ascii="Arial" w:cs="Arial" w:eastAsia="Arial" w:hAnsi="Arial"/>
                <w:sz w:val="18"/>
                <w:szCs w:val="18"/>
                <w:color w:val="auto"/>
              </w:rPr>
              <w:t>(2.84)</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(5.3)%</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260" w:hanging="252"/>
        <w:spacing w:after="0" w:line="273"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30 for additional information, including our definition and our use of constant currency, and for a reconciliation of Sky’s constant currency growth rates.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monthly direct-to-consumer revenue per customer relationship is impacted by rate adjustments and changes in the types and levels of services received by Sky’s customers. Each of Sky’s services has a different contribution to Adjusted EBITDA. We believe this metric is useful in understanding the trends in our business across all of our direct-to-consumer service offerings.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decreased for the three months ended March 31, 2020 compared to the same period in 2019. Excluding the impact of foreign currency, revenue decreased primarily due to a decrease in average revenue per customer relationship driven by the impacts of COVID-19, which has resulted in lower sports subscription revenues, partially offset by an increase in customer relationships compared to the prior 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decreased for the three months ended March 31, 2020 compared to the same period in 2019. Excluding the impact of foreign currency, revenue decreased reflecting the deferral of wholesale revenue from sports programming due to professional sports leagues postponing events as a result of COVID-19.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decreased for the three months ended March 31, 2020 compared to the same period in 2019. Excluding the impact of foreign currency, revenue decreased primarily due to overall market weakness, which has worsened due to COVID-19, as well as the impact of changes in legislation related to gambling advertisements in the U.K. and Italy that occurred in the third quarter of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Programming and production costs decreased for the three months ended March 31, 2020 compared to the same period in 2019. Excluding the impact of foreign currency, programming and production costs decreased primarily due to decreases in the recognition of sports programming costs as a result of professional sports leagues postponing events as a result of COVID-19. The costs will be recognized in future periods to the extent that the seasons resume.</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 network costs increased for the three months ended March 31, 2020 compared to the same period in 2019. Excluding the impact of foreign currency, direct network costs increased primarily due to an increase in costs associated with Sky’s high-speed internet and wireless phone services as a result of increases in the number of customers receiving these services.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expenses were flat for the three months ended March 31, 2020 compared to the same period in 2019. Excluding the impact of foreign currency, other expenses increased primarily due to an increase in marketing costs related to Sky Q.</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jc w:val="right"/>
              <w:ind w:right="138"/>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196"/>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17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120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108</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98"/>
              <w:spacing w:after="0"/>
              <w:rPr>
                <w:sz w:val="20"/>
                <w:szCs w:val="20"/>
                <w:color w:val="auto"/>
              </w:rPr>
            </w:pPr>
            <w:r>
              <w:rPr>
                <w:rFonts w:ascii="Arial" w:cs="Arial" w:eastAsia="Arial" w:hAnsi="Arial"/>
                <w:sz w:val="18"/>
                <w:szCs w:val="18"/>
                <w:color w:val="auto"/>
              </w:rPr>
              <w:t>12</w:t>
            </w:r>
          </w:p>
        </w:tc>
        <w:tc>
          <w:tcPr>
            <w:tcW w:w="102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70"/>
        </w:trPr>
        <w:tc>
          <w:tcPr>
            <w:tcW w:w="48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386</w:t>
            </w:r>
          </w:p>
        </w:tc>
        <w:tc>
          <w:tcPr>
            <w:tcW w:w="660" w:type="dxa"/>
            <w:vAlign w:val="bottom"/>
          </w:tcPr>
          <w:p>
            <w:pPr>
              <w:spacing w:after="0"/>
              <w:rPr>
                <w:sz w:val="23"/>
                <w:szCs w:val="23"/>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346</w:t>
            </w:r>
          </w:p>
        </w:tc>
        <w:tc>
          <w:tcPr>
            <w:tcW w:w="520" w:type="dxa"/>
            <w:vAlign w:val="bottom"/>
          </w:tcPr>
          <w:p>
            <w:pPr>
              <w:spacing w:after="0"/>
              <w:rPr>
                <w:sz w:val="23"/>
                <w:szCs w:val="23"/>
                <w:color w:val="auto"/>
              </w:rPr>
            </w:pPr>
          </w:p>
        </w:tc>
        <w:tc>
          <w:tcPr>
            <w:tcW w:w="1620" w:type="dxa"/>
            <w:vAlign w:val="bottom"/>
          </w:tcPr>
          <w:p>
            <w:pPr>
              <w:jc w:val="right"/>
              <w:ind w:right="598"/>
              <w:spacing w:after="0"/>
              <w:rPr>
                <w:sz w:val="20"/>
                <w:szCs w:val="20"/>
                <w:color w:val="auto"/>
              </w:rPr>
            </w:pPr>
            <w:r>
              <w:rPr>
                <w:rFonts w:ascii="Arial" w:cs="Arial" w:eastAsia="Arial" w:hAnsi="Arial"/>
                <w:sz w:val="18"/>
                <w:szCs w:val="18"/>
                <w:color w:val="auto"/>
              </w:rPr>
              <w:t>40</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11.6</w:t>
            </w:r>
          </w:p>
        </w:tc>
      </w:tr>
      <w:tr>
        <w:trPr>
          <w:trHeight w:val="270"/>
        </w:trPr>
        <w:tc>
          <w:tcPr>
            <w:tcW w:w="488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340" w:type="dxa"/>
            <w:vAlign w:val="bottom"/>
          </w:tcPr>
          <w:p>
            <w:pPr>
              <w:spacing w:after="0"/>
              <w:rPr>
                <w:sz w:val="23"/>
                <w:szCs w:val="23"/>
                <w:color w:val="auto"/>
              </w:rPr>
            </w:pP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3"/>
                <w:szCs w:val="23"/>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3"/>
                <w:szCs w:val="23"/>
                <w:color w:val="auto"/>
              </w:rPr>
            </w:pPr>
          </w:p>
        </w:tc>
        <w:tc>
          <w:tcPr>
            <w:tcW w:w="1620" w:type="dxa"/>
            <w:vAlign w:val="bottom"/>
          </w:tcPr>
          <w:p>
            <w:pPr>
              <w:jc w:val="right"/>
              <w:ind w:right="598"/>
              <w:spacing w:after="0"/>
              <w:rPr>
                <w:sz w:val="20"/>
                <w:szCs w:val="20"/>
                <w:color w:val="auto"/>
              </w:rPr>
            </w:pPr>
            <w:r>
              <w:rPr>
                <w:rFonts w:ascii="Arial" w:cs="Arial" w:eastAsia="Arial" w:hAnsi="Arial"/>
                <w:sz w:val="18"/>
                <w:szCs w:val="18"/>
                <w:color w:val="auto"/>
              </w:rPr>
              <w:t>37</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NM</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58"/>
              <w:spacing w:after="0"/>
              <w:rPr>
                <w:sz w:val="20"/>
                <w:szCs w:val="20"/>
                <w:color w:val="auto"/>
              </w:rPr>
            </w:pPr>
            <w:r>
              <w:rPr>
                <w:rFonts w:ascii="Arial" w:cs="Arial" w:eastAsia="Arial" w:hAnsi="Arial"/>
                <w:sz w:val="18"/>
                <w:szCs w:val="18"/>
                <w:b w:val="1"/>
                <w:bCs w:val="1"/>
                <w:color w:val="auto"/>
              </w:rPr>
              <w:t>(252)</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(187)</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8"/>
              <w:spacing w:after="0"/>
              <w:rPr>
                <w:sz w:val="20"/>
                <w:szCs w:val="20"/>
                <w:color w:val="auto"/>
              </w:rPr>
            </w:pPr>
            <w:r>
              <w:rPr>
                <w:rFonts w:ascii="Arial" w:cs="Arial" w:eastAsia="Arial" w:hAnsi="Arial"/>
                <w:sz w:val="18"/>
                <w:szCs w:val="18"/>
                <w:b w:val="1"/>
                <w:bCs w:val="1"/>
                <w:color w:val="auto"/>
              </w:rPr>
              <w:t>(65)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(34.8)%</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2"/>
        </w:trPr>
        <w:tc>
          <w:tcPr>
            <w:tcW w:w="4880" w:type="dxa"/>
            <w:vAlign w:val="bottom"/>
          </w:tcPr>
          <w:p>
            <w:pPr>
              <w:spacing w:after="0"/>
              <w:rPr>
                <w:sz w:val="20"/>
                <w:szCs w:val="20"/>
                <w:color w:val="auto"/>
              </w:rPr>
            </w:pPr>
            <w:r>
              <w:rPr>
                <w:rFonts w:ascii="Arial" w:cs="Arial" w:eastAsia="Arial" w:hAnsi="Arial"/>
                <w:sz w:val="14"/>
                <w:szCs w:val="14"/>
                <w:color w:val="auto"/>
              </w:rPr>
              <w:t>Percentage changes that are considered not meaningful are denoted with NM.</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Revenue primarily relates to Comcast Spectacor, which owns the Philadelphia Flyers and the Wells Fargo Center arena in Philadelphia, Pennsylvania.</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75"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Expenses primarily include overhead, personnel costs, the costs of other business initiatives, such as the development of Peacock and operating costs and expenses associated with Comcast Spectacor.</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increased for the three months ended March 31, 2020 compared to the same period in 2019 primarily due to startup costs associated with Peacock, which were partially offset by a reduction in costs related to the Sky transaction. Corporate and Other Adjusted EBITDA excludes Sky transaction-related costs.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We launched Peacock in April 2020 and expect to continue to incur significant costs to develop and scale our direct-to-consumer streaming service.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net income (loss), net income attributable to Comcast Corporation, or net cash provided by operating activities that we have reported in accordance with GAAP.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Attributable to Comcast Corporation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96"/>
              </w:rPr>
              <w:t>2019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2,147</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3,553</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36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77</w:t>
            </w:r>
          </w:p>
        </w:tc>
        <w:tc>
          <w:tcPr>
            <w:tcW w:w="70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79</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700</w:t>
            </w:r>
          </w:p>
        </w:tc>
        <w:tc>
          <w:tcPr>
            <w:tcW w:w="70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1,076</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716</w:t>
            </w:r>
          </w:p>
        </w:tc>
        <w:tc>
          <w:tcPr>
            <w:tcW w:w="7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1,212</w:t>
            </w:r>
          </w:p>
        </w:tc>
        <w:tc>
          <w:tcPr>
            <w:tcW w:w="70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1,150</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2,107</w:t>
            </w:r>
          </w:p>
        </w:tc>
        <w:tc>
          <w:tcPr>
            <w:tcW w:w="70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2,240</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1,157</w:t>
            </w:r>
          </w:p>
        </w:tc>
        <w:tc>
          <w:tcPr>
            <w:tcW w:w="70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1,080</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36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8,130</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8,553</w:t>
            </w:r>
          </w:p>
        </w:tc>
      </w:tr>
      <w:tr>
        <w:trPr>
          <w:trHeight w:val="34"/>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94"/>
        </w:trPr>
        <w:tc>
          <w:tcPr>
            <w:tcW w:w="8100" w:type="dxa"/>
            <w:vAlign w:val="bottom"/>
          </w:tcPr>
          <w:p>
            <w:pPr>
              <w:ind w:left="554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175"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Sky Constant Currency Growth Rates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3"/>
          </w:tcPr>
          <w:p>
            <w:pPr>
              <w:jc w:val="right"/>
              <w:ind w:right="572"/>
              <w:spacing w:after="0"/>
              <w:rPr>
                <w:sz w:val="20"/>
                <w:szCs w:val="20"/>
                <w:color w:val="auto"/>
              </w:rPr>
            </w:pPr>
            <w:r>
              <w:rPr>
                <w:rFonts w:ascii="Arial" w:cs="Arial" w:eastAsia="Arial" w:hAnsi="Arial"/>
                <w:sz w:val="14"/>
                <w:szCs w:val="14"/>
                <w:color w:val="auto"/>
              </w:rPr>
              <w:t>Three Months Ended</w:t>
            </w:r>
          </w:p>
        </w:tc>
        <w:tc>
          <w:tcPr>
            <w:tcW w:w="1500" w:type="dxa"/>
            <w:vAlign w:val="bottom"/>
          </w:tcPr>
          <w:p>
            <w:pPr>
              <w:spacing w:after="0"/>
              <w:rPr>
                <w:sz w:val="14"/>
                <w:szCs w:val="14"/>
                <w:color w:val="auto"/>
              </w:rPr>
            </w:pPr>
          </w:p>
        </w:tc>
      </w:tr>
      <w:tr>
        <w:trPr>
          <w:trHeight w:val="188"/>
        </w:trPr>
        <w:tc>
          <w:tcPr>
            <w:tcW w:w="7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March 31,</w:t>
            </w:r>
          </w:p>
        </w:tc>
        <w:tc>
          <w:tcPr>
            <w:tcW w:w="860" w:type="dxa"/>
            <w:vAlign w:val="bottom"/>
            <w:tcBorders>
              <w:bottom w:val="single" w:sz="8" w:color="auto"/>
            </w:tcBorders>
          </w:tcPr>
          <w:p>
            <w:pPr>
              <w:spacing w:after="0"/>
              <w:rPr>
                <w:sz w:val="16"/>
                <w:szCs w:val="16"/>
                <w:color w:val="auto"/>
              </w:rPr>
            </w:pPr>
          </w:p>
        </w:tc>
        <w:tc>
          <w:tcPr>
            <w:tcW w:w="1500" w:type="dxa"/>
            <w:vAlign w:val="bottom"/>
          </w:tcPr>
          <w:p>
            <w:pPr>
              <w:spacing w:after="0"/>
              <w:rPr>
                <w:sz w:val="16"/>
                <w:szCs w:val="16"/>
                <w:color w:val="auto"/>
              </w:rPr>
            </w:pPr>
          </w:p>
        </w:tc>
      </w:tr>
      <w:tr>
        <w:trPr>
          <w:trHeight w:val="143"/>
        </w:trPr>
        <w:tc>
          <w:tcPr>
            <w:tcW w:w="7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jc w:val="center"/>
              <w:ind w:left="14"/>
              <w:spacing w:after="0" w:line="143" w:lineRule="exact"/>
              <w:rPr>
                <w:sz w:val="20"/>
                <w:szCs w:val="20"/>
                <w:color w:val="auto"/>
              </w:rPr>
            </w:pPr>
            <w:r>
              <w:rPr>
                <w:rFonts w:ascii="Arial" w:cs="Arial" w:eastAsia="Arial" w:hAnsi="Arial"/>
                <w:sz w:val="14"/>
                <w:szCs w:val="14"/>
                <w:color w:val="auto"/>
                <w:w w:val="92"/>
              </w:rPr>
              <w:t>Constant Currency</w:t>
            </w:r>
          </w:p>
        </w:tc>
      </w:tr>
      <w:tr>
        <w:trPr>
          <w:trHeight w:val="188"/>
        </w:trPr>
        <w:tc>
          <w:tcPr>
            <w:tcW w:w="7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Actual</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Constant Currency</w:t>
            </w:r>
          </w:p>
        </w:tc>
        <w:tc>
          <w:tcPr>
            <w:tcW w:w="150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color w:val="auto"/>
                <w:w w:val="97"/>
              </w:rPr>
              <w:t>Growth</w:t>
            </w:r>
          </w:p>
        </w:tc>
      </w:tr>
      <w:tr>
        <w:trPr>
          <w:trHeight w:val="263"/>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customer data)</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2019</w:t>
            </w:r>
          </w:p>
        </w:tc>
        <w:tc>
          <w:tcPr>
            <w:tcW w:w="150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color w:val="auto"/>
                <w:w w:val="96"/>
              </w:rPr>
              <w:t>%</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Direct-to-consumer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3,679</w:t>
            </w:r>
          </w:p>
        </w:tc>
        <w:tc>
          <w:tcPr>
            <w:tcW w:w="4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3,749</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Content</w:t>
            </w:r>
          </w:p>
        </w:tc>
        <w:tc>
          <w:tcPr>
            <w:tcW w:w="260" w:type="dxa"/>
            <w:vAlign w:val="bottom"/>
          </w:tcPr>
          <w:p>
            <w:pPr>
              <w:spacing w:after="0"/>
              <w:rPr>
                <w:sz w:val="23"/>
                <w:szCs w:val="23"/>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325</w:t>
            </w:r>
          </w:p>
        </w:tc>
        <w:tc>
          <w:tcPr>
            <w:tcW w:w="4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(10.5)</w:t>
            </w: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260" w:type="dxa"/>
            <w:vAlign w:val="bottom"/>
          </w:tcPr>
          <w:p>
            <w:pPr>
              <w:spacing w:after="0"/>
              <w:rPr>
                <w:sz w:val="23"/>
                <w:szCs w:val="23"/>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513</w:t>
            </w:r>
          </w:p>
        </w:tc>
        <w:tc>
          <w:tcPr>
            <w:tcW w:w="4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580</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(11.6)</w:t>
            </w:r>
          </w:p>
        </w:tc>
      </w:tr>
      <w:tr>
        <w:trPr>
          <w:trHeight w:val="27"/>
        </w:trPr>
        <w:tc>
          <w:tcPr>
            <w:tcW w:w="7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b w:val="1"/>
                <w:bCs w:val="1"/>
                <w:color w:val="auto"/>
              </w:rPr>
              <w:t>4,517</w:t>
            </w:r>
          </w:p>
        </w:tc>
        <w:tc>
          <w:tcPr>
            <w:tcW w:w="4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4,692</w:t>
            </w:r>
          </w:p>
        </w:tc>
        <w:tc>
          <w:tcPr>
            <w:tcW w:w="1500" w:type="dxa"/>
            <w:vAlign w:val="bottom"/>
          </w:tcPr>
          <w:p>
            <w:pPr>
              <w:jc w:val="right"/>
              <w:ind w:right="114"/>
              <w:spacing w:after="0"/>
              <w:rPr>
                <w:sz w:val="20"/>
                <w:szCs w:val="20"/>
                <w:color w:val="auto"/>
              </w:rPr>
            </w:pPr>
            <w:r>
              <w:rPr>
                <w:rFonts w:ascii="Arial" w:cs="Arial" w:eastAsia="Arial" w:hAnsi="Arial"/>
                <w:sz w:val="18"/>
                <w:szCs w:val="18"/>
                <w:b w:val="1"/>
                <w:bCs w:val="1"/>
                <w:color w:val="auto"/>
              </w:rPr>
              <w:t>(3.7)</w:t>
            </w:r>
          </w:p>
        </w:tc>
      </w:tr>
      <w:tr>
        <w:trPr>
          <w:trHeight w:val="270"/>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260" w:type="dxa"/>
            <w:vAlign w:val="bottom"/>
          </w:tcPr>
          <w:p>
            <w:pPr>
              <w:spacing w:after="0"/>
              <w:rPr>
                <w:sz w:val="23"/>
                <w:szCs w:val="23"/>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2,064</w:t>
            </w:r>
          </w:p>
        </w:tc>
        <w:tc>
          <w:tcPr>
            <w:tcW w:w="4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2,248</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(8.2)</w:t>
            </w: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Direct network costs</w:t>
            </w:r>
          </w:p>
        </w:tc>
        <w:tc>
          <w:tcPr>
            <w:tcW w:w="260" w:type="dxa"/>
            <w:vAlign w:val="bottom"/>
          </w:tcPr>
          <w:p>
            <w:pPr>
              <w:spacing w:after="0"/>
              <w:rPr>
                <w:sz w:val="23"/>
                <w:szCs w:val="23"/>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457</w:t>
            </w:r>
          </w:p>
        </w:tc>
        <w:tc>
          <w:tcPr>
            <w:tcW w:w="4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378</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20.9</w:t>
            </w: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3"/>
                <w:szCs w:val="23"/>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1,445</w:t>
            </w:r>
          </w:p>
        </w:tc>
        <w:tc>
          <w:tcPr>
            <w:tcW w:w="4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1,415</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2.1</w:t>
            </w:r>
          </w:p>
        </w:tc>
      </w:tr>
      <w:tr>
        <w:trPr>
          <w:trHeight w:val="27"/>
        </w:trPr>
        <w:tc>
          <w:tcPr>
            <w:tcW w:w="7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1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3,966</w:t>
            </w:r>
          </w:p>
        </w:tc>
        <w:tc>
          <w:tcPr>
            <w:tcW w:w="4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4,041</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(1.9)</w:t>
            </w:r>
          </w:p>
        </w:tc>
      </w:tr>
      <w:tr>
        <w:trPr>
          <w:trHeight w:val="27"/>
        </w:trPr>
        <w:tc>
          <w:tcPr>
            <w:tcW w:w="7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b w:val="1"/>
                <w:bCs w:val="1"/>
                <w:color w:val="auto"/>
              </w:rPr>
              <w:t>551</w:t>
            </w:r>
          </w:p>
        </w:tc>
        <w:tc>
          <w:tcPr>
            <w:tcW w:w="460" w:type="dxa"/>
            <w:vAlign w:val="bottom"/>
          </w:tcPr>
          <w:p>
            <w:pPr>
              <w:jc w:val="right"/>
              <w:ind w:right="155"/>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651</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r>
      <w:tr>
        <w:trPr>
          <w:trHeight w:val="27"/>
        </w:trPr>
        <w:tc>
          <w:tcPr>
            <w:tcW w:w="7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Average monthly direct-to-consumer revenue per customer relationship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b w:val="1"/>
                <w:bCs w:val="1"/>
                <w:color w:val="auto"/>
              </w:rPr>
              <w:t>51.19</w:t>
            </w:r>
          </w:p>
        </w:tc>
        <w:tc>
          <w:tcPr>
            <w:tcW w:w="460" w:type="dxa"/>
            <w:vAlign w:val="bottom"/>
          </w:tcPr>
          <w:p>
            <w:pPr>
              <w:jc w:val="right"/>
              <w:ind w:right="155"/>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52.83</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4"/>
        </w:trPr>
        <w:tc>
          <w:tcPr>
            <w:tcW w:w="7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Refer to “Impacts of COVID-19” for additional discussion.</w:t>
      </w: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significant availability under our revolving credit facilities and commercial paper programs to meet our short-term liquidity requirements. As of March 31, 2020, amounts available under our revolving credit facilities, net of amounts outstanding under our commercial paper programs and outstanding letters of credit and bank guarantees, totaled $9.2 billion.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96"/>
              </w:rPr>
              <w:t>2019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4,852</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5,182</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Depreciation, amortization and other operating gains</w:t>
            </w:r>
          </w:p>
        </w:tc>
        <w:tc>
          <w:tcPr>
            <w:tcW w:w="360" w:type="dxa"/>
            <w:vAlign w:val="bottom"/>
          </w:tcPr>
          <w:p>
            <w:pPr>
              <w:spacing w:after="0"/>
              <w:rPr>
                <w:sz w:val="23"/>
                <w:szCs w:val="23"/>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3,264</w:t>
            </w:r>
          </w:p>
        </w:tc>
        <w:tc>
          <w:tcPr>
            <w:tcW w:w="6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3,320</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360" w:type="dxa"/>
            <w:vAlign w:val="bottom"/>
          </w:tcPr>
          <w:p>
            <w:pPr>
              <w:spacing w:after="0"/>
              <w:rPr>
                <w:sz w:val="23"/>
                <w:szCs w:val="23"/>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298</w:t>
            </w:r>
          </w:p>
        </w:tc>
        <w:tc>
          <w:tcPr>
            <w:tcW w:w="6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245</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3"/>
                <w:szCs w:val="23"/>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(1,393)</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360" w:type="dxa"/>
            <w:vAlign w:val="bottom"/>
          </w:tcPr>
          <w:p>
            <w:pPr>
              <w:spacing w:after="0"/>
              <w:rPr>
                <w:sz w:val="23"/>
                <w:szCs w:val="23"/>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360" w:type="dxa"/>
            <w:vAlign w:val="bottom"/>
          </w:tcPr>
          <w:p>
            <w:pPr>
              <w:spacing w:after="0"/>
              <w:rPr>
                <w:sz w:val="23"/>
                <w:szCs w:val="23"/>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(281)</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178</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5"/>
              <w:spacing w:after="0"/>
              <w:rPr>
                <w:sz w:val="20"/>
                <w:szCs w:val="20"/>
                <w:color w:val="auto"/>
              </w:rPr>
            </w:pPr>
            <w:r>
              <w:rPr>
                <w:rFonts w:ascii="Arial" w:cs="Arial" w:eastAsia="Arial" w:hAnsi="Arial"/>
                <w:sz w:val="18"/>
                <w:szCs w:val="18"/>
                <w:b w:val="1"/>
                <w:bCs w:val="1"/>
                <w:color w:val="auto"/>
              </w:rPr>
              <w:t>5,824</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7,231</w:t>
            </w:r>
          </w:p>
        </w:tc>
      </w:tr>
      <w:tr>
        <w:trPr>
          <w:trHeight w:val="34"/>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75"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variance in changes in operating assets and liabilities for the three months ended March 31, 2020 compared to the same period in 2019 was primarily due to the timing of our film and television costs, including sports rights, and collections on receivables, which were impacted by COVID-19.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for the three months ended March 31, 2020 consisted primarily of capital expenditures, cash paid for intangible assets and the construction of Universal Beijing Resort. Net cash used in investing activities for the three months ended March 31, 2019 consisted primarily of capital expenditures, cash paid for intangible assets and purchase of investments. Capital expenditures decreased for the three months ended March 31, 2020 compared to the same period in 2019 primarily due to decreases in spending by our Theme Parks, Cable Communications and Sky segments. We anticipate further declines in spending across our segments as a result of COVID-19, even as we continue to invest in scalable infrastructure to increase network capacity in our Cable Communications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provided by financing activities for the three months ended March 31, 2020 consisted primarily of proceeds from borrowings, partially offset by repayments of debt, dividend payments and repurchases of common stock under our employee plans. Net cash used in financing activities for the three months ended March 31, 2019 consisted primarily of repayments of debt, dividend payments and repurchases of common stock under our employee plans.</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2020, we issued $3.2 billion (using exchange rates on the date of issuance) of fixed rate Euro senior notes maturing between 2027 and 2040 and $1.8 billion (using exchange rates on the date of issuance) of fixed rate Sterling senior notes maturing between 2029 and 2036. In March 2020, we issued $4.0 billion of fixed rate senior notes maturing between 2025 and 2040.</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we made debt repayments totaling $7.4 billion, including the early redemption of $6.5 billion of senior notes maturing between 2021 and 2047.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had no commercial paper outstanding and there were no amounts outstanding under our revolving credit facilities.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See Notes 6 and 7 for additional information on our 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Under the authorization, we may repurchase shares in the open market or in private transactions. We have paused our share repurchase program in order to accelerate the reduction of indebtedness we incurred in connection with the acquisition of Sky, and no common shares were repurchased under the authorization for the three months ended March 31, 2020.</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$233 million for the three months ended March 31, 2020 related to employee taxes associated with the administration of our share-based compensation plans.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2020, our Board of Directors approved a 10% increase in our dividend to $0.92 per share on an annualized basis. In January 2020, our Board of Directors approved our first quarter dividend of $0.23 per share to be paid in April 2020. We expect to continue to pay quarterly dividends, although each dividend is subject to approval by our Board of Directors. On January 29, 2020, we paid dividends of $977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75"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 and Guarantee Structure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14"/>
                <w:szCs w:val="14"/>
                <w:color w:val="auto"/>
              </w:rPr>
            </w:pPr>
          </w:p>
        </w:tc>
        <w:tc>
          <w:tcPr>
            <w:tcW w:w="1400" w:type="dxa"/>
            <w:vAlign w:val="bottom"/>
          </w:tcPr>
          <w:p>
            <w:pPr>
              <w:jc w:val="right"/>
              <w:ind w:right="353"/>
              <w:spacing w:after="0"/>
              <w:rPr>
                <w:sz w:val="20"/>
                <w:szCs w:val="20"/>
                <w:color w:val="auto"/>
              </w:rPr>
            </w:pPr>
            <w:r>
              <w:rPr>
                <w:rFonts w:ascii="Arial" w:cs="Arial" w:eastAsia="Arial" w:hAnsi="Arial"/>
                <w:sz w:val="14"/>
                <w:szCs w:val="14"/>
                <w:color w:val="auto"/>
              </w:rPr>
              <w:t>December 31,</w:t>
            </w:r>
          </w:p>
        </w:tc>
      </w:tr>
      <w:tr>
        <w:trPr>
          <w:trHeight w:val="188"/>
        </w:trPr>
        <w:tc>
          <w:tcPr>
            <w:tcW w:w="7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billions)</w:t>
            </w: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2019</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Debt subject to cross-guarantees</w:t>
            </w:r>
          </w:p>
        </w:tc>
        <w:tc>
          <w:tcPr>
            <w:tcW w:w="5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0"/>
        </w:trPr>
        <w:tc>
          <w:tcPr>
            <w:tcW w:w="7700" w:type="dxa"/>
            <w:vAlign w:val="bottom"/>
          </w:tcPr>
          <w:p>
            <w:pPr>
              <w:ind w:left="40"/>
              <w:spacing w:after="0"/>
              <w:rPr>
                <w:sz w:val="20"/>
                <w:szCs w:val="20"/>
                <w:color w:val="auto"/>
              </w:rPr>
            </w:pPr>
            <w:r>
              <w:rPr>
                <w:rFonts w:ascii="Arial" w:cs="Arial" w:eastAsia="Arial" w:hAnsi="Arial"/>
                <w:sz w:val="18"/>
                <w:szCs w:val="18"/>
                <w:color w:val="auto"/>
              </w:rPr>
              <w:t>Comcast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83.8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80.4</w:t>
            </w:r>
          </w:p>
        </w:tc>
      </w:tr>
      <w:tr>
        <w:trPr>
          <w:trHeight w:val="310"/>
        </w:trPr>
        <w:tc>
          <w:tcPr>
            <w:tcW w:w="7700" w:type="dxa"/>
            <w:vAlign w:val="bottom"/>
          </w:tcPr>
          <w:p>
            <w:pPr>
              <w:ind w:left="40"/>
              <w:spacing w:after="0"/>
              <w:rPr>
                <w:sz w:val="20"/>
                <w:szCs w:val="20"/>
                <w:color w:val="auto"/>
              </w:rPr>
            </w:pPr>
            <w:r>
              <w:rPr>
                <w:rFonts w:ascii="Arial" w:cs="Arial" w:eastAsia="Arial" w:hAnsi="Arial"/>
                <w:sz w:val="18"/>
                <w:szCs w:val="18"/>
                <w:color w:val="auto"/>
              </w:rPr>
              <w:t>NBCUniversal</w:t>
            </w:r>
            <w:r>
              <w:rPr>
                <w:rFonts w:ascii="Arial" w:cs="Arial" w:eastAsia="Arial" w:hAnsi="Arial"/>
                <w:sz w:val="25"/>
                <w:szCs w:val="25"/>
                <w:color w:val="auto"/>
                <w:vertAlign w:val="superscript"/>
              </w:rPr>
              <w:t>(a)</w:t>
            </w:r>
          </w:p>
        </w:tc>
        <w:tc>
          <w:tcPr>
            <w:tcW w:w="5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4"/>
                <w:szCs w:val="24"/>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5.8</w:t>
            </w:r>
          </w:p>
        </w:tc>
      </w:tr>
      <w:tr>
        <w:trPr>
          <w:trHeight w:val="257"/>
        </w:trPr>
        <w:tc>
          <w:tcPr>
            <w:tcW w:w="770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Comcast Cable</w:t>
            </w:r>
            <w:r>
              <w:rPr>
                <w:rFonts w:ascii="Arial" w:cs="Arial" w:eastAsia="Arial" w:hAnsi="Arial"/>
                <w:sz w:val="25"/>
                <w:szCs w:val="25"/>
                <w:color w:val="auto"/>
                <w:vertAlign w:val="superscript"/>
              </w:rPr>
              <w:t>(a)</w:t>
            </w:r>
          </w:p>
        </w:tc>
        <w:tc>
          <w:tcPr>
            <w:tcW w:w="5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r>
      <w:tr>
        <w:trPr>
          <w:trHeight w:val="237"/>
        </w:trPr>
        <w:tc>
          <w:tcPr>
            <w:tcW w:w="7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89.6</w:t>
            </w:r>
          </w:p>
        </w:tc>
        <w:tc>
          <w:tcPr>
            <w:tcW w:w="3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88.3</w:t>
            </w:r>
          </w:p>
        </w:tc>
      </w:tr>
      <w:tr>
        <w:trPr>
          <w:trHeight w:val="270"/>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Debt subject to one-way guarantees</w:t>
            </w:r>
          </w:p>
        </w:tc>
        <w:tc>
          <w:tcPr>
            <w:tcW w:w="5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7700" w:type="dxa"/>
            <w:vAlign w:val="bottom"/>
          </w:tcPr>
          <w:p>
            <w:pPr>
              <w:ind w:left="40"/>
              <w:spacing w:after="0"/>
              <w:rPr>
                <w:sz w:val="20"/>
                <w:szCs w:val="20"/>
                <w:color w:val="auto"/>
              </w:rPr>
            </w:pPr>
            <w:r>
              <w:rPr>
                <w:rFonts w:ascii="Arial" w:cs="Arial" w:eastAsia="Arial" w:hAnsi="Arial"/>
                <w:sz w:val="18"/>
                <w:szCs w:val="18"/>
                <w:color w:val="auto"/>
              </w:rPr>
              <w:t>Sky</w:t>
            </w:r>
          </w:p>
        </w:tc>
        <w:tc>
          <w:tcPr>
            <w:tcW w:w="5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3"/>
                <w:szCs w:val="23"/>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9.2</w:t>
            </w:r>
          </w:p>
        </w:tc>
      </w:tr>
      <w:tr>
        <w:trPr>
          <w:trHeight w:val="297"/>
        </w:trPr>
        <w:tc>
          <w:tcPr>
            <w:tcW w:w="7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(a)</w:t>
            </w: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w:t>
            </w:r>
          </w:p>
        </w:tc>
      </w:tr>
      <w:tr>
        <w:trPr>
          <w:trHeight w:val="237"/>
        </w:trPr>
        <w:tc>
          <w:tcPr>
            <w:tcW w:w="7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13.3</w:t>
            </w:r>
          </w:p>
        </w:tc>
      </w:tr>
      <w:tr>
        <w:trPr>
          <w:trHeight w:val="270"/>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Debt not guaranteed</w:t>
            </w:r>
          </w:p>
        </w:tc>
        <w:tc>
          <w:tcPr>
            <w:tcW w:w="5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10"/>
        </w:trPr>
        <w:tc>
          <w:tcPr>
            <w:tcW w:w="7700" w:type="dxa"/>
            <w:vAlign w:val="bottom"/>
          </w:tcPr>
          <w:p>
            <w:pPr>
              <w:ind w:left="40"/>
              <w:spacing w:after="0"/>
              <w:rPr>
                <w:sz w:val="20"/>
                <w:szCs w:val="20"/>
                <w:color w:val="auto"/>
              </w:rPr>
            </w:pPr>
            <w:r>
              <w:rPr>
                <w:rFonts w:ascii="Arial" w:cs="Arial" w:eastAsia="Arial" w:hAnsi="Arial"/>
                <w:sz w:val="18"/>
                <w:szCs w:val="18"/>
                <w:color w:val="auto"/>
              </w:rPr>
              <w:t>Universal Beijing Resort</w:t>
            </w:r>
            <w:r>
              <w:rPr>
                <w:rFonts w:ascii="Arial" w:cs="Arial" w:eastAsia="Arial" w:hAnsi="Arial"/>
                <w:sz w:val="25"/>
                <w:szCs w:val="25"/>
                <w:color w:val="auto"/>
                <w:vertAlign w:val="superscript"/>
              </w:rPr>
              <w:t>(b)</w:t>
            </w:r>
          </w:p>
        </w:tc>
        <w:tc>
          <w:tcPr>
            <w:tcW w:w="5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30"/>
        </w:trPr>
        <w:tc>
          <w:tcPr>
            <w:tcW w:w="7700" w:type="dxa"/>
            <w:vAlign w:val="bottom"/>
          </w:tcPr>
          <w:p>
            <w:pPr>
              <w:ind w:left="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1.0</w:t>
            </w:r>
          </w:p>
        </w:tc>
      </w:tr>
      <w:tr>
        <w:trPr>
          <w:trHeight w:val="27"/>
        </w:trPr>
        <w:tc>
          <w:tcPr>
            <w:tcW w:w="7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2.3</w:t>
            </w:r>
          </w:p>
        </w:tc>
      </w:tr>
      <w:tr>
        <w:trPr>
          <w:trHeight w:val="256"/>
        </w:trPr>
        <w:tc>
          <w:tcPr>
            <w:tcW w:w="7700" w:type="dxa"/>
            <w:vAlign w:val="bottom"/>
          </w:tcPr>
          <w:p>
            <w:pPr>
              <w:ind w:left="40"/>
              <w:spacing w:after="0"/>
              <w:rPr>
                <w:sz w:val="20"/>
                <w:szCs w:val="20"/>
                <w:color w:val="auto"/>
              </w:rPr>
            </w:pPr>
            <w:r>
              <w:rPr>
                <w:rFonts w:ascii="Arial" w:cs="Arial" w:eastAsia="Arial" w:hAnsi="Arial"/>
                <w:sz w:val="18"/>
                <w:szCs w:val="18"/>
                <w:color w:val="auto"/>
                <w:w w:val="92"/>
              </w:rPr>
              <w:t>Debt issuance costs, premiums, discounts, fair value adjustments for acquisition accounting and hedged</w:t>
            </w:r>
          </w:p>
        </w:tc>
        <w:tc>
          <w:tcPr>
            <w:tcW w:w="5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0"/>
        </w:trPr>
        <w:tc>
          <w:tcPr>
            <w:tcW w:w="7700" w:type="dxa"/>
            <w:vAlign w:val="bottom"/>
          </w:tcPr>
          <w:p>
            <w:pPr>
              <w:ind w:left="40"/>
              <w:spacing w:after="0"/>
              <w:rPr>
                <w:sz w:val="20"/>
                <w:szCs w:val="20"/>
                <w:color w:val="auto"/>
              </w:rPr>
            </w:pPr>
            <w:r>
              <w:rPr>
                <w:rFonts w:ascii="Arial" w:cs="Arial" w:eastAsia="Arial" w:hAnsi="Arial"/>
                <w:sz w:val="18"/>
                <w:szCs w:val="18"/>
                <w:color w:val="auto"/>
              </w:rPr>
              <w:t>positions, net</w:t>
            </w:r>
          </w:p>
        </w:tc>
        <w:tc>
          <w:tcPr>
            <w:tcW w:w="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Total debt</w:t>
            </w:r>
          </w:p>
        </w:tc>
        <w:tc>
          <w:tcPr>
            <w:tcW w:w="5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103.6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b w:val="1"/>
                <w:bCs w:val="1"/>
                <w:color w:val="auto"/>
              </w:rPr>
              <w:t>102.2</w:t>
            </w:r>
          </w:p>
        </w:tc>
      </w:tr>
      <w:tr>
        <w:trPr>
          <w:trHeight w:val="34"/>
        </w:trPr>
        <w:tc>
          <w:tcPr>
            <w:tcW w:w="7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line="273"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Universal Beijing Resort debt financing is secured by the assets of Universal Beijing Resort and the equity interests of the investors. See Note 7 for additional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Guarantors are each holding companies that principally hold investments in, borrow from and lend to, subsidiary operating companies; issue and service third-party debt obligations; repurchase shares and pay dividends; and engage in certain corporate and headquarters activities. The Guarantors are generally dependent on subsidiary operating companies to fund these activities. Accordingly, as of March 31, 2020, the combined Guarantors in the aggregate have notes payable to and receivable from other Comcast subsidiaries of $123.9 billion and $19.9 billion, respectively. The underlying net assets of the subsidiary operating companies are significantly in excess of these obligations.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Comcast provides full and unconditional guarantees of certain debt issued by Sky and other consolidated subsidiaries not subject to the periodic reporting requirements of the SEC.</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Comcast also provides a full and unconditional guarantee of $185 million principal amount of subordinated debt issued by Comcast Holdings. Comcast’s obligations under this guarantee are subordinated and subject, in right of payment, to the prior payment in full of all of Comcast’s senior indebtedness, including debt issued or debt guaranteed by Comcast on a senior basis.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 and as of March 31, 2020 has approximately $0.5 billion of notes receivable from a subsidiary of Comcast and $0.3 billion of other assets.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75"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2019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information related to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2019 Annual Report on Form 10-K and there have been no significant changes to this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75"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See Note 12 included in this Quarterly Report on Form 10-Q for a discussion of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Part I, Item 1A., Risk Factors in our 2019 Annual Report on Form 10-K includes a discussion of our risk factors. The information presented below updates, and should be read in conjunction with, the risk factors and information disclosed in our 2019 Annual Report on Form 10-K. Except as presented below, there have been no material changes from the risk factors previously disclosed in Item 1A of our 2019 Annual Report on Form 10-K.</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could have a material adverse effect on our businesses and results of operations.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impacts of COVID-19 and measures to prevent its spread are affecting our businesses in a number of ways. For example, we have temporarily closed all of our theme parks and we cannot currently predict when the parks will reopen, or their operating levels after they reopen. The creation and availability of our film and television programming in the United States and globally have been and will continue to be disrupted, including as a result of the postponement or cancellation of sporting events (such as the professional soccer, hockey, baseball and basketball leagues and the Olympics), theatrical closures and the suspension of entertainment content production. Our Cable Communications results, while strong in the first quarter of 2020, will be negatively affected in the second quarter by the significant deterioration in domestic economic conditions in recent weeks and by the costs associated with our support of customer connectivity as the population increasingly works and learns remotely from home. We expect the continued deterioration of global economic conditions will result in lower advertising revenues and consumer spending across our businesses.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the ultimate significance of the impact of COVID-19 on our businesses will vary but will generally depend on the extent of measures taken affecting day-to-day life and the length of time that such measures remain in place to respond to COVID-19. At this point, it is impossible to predict such extent and duration and the degree to which supply and demand for our products and services, including advertising, will be affected. This uncertainty makes it challenging for management to estimate with precision the future performance of our businesses However, we expect these impacts of COVID-19 to increase in significance in the second quarter of 2020, and to have a material adverse impact on our consolidated results of operations over the near to medium term.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COVID-19 may also have the effect of heightening many of the other risks described in ‘‘Risk Factors’’ set forth in our 2019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29, 2020, the employment agreement of Mr. David N. Watson, President &amp; Chief Executive Officer, Comcast Cable, was amended to secure his employment through June 30, 2025 and to increase his annual cash bonus opportunity from 250% to 300% of his base salary, effective March 1, 2020.</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75"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ind w:left="200"/>
              <w:spacing w:after="0"/>
              <w:rPr>
                <w:sz w:val="20"/>
                <w:szCs w:val="20"/>
                <w:color w:val="auto"/>
              </w:rPr>
            </w:pPr>
            <w:r>
              <w:rPr>
                <w:rFonts w:ascii="Arial" w:cs="Arial" w:eastAsia="Arial" w:hAnsi="Arial"/>
                <w:sz w:val="14"/>
                <w:szCs w:val="14"/>
                <w:color w:val="auto"/>
              </w:rPr>
              <w:t>Exhibit</w:t>
            </w:r>
          </w:p>
        </w:tc>
        <w:tc>
          <w:tcPr>
            <w:tcW w:w="2140" w:type="dxa"/>
            <w:vAlign w:val="bottom"/>
          </w:tcPr>
          <w:p>
            <w:pPr>
              <w:spacing w:after="0"/>
              <w:rPr>
                <w:sz w:val="14"/>
                <w:szCs w:val="14"/>
                <w:color w:val="auto"/>
              </w:rPr>
            </w:pPr>
          </w:p>
        </w:tc>
        <w:tc>
          <w:tcPr>
            <w:tcW w:w="8320" w:type="dxa"/>
            <w:vAlign w:val="bottom"/>
          </w:tcPr>
          <w:p>
            <w:pPr>
              <w:spacing w:after="0"/>
              <w:rPr>
                <w:sz w:val="14"/>
                <w:szCs w:val="14"/>
                <w:color w:val="auto"/>
              </w:rPr>
            </w:pPr>
          </w:p>
        </w:tc>
      </w:tr>
      <w:tr>
        <w:trPr>
          <w:trHeight w:val="188"/>
        </w:trPr>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No.</w:t>
            </w:r>
          </w:p>
        </w:tc>
        <w:tc>
          <w:tcPr>
            <w:tcW w:w="21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Description</w:t>
            </w:r>
          </w:p>
        </w:tc>
        <w:tc>
          <w:tcPr>
            <w:tcW w:w="8320" w:type="dxa"/>
            <w:vAlign w:val="bottom"/>
            <w:tcBorders>
              <w:bottom w:val="single" w:sz="8" w:color="auto"/>
            </w:tcBorders>
          </w:tcPr>
          <w:p>
            <w:pPr>
              <w:spacing w:after="0"/>
              <w:rPr>
                <w:sz w:val="16"/>
                <w:szCs w:val="16"/>
                <w:color w:val="auto"/>
              </w:rPr>
            </w:pPr>
          </w:p>
        </w:tc>
      </w:tr>
      <w:tr>
        <w:trPr>
          <w:trHeight w:val="243"/>
        </w:trPr>
        <w:tc>
          <w:tcPr>
            <w:tcW w:w="780" w:type="dxa"/>
            <w:vAlign w:val="bottom"/>
          </w:tcPr>
          <w:p>
            <w:pPr>
              <w:ind w:left="40"/>
              <w:spacing w:after="0"/>
              <w:rPr>
                <w:rFonts w:ascii="Arial" w:cs="Arial" w:eastAsia="Arial" w:hAnsi="Arial"/>
                <w:sz w:val="18"/>
                <w:szCs w:val="18"/>
                <w:color w:val="0000FF"/>
              </w:rPr>
            </w:pPr>
            <w:hyperlink w:anchor="page42">
              <w:r>
                <w:rPr>
                  <w:rFonts w:ascii="Arial" w:cs="Arial" w:eastAsia="Arial" w:hAnsi="Arial"/>
                  <w:sz w:val="18"/>
                  <w:szCs w:val="18"/>
                  <w:u w:val="single" w:color="auto"/>
                  <w:color w:val="0000FF"/>
                </w:rPr>
                <w:t>10.1</w:t>
              </w:r>
            </w:hyperlink>
            <w:r>
              <w:rPr>
                <w:rFonts w:ascii="Arial" w:cs="Arial" w:eastAsia="Arial" w:hAnsi="Arial"/>
                <w:sz w:val="18"/>
                <w:szCs w:val="18"/>
                <w:color w:val="661DE8"/>
              </w:rPr>
              <w:t>*</w:t>
            </w:r>
          </w:p>
        </w:tc>
        <w:tc>
          <w:tcPr>
            <w:tcW w:w="10460" w:type="dxa"/>
            <w:vAlign w:val="bottom"/>
            <w:gridSpan w:val="2"/>
          </w:tcPr>
          <w:p>
            <w:pPr>
              <w:ind w:left="160"/>
              <w:spacing w:after="0"/>
              <w:rPr>
                <w:sz w:val="20"/>
                <w:szCs w:val="20"/>
                <w:color w:val="auto"/>
              </w:rPr>
            </w:pPr>
            <w:r>
              <w:rPr>
                <w:rFonts w:ascii="Arial" w:cs="Arial" w:eastAsia="Arial" w:hAnsi="Arial"/>
                <w:sz w:val="18"/>
                <w:szCs w:val="18"/>
                <w:color w:val="auto"/>
              </w:rPr>
              <w:t>Form of Restricted Stock Unit Award under the Comcast Corporation 2002 Restricted Stock Plan.</w:t>
            </w:r>
          </w:p>
        </w:tc>
      </w:tr>
      <w:tr>
        <w:trPr>
          <w:trHeight w:val="270"/>
        </w:trPr>
        <w:tc>
          <w:tcPr>
            <w:tcW w:w="780" w:type="dxa"/>
            <w:vAlign w:val="bottom"/>
          </w:tcPr>
          <w:p>
            <w:pPr>
              <w:ind w:left="40"/>
              <w:spacing w:after="0"/>
              <w:rPr>
                <w:rFonts w:ascii="Arial" w:cs="Arial" w:eastAsia="Arial" w:hAnsi="Arial"/>
                <w:sz w:val="18"/>
                <w:szCs w:val="18"/>
                <w:color w:val="0000FF"/>
              </w:rPr>
            </w:pPr>
            <w:hyperlink w:anchor="page52">
              <w:r>
                <w:rPr>
                  <w:rFonts w:ascii="Arial" w:cs="Arial" w:eastAsia="Arial" w:hAnsi="Arial"/>
                  <w:sz w:val="18"/>
                  <w:szCs w:val="18"/>
                  <w:u w:val="single" w:color="auto"/>
                  <w:color w:val="0000FF"/>
                </w:rPr>
                <w:t>10.2</w:t>
              </w:r>
            </w:hyperlink>
            <w:r>
              <w:rPr>
                <w:rFonts w:ascii="Arial" w:cs="Arial" w:eastAsia="Arial" w:hAnsi="Arial"/>
                <w:sz w:val="18"/>
                <w:szCs w:val="18"/>
                <w:color w:val="661DE8"/>
              </w:rPr>
              <w:t>*</w:t>
            </w:r>
          </w:p>
        </w:tc>
        <w:tc>
          <w:tcPr>
            <w:tcW w:w="2140" w:type="dxa"/>
            <w:vAlign w:val="bottom"/>
          </w:tcPr>
          <w:p>
            <w:pPr>
              <w:ind w:left="160"/>
              <w:spacing w:after="0"/>
              <w:rPr>
                <w:sz w:val="20"/>
                <w:szCs w:val="20"/>
                <w:color w:val="auto"/>
              </w:rPr>
            </w:pPr>
            <w:r>
              <w:rPr>
                <w:rFonts w:ascii="Arial" w:cs="Arial" w:eastAsia="Arial" w:hAnsi="Arial"/>
                <w:sz w:val="18"/>
                <w:szCs w:val="18"/>
                <w:color w:val="auto"/>
                <w:w w:val="91"/>
              </w:rPr>
              <w:t>Comcast Corporation 2005</w:t>
            </w:r>
          </w:p>
        </w:tc>
        <w:tc>
          <w:tcPr>
            <w:tcW w:w="8320" w:type="dxa"/>
            <w:vAlign w:val="bottom"/>
          </w:tcPr>
          <w:p>
            <w:pPr>
              <w:ind w:left="20"/>
              <w:spacing w:after="0"/>
              <w:rPr>
                <w:sz w:val="20"/>
                <w:szCs w:val="20"/>
                <w:color w:val="auto"/>
              </w:rPr>
            </w:pPr>
            <w:r>
              <w:rPr>
                <w:rFonts w:ascii="Arial" w:cs="Arial" w:eastAsia="Arial" w:hAnsi="Arial"/>
                <w:sz w:val="18"/>
                <w:szCs w:val="18"/>
                <w:color w:val="auto"/>
              </w:rPr>
              <w:t>Deferred Compensation Plan, as amended and restated effective February 19, 2020.</w:t>
            </w:r>
          </w:p>
        </w:tc>
      </w:tr>
      <w:tr>
        <w:trPr>
          <w:trHeight w:val="270"/>
        </w:trPr>
        <w:tc>
          <w:tcPr>
            <w:tcW w:w="780" w:type="dxa"/>
            <w:vAlign w:val="bottom"/>
          </w:tcPr>
          <w:p>
            <w:pPr>
              <w:ind w:left="40"/>
              <w:spacing w:after="0"/>
              <w:rPr>
                <w:rFonts w:ascii="Arial" w:cs="Arial" w:eastAsia="Arial" w:hAnsi="Arial"/>
                <w:sz w:val="18"/>
                <w:szCs w:val="18"/>
                <w:color w:val="0000FF"/>
              </w:rPr>
            </w:pPr>
            <w:hyperlink w:anchor="page85">
              <w:r>
                <w:rPr>
                  <w:rFonts w:ascii="Arial" w:cs="Arial" w:eastAsia="Arial" w:hAnsi="Arial"/>
                  <w:sz w:val="18"/>
                  <w:szCs w:val="18"/>
                  <w:u w:val="single" w:color="auto"/>
                  <w:color w:val="0000FF"/>
                </w:rPr>
                <w:t>10.3</w:t>
              </w:r>
            </w:hyperlink>
            <w:r>
              <w:rPr>
                <w:rFonts w:ascii="Arial" w:cs="Arial" w:eastAsia="Arial" w:hAnsi="Arial"/>
                <w:sz w:val="18"/>
                <w:szCs w:val="18"/>
                <w:color w:val="661DE8"/>
              </w:rPr>
              <w:t>*</w:t>
            </w:r>
          </w:p>
        </w:tc>
        <w:tc>
          <w:tcPr>
            <w:tcW w:w="2140" w:type="dxa"/>
            <w:vAlign w:val="bottom"/>
          </w:tcPr>
          <w:p>
            <w:pPr>
              <w:ind w:left="160"/>
              <w:spacing w:after="0"/>
              <w:rPr>
                <w:sz w:val="20"/>
                <w:szCs w:val="20"/>
                <w:color w:val="auto"/>
              </w:rPr>
            </w:pPr>
            <w:r>
              <w:rPr>
                <w:rFonts w:ascii="Arial" w:cs="Arial" w:eastAsia="Arial" w:hAnsi="Arial"/>
                <w:sz w:val="18"/>
                <w:szCs w:val="18"/>
                <w:color w:val="auto"/>
                <w:w w:val="91"/>
              </w:rPr>
              <w:t>Comcast Corporation 2002</w:t>
            </w:r>
          </w:p>
        </w:tc>
        <w:tc>
          <w:tcPr>
            <w:tcW w:w="8320" w:type="dxa"/>
            <w:vAlign w:val="bottom"/>
          </w:tcPr>
          <w:p>
            <w:pPr>
              <w:ind w:left="20"/>
              <w:spacing w:after="0"/>
              <w:rPr>
                <w:sz w:val="20"/>
                <w:szCs w:val="20"/>
                <w:color w:val="auto"/>
              </w:rPr>
            </w:pPr>
            <w:r>
              <w:rPr>
                <w:rFonts w:ascii="Arial" w:cs="Arial" w:eastAsia="Arial" w:hAnsi="Arial"/>
                <w:sz w:val="18"/>
                <w:szCs w:val="18"/>
                <w:color w:val="auto"/>
              </w:rPr>
              <w:t>Restricted Stock Plan, as amended and restated effective April 10, 2020.</w:t>
            </w:r>
          </w:p>
        </w:tc>
      </w:tr>
      <w:tr>
        <w:trPr>
          <w:trHeight w:val="270"/>
        </w:trPr>
        <w:tc>
          <w:tcPr>
            <w:tcW w:w="780" w:type="dxa"/>
            <w:vAlign w:val="bottom"/>
          </w:tcPr>
          <w:p>
            <w:pPr>
              <w:ind w:left="40"/>
              <w:spacing w:after="0"/>
              <w:rPr>
                <w:rFonts w:ascii="Arial" w:cs="Arial" w:eastAsia="Arial" w:hAnsi="Arial"/>
                <w:sz w:val="18"/>
                <w:szCs w:val="18"/>
                <w:color w:val="0000FF"/>
              </w:rPr>
            </w:pPr>
            <w:hyperlink w:anchor="page118">
              <w:r>
                <w:rPr>
                  <w:rFonts w:ascii="Arial" w:cs="Arial" w:eastAsia="Arial" w:hAnsi="Arial"/>
                  <w:sz w:val="18"/>
                  <w:szCs w:val="18"/>
                  <w:u w:val="single" w:color="auto"/>
                  <w:color w:val="0000FF"/>
                </w:rPr>
                <w:t>10.4</w:t>
              </w:r>
            </w:hyperlink>
            <w:r>
              <w:rPr>
                <w:rFonts w:ascii="Arial" w:cs="Arial" w:eastAsia="Arial" w:hAnsi="Arial"/>
                <w:sz w:val="18"/>
                <w:szCs w:val="18"/>
                <w:color w:val="661DE8"/>
              </w:rPr>
              <w:t>*</w:t>
            </w:r>
          </w:p>
        </w:tc>
        <w:tc>
          <w:tcPr>
            <w:tcW w:w="2140" w:type="dxa"/>
            <w:vAlign w:val="bottom"/>
          </w:tcPr>
          <w:p>
            <w:pPr>
              <w:ind w:left="160"/>
              <w:spacing w:after="0"/>
              <w:rPr>
                <w:sz w:val="20"/>
                <w:szCs w:val="20"/>
                <w:color w:val="auto"/>
              </w:rPr>
            </w:pPr>
            <w:r>
              <w:rPr>
                <w:rFonts w:ascii="Arial" w:cs="Arial" w:eastAsia="Arial" w:hAnsi="Arial"/>
                <w:sz w:val="18"/>
                <w:szCs w:val="18"/>
                <w:color w:val="auto"/>
                <w:w w:val="91"/>
              </w:rPr>
              <w:t>Comcast Corporation 2003</w:t>
            </w:r>
          </w:p>
        </w:tc>
        <w:tc>
          <w:tcPr>
            <w:tcW w:w="8320" w:type="dxa"/>
            <w:vAlign w:val="bottom"/>
          </w:tcPr>
          <w:p>
            <w:pPr>
              <w:ind w:left="20"/>
              <w:spacing w:after="0"/>
              <w:rPr>
                <w:sz w:val="20"/>
                <w:szCs w:val="20"/>
                <w:color w:val="auto"/>
              </w:rPr>
            </w:pPr>
            <w:r>
              <w:rPr>
                <w:rFonts w:ascii="Arial" w:cs="Arial" w:eastAsia="Arial" w:hAnsi="Arial"/>
                <w:sz w:val="18"/>
                <w:szCs w:val="18"/>
                <w:color w:val="auto"/>
              </w:rPr>
              <w:t>Stock Option Plan, as amended and restated effective April 10, 2020.</w:t>
            </w:r>
          </w:p>
        </w:tc>
      </w:tr>
      <w:tr>
        <w:trPr>
          <w:trHeight w:val="270"/>
        </w:trPr>
        <w:tc>
          <w:tcPr>
            <w:tcW w:w="780" w:type="dxa"/>
            <w:vAlign w:val="bottom"/>
          </w:tcPr>
          <w:p>
            <w:pPr>
              <w:ind w:left="40"/>
              <w:spacing w:after="0"/>
              <w:rPr>
                <w:rFonts w:ascii="Arial" w:cs="Arial" w:eastAsia="Arial" w:hAnsi="Arial"/>
                <w:sz w:val="18"/>
                <w:szCs w:val="18"/>
                <w:color w:val="0000FF"/>
              </w:rPr>
            </w:pPr>
            <w:hyperlink w:anchor="page140">
              <w:r>
                <w:rPr>
                  <w:rFonts w:ascii="Arial" w:cs="Arial" w:eastAsia="Arial" w:hAnsi="Arial"/>
                  <w:sz w:val="18"/>
                  <w:szCs w:val="18"/>
                  <w:u w:val="single" w:color="auto"/>
                  <w:color w:val="0000FF"/>
                </w:rPr>
                <w:t>10.5</w:t>
              </w:r>
            </w:hyperlink>
            <w:r>
              <w:rPr>
                <w:rFonts w:ascii="Arial" w:cs="Arial" w:eastAsia="Arial" w:hAnsi="Arial"/>
                <w:sz w:val="18"/>
                <w:szCs w:val="18"/>
                <w:color w:val="661DE8"/>
              </w:rPr>
              <w:t>*</w:t>
            </w:r>
          </w:p>
        </w:tc>
        <w:tc>
          <w:tcPr>
            <w:tcW w:w="10460" w:type="dxa"/>
            <w:vAlign w:val="bottom"/>
            <w:gridSpan w:val="2"/>
          </w:tcPr>
          <w:p>
            <w:pPr>
              <w:ind w:left="160"/>
              <w:spacing w:after="0"/>
              <w:rPr>
                <w:sz w:val="20"/>
                <w:szCs w:val="20"/>
                <w:color w:val="auto"/>
              </w:rPr>
            </w:pPr>
            <w:r>
              <w:rPr>
                <w:rFonts w:ascii="Arial" w:cs="Arial" w:eastAsia="Arial" w:hAnsi="Arial"/>
                <w:sz w:val="18"/>
                <w:szCs w:val="18"/>
                <w:color w:val="auto"/>
              </w:rPr>
              <w:t>Amendment No. 2 to Employment Agreement with David N. Watson, dated as of April 29, 2020.</w:t>
            </w:r>
          </w:p>
        </w:tc>
      </w:tr>
      <w:tr>
        <w:trPr>
          <w:trHeight w:val="270"/>
        </w:trPr>
        <w:tc>
          <w:tcPr>
            <w:tcW w:w="780" w:type="dxa"/>
            <w:vAlign w:val="bottom"/>
          </w:tcPr>
          <w:p>
            <w:pPr>
              <w:ind w:left="40"/>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22.1</w:t>
              </w:r>
            </w:hyperlink>
          </w:p>
        </w:tc>
        <w:tc>
          <w:tcPr>
            <w:tcW w:w="10460" w:type="dxa"/>
            <w:vAlign w:val="bottom"/>
            <w:gridSpan w:val="2"/>
          </w:tcPr>
          <w:p>
            <w:pPr>
              <w:ind w:left="160"/>
              <w:spacing w:after="0"/>
              <w:rPr>
                <w:sz w:val="20"/>
                <w:szCs w:val="20"/>
                <w:color w:val="auto"/>
              </w:rPr>
            </w:pPr>
            <w:r>
              <w:rPr>
                <w:rFonts w:ascii="Arial" w:cs="Arial" w:eastAsia="Arial" w:hAnsi="Arial"/>
                <w:sz w:val="18"/>
                <w:szCs w:val="18"/>
                <w:color w:val="auto"/>
                <w:w w:val="99"/>
              </w:rPr>
              <w:t>Subsidiary guarantors and issuers of guaranteed securities and affiliates whose securities collateralize securities of the registrant.</w:t>
            </w:r>
          </w:p>
        </w:tc>
      </w:tr>
      <w:tr>
        <w:trPr>
          <w:trHeight w:val="270"/>
        </w:trPr>
        <w:tc>
          <w:tcPr>
            <w:tcW w:w="780" w:type="dxa"/>
            <w:vAlign w:val="bottom"/>
          </w:tcPr>
          <w:p>
            <w:pPr>
              <w:ind w:left="40"/>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31.1</w:t>
              </w:r>
            </w:hyperlink>
          </w:p>
        </w:tc>
        <w:tc>
          <w:tcPr>
            <w:tcW w:w="10460" w:type="dxa"/>
            <w:vAlign w:val="bottom"/>
            <w:gridSpan w:val="2"/>
          </w:tcPr>
          <w:p>
            <w:pPr>
              <w:ind w:left="160"/>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r>
      <w:tr>
        <w:trPr>
          <w:trHeight w:val="270"/>
        </w:trPr>
        <w:tc>
          <w:tcPr>
            <w:tcW w:w="780" w:type="dxa"/>
            <w:vAlign w:val="bottom"/>
          </w:tcPr>
          <w:p>
            <w:pPr>
              <w:ind w:left="40"/>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32.1</w:t>
              </w:r>
            </w:hyperlink>
          </w:p>
        </w:tc>
        <w:tc>
          <w:tcPr>
            <w:tcW w:w="10460" w:type="dxa"/>
            <w:vAlign w:val="bottom"/>
            <w:gridSpan w:val="2"/>
          </w:tcPr>
          <w:p>
            <w:pPr>
              <w:ind w:left="160"/>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tc>
      </w:tr>
    </w:tbl>
    <w:p>
      <w:pPr>
        <w:spacing w:after="0" w:line="40" w:lineRule="exact"/>
        <w:rPr>
          <w:sz w:val="20"/>
          <w:szCs w:val="20"/>
          <w:color w:val="auto"/>
        </w:rPr>
      </w:pPr>
    </w:p>
    <w:p>
      <w:pPr>
        <w:jc w:val="both"/>
        <w:ind w:left="940" w:right="20" w:hanging="905"/>
        <w:spacing w:after="0" w:line="291" w:lineRule="auto"/>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months ended March 31, 2020, filed with the Securities and Exchange Commission on April 30, 2020, formatted in Inline Extensible Business Reporting Language (iXBRL):</w:t>
      </w:r>
    </w:p>
    <w:p>
      <w:pPr>
        <w:jc w:val="both"/>
        <w:ind w:left="940" w:right="20" w:hanging="1"/>
        <w:spacing w:after="0" w:line="255" w:lineRule="auto"/>
        <w:tabs>
          <w:tab w:leader="none" w:pos="11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0" w:lineRule="exact"/>
        <w:rPr>
          <w:sz w:val="20"/>
          <w:szCs w:val="20"/>
          <w:color w:val="auto"/>
        </w:rPr>
      </w:pPr>
    </w:p>
    <w:p>
      <w:pPr>
        <w:ind w:left="940" w:hanging="905"/>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75"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31750</wp:posOffset>
            </wp:positionV>
            <wp:extent cx="3120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Senior Vice President, Chief Accounting Officer and Controller</w:t>
      </w:r>
    </w:p>
    <w:p>
      <w:pPr>
        <w:spacing w:after="0" w:line="2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7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COMCAST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w:t>
      </w:r>
    </w:p>
    <w:p>
      <w:pPr>
        <w:spacing w:after="0" w:line="200" w:lineRule="exact"/>
        <w:rPr>
          <w:sz w:val="20"/>
          <w:szCs w:val="20"/>
          <w:color w:val="auto"/>
        </w:rPr>
      </w:pP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is a Restricted Stock Unit Award (the “Award”) dated __________ from Comcast Corporation (the</w:t>
      </w:r>
    </w:p>
    <w:p>
      <w:pPr>
        <w:spacing w:after="0" w:line="33" w:lineRule="exact"/>
        <w:rPr>
          <w:sz w:val="20"/>
          <w:szCs w:val="20"/>
          <w:color w:val="auto"/>
        </w:rPr>
      </w:pPr>
    </w:p>
    <w:p>
      <w:pPr>
        <w:jc w:val="both"/>
        <w:ind w:right="200"/>
        <w:spacing w:after="0" w:line="245" w:lineRule="auto"/>
        <w:rPr>
          <w:sz w:val="20"/>
          <w:szCs w:val="20"/>
          <w:color w:val="auto"/>
        </w:rPr>
      </w:pPr>
      <w:r>
        <w:rPr>
          <w:rFonts w:ascii="Arial" w:cs="Arial" w:eastAsia="Arial" w:hAnsi="Arial"/>
          <w:sz w:val="22"/>
          <w:szCs w:val="22"/>
          <w:color w:val="auto"/>
        </w:rPr>
        <w:t>“Company”) to the Grantee. The vesting of Restricted Stock Units is conditioned on the Grantee’s continuation in service from the Date of Grant through each applicable Vesting Date, and on the Company’s attainment of certain performance objectives, as further provided in this Award.</w:t>
      </w:r>
    </w:p>
    <w:p>
      <w:pPr>
        <w:spacing w:after="0" w:line="166" w:lineRule="exact"/>
        <w:rPr>
          <w:sz w:val="20"/>
          <w:szCs w:val="20"/>
          <w:color w:val="auto"/>
        </w:rPr>
      </w:pPr>
    </w:p>
    <w:p>
      <w:pPr>
        <w:ind w:right="100" w:firstLine="1304"/>
        <w:spacing w:after="0" w:line="232" w:lineRule="auto"/>
        <w:tabs>
          <w:tab w:leader="none" w:pos="2106"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herein are defined below or, if not defined below, have the meanings given to them in the Plan.</w:t>
      </w:r>
    </w:p>
    <w:p>
      <w:pPr>
        <w:spacing w:after="0" w:line="185" w:lineRule="exact"/>
        <w:rPr>
          <w:rFonts w:ascii="Arial" w:cs="Arial" w:eastAsia="Arial" w:hAnsi="Arial"/>
          <w:sz w:val="22"/>
          <w:szCs w:val="22"/>
          <w:color w:val="auto"/>
        </w:rPr>
      </w:pPr>
    </w:p>
    <w:p>
      <w:pPr>
        <w:ind w:right="120" w:firstLine="1952"/>
        <w:spacing w:after="0" w:line="307" w:lineRule="auto"/>
        <w:tabs>
          <w:tab w:leader="none" w:pos="2364" w:val="left"/>
        </w:tabs>
        <w:numPr>
          <w:ilvl w:val="2"/>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w:t>
      </w:r>
      <w:r>
        <w:rPr>
          <w:rFonts w:ascii="Arial" w:cs="Arial" w:eastAsia="Arial" w:hAnsi="Arial"/>
          <w:sz w:val="19"/>
          <w:szCs w:val="19"/>
          <w:color w:val="auto"/>
        </w:rPr>
        <w:t>” means an unfunded bookkeeping account established pursuant to Paragraph 6(e)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37" w:lineRule="exact"/>
        <w:rPr>
          <w:rFonts w:ascii="Arial" w:cs="Arial" w:eastAsia="Arial" w:hAnsi="Arial"/>
          <w:sz w:val="19"/>
          <w:szCs w:val="19"/>
          <w:color w:val="auto"/>
        </w:rPr>
      </w:pPr>
    </w:p>
    <w:p>
      <w:pPr>
        <w:ind w:right="40" w:firstLine="1952"/>
        <w:spacing w:after="0" w:line="291" w:lineRule="auto"/>
        <w:tabs>
          <w:tab w:leader="none" w:pos="2376" w:val="left"/>
        </w:tabs>
        <w:numPr>
          <w:ilvl w:val="2"/>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EBITDA</w:t>
      </w:r>
      <w:r>
        <w:rPr>
          <w:rFonts w:ascii="Arial" w:cs="Arial" w:eastAsia="Arial" w:hAnsi="Arial"/>
          <w:sz w:val="19"/>
          <w:szCs w:val="19"/>
          <w:color w:val="auto"/>
        </w:rPr>
        <w:t>” means Adjusted EBITDA as reported by the Company in reports as filed with or furnished to the Securities and Exchange Commission, adjusted to exclude the results of operations attributable to (i) any new business initiatives as may be designated by the Committee and (ii) Peacock (as determined by the Committee), provided that with respect to any Performance Goal applicable to this Award, the Committee may adjust Adjusted EBITDA for the prior calendar year and the year to which the performance condition applies to take into account the impact of (i) any transaction or other nonrecurring income or expense item such that the measurement of Adjusted EBITDA for the year to which the performance condition applies is comparable to that for the prior calendar year and (ii) changes in foreign currency exchange rates on subsidiaries operating in currencies other than United States dollars such that the measurement of Adjusted EBITDA is based on exchange rates that are comparable to those used in the determination of the Performance Goal.</w:t>
      </w:r>
    </w:p>
    <w:p>
      <w:pPr>
        <w:spacing w:after="0" w:line="153" w:lineRule="exact"/>
        <w:rPr>
          <w:rFonts w:ascii="Arial" w:cs="Arial" w:eastAsia="Arial" w:hAnsi="Arial"/>
          <w:sz w:val="19"/>
          <w:szCs w:val="19"/>
          <w:color w:val="auto"/>
        </w:rPr>
      </w:pPr>
    </w:p>
    <w:p>
      <w:pPr>
        <w:ind w:left="2380" w:hanging="428"/>
        <w:spacing w:after="0"/>
        <w:tabs>
          <w:tab w:leader="none" w:pos="2380" w:val="left"/>
        </w:tabs>
        <w:numPr>
          <w:ilvl w:val="2"/>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the award of Restricted Stock Units hereby granted.</w:t>
      </w:r>
    </w:p>
    <w:p>
      <w:pPr>
        <w:spacing w:after="0" w:line="233" w:lineRule="exact"/>
        <w:rPr>
          <w:rFonts w:ascii="Arial" w:cs="Arial" w:eastAsia="Arial" w:hAnsi="Arial"/>
          <w:sz w:val="22"/>
          <w:szCs w:val="22"/>
          <w:color w:val="auto"/>
        </w:rPr>
      </w:pPr>
    </w:p>
    <w:p>
      <w:pPr>
        <w:ind w:left="2380" w:hanging="428"/>
        <w:spacing w:after="0"/>
        <w:tabs>
          <w:tab w:leader="none" w:pos="2380" w:val="left"/>
        </w:tabs>
        <w:numPr>
          <w:ilvl w:val="2"/>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color w:val="auto"/>
        </w:rPr>
      </w:pPr>
    </w:p>
    <w:p>
      <w:pPr>
        <w:ind w:right="660" w:firstLine="1952"/>
        <w:spacing w:after="0" w:line="299" w:lineRule="auto"/>
        <w:tabs>
          <w:tab w:leader="none" w:pos="2364" w:val="left"/>
        </w:tabs>
        <w:numPr>
          <w:ilvl w:val="2"/>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fraud; (ii) misappropriation; (iii) embezzlement; (iv) gross negligence in the performance of duties; (v) self-dealing; (vi) dishonesty; (vii) misrepresentation; (viii) conviction of a crime of a felony;</w:t>
      </w:r>
    </w:p>
    <w:p>
      <w:pPr>
        <w:ind w:left="380" w:hanging="372"/>
        <w:spacing w:after="0"/>
        <w:tabs>
          <w:tab w:leader="none" w:pos="3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material violation of any Company policy; (x) material violation of the Company’s Code of Ethics and Business Conduct or,</w:t>
      </w:r>
    </w:p>
    <w:p>
      <w:pPr>
        <w:spacing w:after="0" w:line="38" w:lineRule="exact"/>
        <w:rPr>
          <w:rFonts w:ascii="Arial" w:cs="Arial" w:eastAsia="Arial" w:hAnsi="Arial"/>
          <w:sz w:val="19"/>
          <w:szCs w:val="19"/>
          <w:color w:val="auto"/>
        </w:rPr>
      </w:pPr>
    </w:p>
    <w:p>
      <w:pPr>
        <w:jc w:val="both"/>
        <w:ind w:right="300" w:firstLine="8"/>
        <w:spacing w:after="0" w:line="245" w:lineRule="auto"/>
        <w:tabs>
          <w:tab w:leader="none" w:pos="366"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ectPr>
          <w:pgSz w:w="11900" w:h="16838" w:orient="portrait"/>
          <w:cols w:equalWidth="0" w:num="1">
            <w:col w:w="11240"/>
          </w:cols>
          <w:pgMar w:left="320" w:top="553" w:right="339" w:bottom="1440" w:gutter="0" w:footer="0" w:header="0"/>
        </w:sectPr>
      </w:pPr>
    </w:p>
    <w:bookmarkStart w:id="42" w:name="page43"/>
    <w:bookmarkEnd w:id="42"/>
    <w:p>
      <w:pPr>
        <w:ind w:left="2340" w:hanging="388"/>
        <w:spacing w:after="0"/>
        <w:tabs>
          <w:tab w:leader="none" w:pos="23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color w:val="auto"/>
        </w:rPr>
      </w:pPr>
    </w:p>
    <w:p>
      <w:pPr>
        <w:ind w:left="2380" w:hanging="428"/>
        <w:spacing w:after="0"/>
        <w:tabs>
          <w:tab w:leader="none" w:pos="23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or its delegate.</w:t>
      </w:r>
    </w:p>
    <w:p>
      <w:pPr>
        <w:spacing w:after="0" w:line="233" w:lineRule="exact"/>
        <w:rPr>
          <w:rFonts w:ascii="Arial" w:cs="Arial" w:eastAsia="Arial" w:hAnsi="Arial"/>
          <w:sz w:val="22"/>
          <w:szCs w:val="22"/>
          <w:color w:val="auto"/>
        </w:rPr>
      </w:pPr>
    </w:p>
    <w:p>
      <w:pPr>
        <w:ind w:left="2380" w:hanging="428"/>
        <w:spacing w:after="0"/>
        <w:tabs>
          <w:tab w:leader="none" w:pos="23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Grant</w:t>
      </w:r>
      <w:r>
        <w:rPr>
          <w:rFonts w:ascii="Arial" w:cs="Arial" w:eastAsia="Arial" w:hAnsi="Arial"/>
          <w:sz w:val="19"/>
          <w:szCs w:val="19"/>
          <w:color w:val="auto"/>
        </w:rPr>
        <w:t>” means the date first set forth above, on which the Company awarded the Restricted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Stock Units.</w:t>
      </w:r>
    </w:p>
    <w:p>
      <w:pPr>
        <w:spacing w:after="0" w:line="215" w:lineRule="exact"/>
        <w:rPr>
          <w:sz w:val="20"/>
          <w:szCs w:val="20"/>
          <w:color w:val="auto"/>
        </w:rPr>
      </w:pPr>
    </w:p>
    <w:p>
      <w:pPr>
        <w:ind w:left="2340" w:hanging="388"/>
        <w:spacing w:after="0"/>
        <w:tabs>
          <w:tab w:leader="none" w:pos="23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 Units</w:t>
      </w:r>
      <w:r>
        <w:rPr>
          <w:rFonts w:ascii="Arial" w:cs="Arial" w:eastAsia="Arial" w:hAnsi="Arial"/>
          <w:sz w:val="22"/>
          <w:szCs w:val="22"/>
          <w:color w:val="auto"/>
        </w:rPr>
        <w:t>” means the number of hypothetical Shares subject to an Election.</w:t>
      </w:r>
    </w:p>
    <w:p>
      <w:pPr>
        <w:spacing w:after="0" w:line="233" w:lineRule="exact"/>
        <w:rPr>
          <w:rFonts w:ascii="Arial" w:cs="Arial" w:eastAsia="Arial" w:hAnsi="Arial"/>
          <w:sz w:val="22"/>
          <w:szCs w:val="22"/>
          <w:color w:val="auto"/>
        </w:rPr>
      </w:pPr>
    </w:p>
    <w:p>
      <w:pPr>
        <w:ind w:left="2340" w:hanging="388"/>
        <w:spacing w:after="0"/>
        <w:tabs>
          <w:tab w:leader="none" w:pos="23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Disabled Grantee</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3040" w:hanging="440"/>
        <w:spacing w:after="0"/>
        <w:tabs>
          <w:tab w:leader="none" w:pos="3040" w:val="left"/>
        </w:tabs>
        <w:numPr>
          <w:ilvl w:val="1"/>
          <w:numId w:val="20"/>
        </w:numPr>
        <w:rPr>
          <w:rFonts w:ascii="Arial" w:cs="Arial" w:eastAsia="Arial" w:hAnsi="Arial"/>
          <w:sz w:val="21"/>
          <w:szCs w:val="21"/>
          <w:color w:val="auto"/>
        </w:rPr>
      </w:pPr>
      <w:r>
        <w:rPr>
          <w:rFonts w:ascii="Arial" w:cs="Arial" w:eastAsia="Arial" w:hAnsi="Arial"/>
          <w:sz w:val="21"/>
          <w:szCs w:val="21"/>
          <w:color w:val="auto"/>
        </w:rPr>
        <w:t>Grantee, if Grantee’s employment by a Participating Company terminates by reason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Disability; or</w:t>
      </w:r>
    </w:p>
    <w:p>
      <w:pPr>
        <w:spacing w:after="0" w:line="215" w:lineRule="exact"/>
        <w:rPr>
          <w:sz w:val="20"/>
          <w:szCs w:val="20"/>
          <w:color w:val="auto"/>
        </w:rPr>
      </w:pPr>
    </w:p>
    <w:p>
      <w:pPr>
        <w:ind w:right="160" w:firstLine="2600"/>
        <w:spacing w:after="0" w:line="276" w:lineRule="auto"/>
        <w:tabs>
          <w:tab w:leader="none" w:pos="3024" w:val="left"/>
        </w:tabs>
        <w:numPr>
          <w:ilvl w:val="1"/>
          <w:numId w:val="21"/>
        </w:numPr>
        <w:rPr>
          <w:rFonts w:ascii="Arial" w:cs="Arial" w:eastAsia="Arial" w:hAnsi="Arial"/>
          <w:sz w:val="22"/>
          <w:szCs w:val="22"/>
          <w:color w:val="auto"/>
        </w:rPr>
      </w:pPr>
      <w:r>
        <w:rPr>
          <w:rFonts w:ascii="Arial" w:cs="Arial" w:eastAsia="Arial" w:hAnsi="Arial"/>
          <w:sz w:val="22"/>
          <w:szCs w:val="22"/>
          <w:color w:val="auto"/>
        </w:rPr>
        <w:t>Grantee’s duly-appointed legal guardian following Grantee’s termination of employment by reason of Disability, acting on Grantee’s behalf.</w:t>
      </w:r>
    </w:p>
    <w:p>
      <w:pPr>
        <w:spacing w:after="0" w:line="160" w:lineRule="exact"/>
        <w:rPr>
          <w:rFonts w:ascii="Arial" w:cs="Arial" w:eastAsia="Arial" w:hAnsi="Arial"/>
          <w:sz w:val="22"/>
          <w:szCs w:val="22"/>
          <w:color w:val="auto"/>
        </w:rPr>
      </w:pPr>
    </w:p>
    <w:p>
      <w:pPr>
        <w:ind w:right="160" w:firstLine="1952"/>
        <w:spacing w:after="0" w:line="276" w:lineRule="auto"/>
        <w:tabs>
          <w:tab w:leader="none" w:pos="2376"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means the Company or the subsidiary or affiliate of the Company for which Grantee is performing services on the Vesting Date.</w:t>
      </w:r>
    </w:p>
    <w:p>
      <w:pPr>
        <w:spacing w:after="0" w:line="160" w:lineRule="exact"/>
        <w:rPr>
          <w:rFonts w:ascii="Arial" w:cs="Arial" w:eastAsia="Arial" w:hAnsi="Arial"/>
          <w:sz w:val="22"/>
          <w:szCs w:val="22"/>
          <w:color w:val="auto"/>
        </w:rPr>
      </w:pPr>
    </w:p>
    <w:p>
      <w:pPr>
        <w:ind w:right="260" w:firstLine="1952"/>
        <w:spacing w:after="0" w:line="276" w:lineRule="auto"/>
        <w:tabs>
          <w:tab w:leader="none" w:pos="2328"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Grantee</w:t>
      </w:r>
      <w:r>
        <w:rPr>
          <w:rFonts w:ascii="Arial" w:cs="Arial" w:eastAsia="Arial" w:hAnsi="Arial"/>
          <w:sz w:val="22"/>
          <w:szCs w:val="22"/>
          <w:color w:val="auto"/>
        </w:rPr>
        <w:t>” means the individual to whom this Award has been granted as identified on the attached Long-Term Incentive Awards Summary Schedule.</w:t>
      </w:r>
    </w:p>
    <w:p>
      <w:pPr>
        <w:spacing w:after="0" w:line="160" w:lineRule="exact"/>
        <w:rPr>
          <w:rFonts w:ascii="Arial" w:cs="Arial" w:eastAsia="Arial" w:hAnsi="Arial"/>
          <w:sz w:val="22"/>
          <w:szCs w:val="22"/>
          <w:color w:val="auto"/>
        </w:rPr>
      </w:pPr>
    </w:p>
    <w:p>
      <w:pPr>
        <w:ind w:left="2440" w:hanging="488"/>
        <w:spacing w:after="0"/>
        <w:tabs>
          <w:tab w:leader="none" w:pos="2440" w:val="left"/>
        </w:tabs>
        <w:numPr>
          <w:ilvl w:val="0"/>
          <w:numId w:val="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HSR Act</w:t>
      </w:r>
      <w:r>
        <w:rPr>
          <w:rFonts w:ascii="Arial" w:cs="Arial" w:eastAsia="Arial" w:hAnsi="Arial"/>
          <w:sz w:val="21"/>
          <w:szCs w:val="21"/>
          <w:color w:val="auto"/>
        </w:rPr>
        <w:t>” means the Hart-Scott-Rodino Antitrust Improvements Act of 1976, as amended.</w:t>
      </w:r>
    </w:p>
    <w:p>
      <w:pPr>
        <w:spacing w:after="0" w:line="244" w:lineRule="exact"/>
        <w:rPr>
          <w:rFonts w:ascii="Arial" w:cs="Arial" w:eastAsia="Arial" w:hAnsi="Arial"/>
          <w:sz w:val="21"/>
          <w:szCs w:val="21"/>
          <w:color w:val="auto"/>
        </w:rPr>
      </w:pPr>
    </w:p>
    <w:p>
      <w:pPr>
        <w:ind w:right="140" w:firstLine="1952"/>
        <w:spacing w:after="0" w:line="276" w:lineRule="auto"/>
        <w:tabs>
          <w:tab w:leader="none" w:pos="2376"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Incentive Awards Summary Schedule</w:t>
      </w:r>
      <w:r>
        <w:rPr>
          <w:rFonts w:ascii="Arial" w:cs="Arial" w:eastAsia="Arial" w:hAnsi="Arial"/>
          <w:sz w:val="22"/>
          <w:szCs w:val="22"/>
          <w:color w:val="auto"/>
        </w:rPr>
        <w:t>” means the schedule attached hereto, which sets forth specific information relating to the grant and vesting of this Award.</w:t>
      </w:r>
    </w:p>
    <w:p>
      <w:pPr>
        <w:spacing w:after="0" w:line="160" w:lineRule="exact"/>
        <w:rPr>
          <w:rFonts w:ascii="Arial" w:cs="Arial" w:eastAsia="Arial" w:hAnsi="Arial"/>
          <w:sz w:val="22"/>
          <w:szCs w:val="22"/>
          <w:color w:val="auto"/>
        </w:rPr>
      </w:pPr>
    </w:p>
    <w:p>
      <w:pPr>
        <w:ind w:firstLine="1952"/>
        <w:spacing w:after="0" w:line="276" w:lineRule="auto"/>
        <w:tabs>
          <w:tab w:leader="none" w:pos="2376"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Normal Retirement</w:t>
      </w:r>
      <w:r>
        <w:rPr>
          <w:rFonts w:ascii="Arial" w:cs="Arial" w:eastAsia="Arial" w:hAnsi="Arial"/>
          <w:sz w:val="22"/>
          <w:szCs w:val="22"/>
          <w:color w:val="auto"/>
        </w:rPr>
        <w:t>” means Grantee’s termination of employment that is treated by the Participating Company as a retirement under its employment policies and practices as in effect from time to time.</w:t>
      </w:r>
    </w:p>
    <w:p>
      <w:pPr>
        <w:spacing w:after="0" w:line="160" w:lineRule="exact"/>
        <w:rPr>
          <w:rFonts w:ascii="Arial" w:cs="Arial" w:eastAsia="Arial" w:hAnsi="Arial"/>
          <w:sz w:val="22"/>
          <w:szCs w:val="22"/>
          <w:color w:val="auto"/>
        </w:rPr>
      </w:pPr>
    </w:p>
    <w:p>
      <w:pPr>
        <w:ind w:left="2380" w:hanging="428"/>
        <w:spacing w:after="0"/>
        <w:tabs>
          <w:tab w:leader="none" w:pos="23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Goal</w:t>
      </w:r>
      <w:r>
        <w:rPr>
          <w:rFonts w:ascii="Arial" w:cs="Arial" w:eastAsia="Arial" w:hAnsi="Arial"/>
          <w:sz w:val="22"/>
          <w:szCs w:val="22"/>
          <w:color w:val="auto"/>
        </w:rPr>
        <w:t>” means each of the following Tiered Performance Goals:</w:t>
      </w:r>
    </w:p>
    <w:p>
      <w:pPr>
        <w:spacing w:after="0" w:line="233" w:lineRule="exact"/>
        <w:rPr>
          <w:rFonts w:ascii="Arial" w:cs="Arial" w:eastAsia="Arial" w:hAnsi="Arial"/>
          <w:sz w:val="22"/>
          <w:szCs w:val="22"/>
          <w:color w:val="auto"/>
        </w:rPr>
      </w:pPr>
    </w:p>
    <w:p>
      <w:pPr>
        <w:ind w:right="80" w:firstLine="2600"/>
        <w:spacing w:after="0" w:line="276" w:lineRule="auto"/>
        <w:tabs>
          <w:tab w:leader="none" w:pos="3290" w:val="left"/>
        </w:tabs>
        <w:numPr>
          <w:ilvl w:val="1"/>
          <w:numId w:val="22"/>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auto"/>
        </w:rPr>
        <w:t>Tier One Performance Goal</w:t>
      </w:r>
      <w:r>
        <w:rPr>
          <w:rFonts w:ascii="Arial" w:cs="Arial" w:eastAsia="Arial" w:hAnsi="Arial"/>
          <w:sz w:val="22"/>
          <w:szCs w:val="22"/>
          <w:color w:val="auto"/>
        </w:rPr>
        <w:t xml:space="preserve"> is achieved if Adjusted EBITDA for a calendar year is at least ___ percent of Adjusted EBITDA for the immediately preceding calendar year;</w:t>
      </w:r>
    </w:p>
    <w:p>
      <w:pPr>
        <w:spacing w:after="0" w:line="160" w:lineRule="exact"/>
        <w:rPr>
          <w:rFonts w:ascii="Arial" w:cs="Arial" w:eastAsia="Arial" w:hAnsi="Arial"/>
          <w:sz w:val="22"/>
          <w:szCs w:val="22"/>
          <w:color w:val="auto"/>
        </w:rPr>
      </w:pPr>
    </w:p>
    <w:p>
      <w:pPr>
        <w:ind w:right="60" w:firstLine="2600"/>
        <w:spacing w:after="0" w:line="276" w:lineRule="auto"/>
        <w:tabs>
          <w:tab w:leader="none" w:pos="3290" w:val="left"/>
        </w:tabs>
        <w:numPr>
          <w:ilvl w:val="1"/>
          <w:numId w:val="22"/>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auto"/>
        </w:rPr>
        <w:t>Tier Two Performance Goal</w:t>
      </w:r>
      <w:r>
        <w:rPr>
          <w:rFonts w:ascii="Arial" w:cs="Arial" w:eastAsia="Arial" w:hAnsi="Arial"/>
          <w:sz w:val="22"/>
          <w:szCs w:val="22"/>
          <w:color w:val="auto"/>
        </w:rPr>
        <w:t xml:space="preserve"> is achieved if Adjusted EBITDA for a calendar year is at least ___ percent of Adjusted EBITDA for the immediately preceding calendar year;</w:t>
      </w:r>
    </w:p>
    <w:p>
      <w:pPr>
        <w:sectPr>
          <w:pgSz w:w="11900" w:h="16838" w:orient="portrait"/>
          <w:cols w:equalWidth="0" w:num="1">
            <w:col w:w="11120"/>
          </w:cols>
          <w:pgMar w:left="320" w:top="348" w:right="459" w:bottom="1440" w:gutter="0" w:footer="0" w:header="0"/>
        </w:sectPr>
      </w:pPr>
    </w:p>
    <w:bookmarkStart w:id="43" w:name="page44"/>
    <w:bookmarkEnd w:id="43"/>
    <w:p>
      <w:pPr>
        <w:ind w:right="240" w:firstLine="2600"/>
        <w:spacing w:after="0" w:line="276" w:lineRule="auto"/>
        <w:tabs>
          <w:tab w:leader="none" w:pos="3024" w:val="left"/>
        </w:tabs>
        <w:numPr>
          <w:ilvl w:val="2"/>
          <w:numId w:val="23"/>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auto"/>
        </w:rPr>
        <w:t>Tier Three Performance Goal</w:t>
      </w:r>
      <w:r>
        <w:rPr>
          <w:rFonts w:ascii="Arial" w:cs="Arial" w:eastAsia="Arial" w:hAnsi="Arial"/>
          <w:sz w:val="22"/>
          <w:szCs w:val="22"/>
          <w:color w:val="auto"/>
        </w:rPr>
        <w:t xml:space="preserve"> is achieved if Adjusted EBITDA for a calendar year is at least ___ percent of Adjusted EBITDA for the immediately preceding calendar year;</w:t>
      </w:r>
    </w:p>
    <w:p>
      <w:pPr>
        <w:spacing w:after="0" w:line="160" w:lineRule="exact"/>
        <w:rPr>
          <w:rFonts w:ascii="Arial" w:cs="Arial" w:eastAsia="Arial" w:hAnsi="Arial"/>
          <w:sz w:val="22"/>
          <w:szCs w:val="22"/>
          <w:color w:val="auto"/>
        </w:rPr>
      </w:pPr>
    </w:p>
    <w:p>
      <w:pPr>
        <w:ind w:right="440" w:firstLine="2600"/>
        <w:spacing w:after="0" w:line="259" w:lineRule="auto"/>
        <w:tabs>
          <w:tab w:leader="none" w:pos="3078" w:val="left"/>
        </w:tabs>
        <w:numPr>
          <w:ilvl w:val="2"/>
          <w:numId w:val="23"/>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auto"/>
        </w:rPr>
        <w:t>Tier Four Performance Goal</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Target Performance Goal</w:t>
      </w:r>
      <w:r>
        <w:rPr>
          <w:rFonts w:ascii="Arial" w:cs="Arial" w:eastAsia="Arial" w:hAnsi="Arial"/>
          <w:sz w:val="22"/>
          <w:szCs w:val="22"/>
          <w:color w:val="auto"/>
        </w:rPr>
        <w:t xml:space="preserve"> is achieved if Adjusted EBITDA for a calendar year is at least ___ percent but not more than ___ percent of Adjusted EBITDA for the immediately preceding calendar year</w:t>
      </w:r>
    </w:p>
    <w:p>
      <w:pPr>
        <w:spacing w:after="0" w:line="180" w:lineRule="exact"/>
        <w:rPr>
          <w:rFonts w:ascii="Arial" w:cs="Arial" w:eastAsia="Arial" w:hAnsi="Arial"/>
          <w:sz w:val="22"/>
          <w:szCs w:val="22"/>
          <w:color w:val="auto"/>
        </w:rPr>
      </w:pPr>
    </w:p>
    <w:p>
      <w:pPr>
        <w:ind w:left="3040" w:hanging="440"/>
        <w:spacing w:after="0"/>
        <w:tabs>
          <w:tab w:leader="none" w:pos="3040" w:val="left"/>
        </w:tabs>
        <w:numPr>
          <w:ilvl w:val="2"/>
          <w:numId w:val="23"/>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u w:val="single" w:color="auto"/>
          <w:color w:val="auto"/>
        </w:rPr>
        <w:t>Tier Five Performance Goal</w:t>
      </w:r>
      <w:r>
        <w:rPr>
          <w:rFonts w:ascii="Arial" w:cs="Arial" w:eastAsia="Arial" w:hAnsi="Arial"/>
          <w:sz w:val="19"/>
          <w:szCs w:val="19"/>
          <w:color w:val="auto"/>
        </w:rPr>
        <w:t xml:space="preserve"> is achieved if Adjusted EBITDA for a calendar year is ___</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percent or more of Adjusted EBITDA for the immediately preceding calendar year.</w:t>
      </w:r>
    </w:p>
    <w:p>
      <w:pPr>
        <w:spacing w:after="0" w:line="215" w:lineRule="exact"/>
        <w:rPr>
          <w:rFonts w:ascii="Arial" w:cs="Arial" w:eastAsia="Arial" w:hAnsi="Arial"/>
          <w:sz w:val="19"/>
          <w:szCs w:val="19"/>
          <w:color w:val="auto"/>
        </w:rPr>
      </w:pPr>
    </w:p>
    <w:p>
      <w:pPr>
        <w:ind w:left="2380" w:hanging="428"/>
        <w:spacing w:after="0"/>
        <w:tabs>
          <w:tab w:leader="none" w:pos="23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the Comcast Corporation 2002 Restricted Stock Plan, incorporated herein by reference.</w:t>
      </w:r>
    </w:p>
    <w:p>
      <w:pPr>
        <w:spacing w:after="0" w:line="267" w:lineRule="exact"/>
        <w:rPr>
          <w:rFonts w:ascii="Arial" w:cs="Arial" w:eastAsia="Arial" w:hAnsi="Arial"/>
          <w:sz w:val="19"/>
          <w:szCs w:val="19"/>
          <w:color w:val="auto"/>
        </w:rPr>
      </w:pPr>
    </w:p>
    <w:p>
      <w:pPr>
        <w:ind w:right="300" w:firstLine="1952"/>
        <w:spacing w:after="0" w:line="276" w:lineRule="auto"/>
        <w:tabs>
          <w:tab w:leader="none" w:pos="2340"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means, with respect to each Restricted Stock Unit, the period beginning on the Date of Grant and ending on the Vesting Date.</w:t>
      </w:r>
    </w:p>
    <w:p>
      <w:pPr>
        <w:spacing w:after="0" w:line="160" w:lineRule="exact"/>
        <w:rPr>
          <w:rFonts w:ascii="Arial" w:cs="Arial" w:eastAsia="Arial" w:hAnsi="Arial"/>
          <w:sz w:val="22"/>
          <w:szCs w:val="22"/>
          <w:color w:val="auto"/>
        </w:rPr>
      </w:pPr>
    </w:p>
    <w:p>
      <w:pPr>
        <w:ind w:right="60" w:firstLine="1952"/>
        <w:spacing w:after="0" w:line="278" w:lineRule="auto"/>
        <w:tabs>
          <w:tab w:leader="none" w:pos="2352" w:val="left"/>
        </w:tabs>
        <w:numPr>
          <w:ilvl w:val="1"/>
          <w:numId w:val="2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159" w:lineRule="exact"/>
        <w:rPr>
          <w:rFonts w:ascii="Arial" w:cs="Arial" w:eastAsia="Arial" w:hAnsi="Arial"/>
          <w:sz w:val="21"/>
          <w:szCs w:val="21"/>
          <w:color w:val="auto"/>
        </w:rPr>
      </w:pPr>
    </w:p>
    <w:p>
      <w:pPr>
        <w:ind w:left="2380" w:hanging="428"/>
        <w:spacing w:after="0"/>
        <w:tabs>
          <w:tab w:leader="none" w:pos="23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Retired Grantee</w:t>
      </w:r>
      <w:r>
        <w:rPr>
          <w:rFonts w:ascii="Arial" w:cs="Arial" w:eastAsia="Arial" w:hAnsi="Arial"/>
          <w:sz w:val="19"/>
          <w:szCs w:val="19"/>
          <w:color w:val="auto"/>
        </w:rPr>
        <w:t>” means Grantee, following Grantee’s termination of employment pursuant to a</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Normal Retirement.</w:t>
      </w:r>
    </w:p>
    <w:p>
      <w:pPr>
        <w:spacing w:after="0" w:line="215" w:lineRule="exact"/>
        <w:rPr>
          <w:rFonts w:ascii="Arial" w:cs="Arial" w:eastAsia="Arial" w:hAnsi="Arial"/>
          <w:sz w:val="19"/>
          <w:szCs w:val="19"/>
          <w:color w:val="auto"/>
        </w:rPr>
      </w:pPr>
    </w:p>
    <w:p>
      <w:pPr>
        <w:ind w:left="2380" w:hanging="428"/>
        <w:spacing w:after="0"/>
        <w:tabs>
          <w:tab w:leader="none" w:pos="23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16b-3</w:t>
      </w:r>
      <w:r>
        <w:rPr>
          <w:rFonts w:ascii="Arial" w:cs="Arial" w:eastAsia="Arial" w:hAnsi="Arial"/>
          <w:sz w:val="19"/>
          <w:szCs w:val="19"/>
          <w:color w:val="auto"/>
        </w:rPr>
        <w:t>” means Rule 16b-3 promulgated under the 1934 Act, as in effect from time to time.</w:t>
      </w:r>
    </w:p>
    <w:p>
      <w:pPr>
        <w:spacing w:after="0" w:line="267" w:lineRule="exact"/>
        <w:rPr>
          <w:rFonts w:ascii="Arial" w:cs="Arial" w:eastAsia="Arial" w:hAnsi="Arial"/>
          <w:sz w:val="19"/>
          <w:szCs w:val="19"/>
          <w:color w:val="auto"/>
        </w:rPr>
      </w:pPr>
    </w:p>
    <w:p>
      <w:pPr>
        <w:ind w:left="2380" w:hanging="428"/>
        <w:spacing w:after="0"/>
        <w:tabs>
          <w:tab w:leader="none" w:pos="2380" w:val="left"/>
        </w:tabs>
        <w:numPr>
          <w:ilvl w:val="1"/>
          <w:numId w:val="2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Shares</w:t>
      </w:r>
      <w:r>
        <w:rPr>
          <w:rFonts w:ascii="Arial" w:cs="Arial" w:eastAsia="Arial" w:hAnsi="Arial"/>
          <w:sz w:val="21"/>
          <w:szCs w:val="21"/>
          <w:color w:val="auto"/>
        </w:rPr>
        <w:t>” mean shares of the Company’s Class A Common Stock, par value $.01 per share.</w:t>
      </w:r>
    </w:p>
    <w:p>
      <w:pPr>
        <w:spacing w:after="0" w:line="244" w:lineRule="exact"/>
        <w:rPr>
          <w:rFonts w:ascii="Arial" w:cs="Arial" w:eastAsia="Arial" w:hAnsi="Arial"/>
          <w:sz w:val="21"/>
          <w:szCs w:val="21"/>
          <w:color w:val="auto"/>
        </w:rPr>
      </w:pPr>
    </w:p>
    <w:p>
      <w:pPr>
        <w:ind w:right="200" w:firstLine="1952"/>
        <w:spacing w:after="0" w:line="270" w:lineRule="auto"/>
        <w:tabs>
          <w:tab w:leader="none" w:pos="2424" w:val="left"/>
        </w:tabs>
        <w:numPr>
          <w:ilvl w:val="1"/>
          <w:numId w:val="2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Vesting Date</w:t>
      </w:r>
      <w:r>
        <w:rPr>
          <w:rFonts w:ascii="Arial" w:cs="Arial" w:eastAsia="Arial" w:hAnsi="Arial"/>
          <w:sz w:val="21"/>
          <w:szCs w:val="21"/>
          <w:color w:val="auto"/>
        </w:rPr>
        <w:t>” means the date(s) on which Grantee vests in all or a portion of the Restricted Stock Units, as set forth on the attached Long-Term Incentive Awards Summary Schedule. A “</w:t>
      </w:r>
      <w:r>
        <w:rPr>
          <w:rFonts w:ascii="Arial" w:cs="Arial" w:eastAsia="Arial" w:hAnsi="Arial"/>
          <w:sz w:val="21"/>
          <w:szCs w:val="21"/>
          <w:u w:val="single" w:color="auto"/>
          <w:color w:val="auto"/>
        </w:rPr>
        <w:t>Scheduled Vesting Date</w:t>
      </w:r>
      <w:r>
        <w:rPr>
          <w:rFonts w:ascii="Arial" w:cs="Arial" w:eastAsia="Arial" w:hAnsi="Arial"/>
          <w:sz w:val="21"/>
          <w:szCs w:val="21"/>
          <w:color w:val="auto"/>
        </w:rPr>
        <w:t>” is a date referenced on the Long-Term Incentive Awards Summary Schedule on which Grantee may vest in all or a portion of the Restricted Stock Units if all the conditions to such vesting are satisfied.</w:t>
      </w:r>
    </w:p>
    <w:p>
      <w:pPr>
        <w:spacing w:after="0" w:line="168" w:lineRule="exact"/>
        <w:rPr>
          <w:rFonts w:ascii="Arial" w:cs="Arial" w:eastAsia="Arial" w:hAnsi="Arial"/>
          <w:sz w:val="21"/>
          <w:szCs w:val="21"/>
          <w:color w:val="auto"/>
        </w:rPr>
      </w:pPr>
    </w:p>
    <w:p>
      <w:pPr>
        <w:ind w:left="2380" w:hanging="428"/>
        <w:spacing w:after="0"/>
        <w:tabs>
          <w:tab w:leader="none" w:pos="23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233" w:lineRule="exact"/>
        <w:rPr>
          <w:rFonts w:ascii="Arial" w:cs="Arial" w:eastAsia="Arial" w:hAnsi="Arial"/>
          <w:sz w:val="22"/>
          <w:szCs w:val="22"/>
          <w:color w:val="auto"/>
        </w:rPr>
      </w:pPr>
    </w:p>
    <w:p>
      <w:pPr>
        <w:ind w:right="560" w:firstLine="1304"/>
        <w:spacing w:after="0" w:line="276" w:lineRule="auto"/>
        <w:tabs>
          <w:tab w:leader="none" w:pos="1638"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Subject to the terms and conditions set forth herein and in the Plan, the Company hereby grants to Grantee the Restricted Stock Units.</w:t>
      </w:r>
    </w:p>
    <w:p>
      <w:pPr>
        <w:sectPr>
          <w:pgSz w:w="11900" w:h="16838" w:orient="portrait"/>
          <w:cols w:equalWidth="0" w:num="1">
            <w:col w:w="11160"/>
          </w:cols>
          <w:pgMar w:left="320" w:top="348" w:right="419" w:bottom="1440" w:gutter="0" w:footer="0" w:header="0"/>
        </w:sectPr>
      </w:pPr>
    </w:p>
    <w:bookmarkStart w:id="44" w:name="page45"/>
    <w:bookmarkEnd w:id="44"/>
    <w:p>
      <w:pPr>
        <w:ind w:left="520" w:hanging="336"/>
        <w:spacing w:after="0"/>
        <w:tabs>
          <w:tab w:leader="none" w:pos="5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Dividend Equivalents.</w:t>
      </w:r>
    </w:p>
    <w:p>
      <w:pPr>
        <w:spacing w:after="0" w:line="233" w:lineRule="exact"/>
        <w:rPr>
          <w:rFonts w:ascii="Arial" w:cs="Arial" w:eastAsia="Arial" w:hAnsi="Arial"/>
          <w:sz w:val="22"/>
          <w:szCs w:val="22"/>
          <w:color w:val="auto"/>
        </w:rPr>
      </w:pPr>
    </w:p>
    <w:p>
      <w:pPr>
        <w:ind w:left="-1120" w:right="200" w:firstLine="1952"/>
        <w:spacing w:after="0" w:line="254" w:lineRule="auto"/>
        <w:tabs>
          <w:tab w:leader="none" w:pos="1244"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Arial" w:cs="Arial" w:eastAsia="Arial" w:hAnsi="Arial"/>
          <w:sz w:val="22"/>
          <w:szCs w:val="22"/>
          <w:u w:val="single" w:color="auto"/>
          <w:color w:val="auto"/>
        </w:rPr>
        <w:t>Dividend Equivalent Amount</w:t>
      </w:r>
      <w:r>
        <w:rPr>
          <w:rFonts w:ascii="Arial" w:cs="Arial" w:eastAsia="Arial" w:hAnsi="Arial"/>
          <w:sz w:val="22"/>
          <w:szCs w:val="22"/>
          <w:color w:val="auto"/>
        </w:rPr>
        <w:t>”) on the record date of such dividend.</w:t>
      </w:r>
    </w:p>
    <w:p>
      <w:pPr>
        <w:spacing w:after="0" w:line="184" w:lineRule="exact"/>
        <w:rPr>
          <w:rFonts w:ascii="Arial" w:cs="Arial" w:eastAsia="Arial" w:hAnsi="Arial"/>
          <w:sz w:val="22"/>
          <w:szCs w:val="22"/>
          <w:color w:val="auto"/>
        </w:rPr>
      </w:pPr>
    </w:p>
    <w:p>
      <w:pPr>
        <w:ind w:left="-1120" w:right="40" w:firstLine="1952"/>
        <w:spacing w:after="0" w:line="307" w:lineRule="auto"/>
        <w:tabs>
          <w:tab w:leader="none" w:pos="1256"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Dividend Equivalent Amount will be credited as cash, without interest, and will not be converted to Shares. The Dividend Equivalent Amount will be payable in cash, but only upon the applicable Vesting Date(s) of the underlying Restricted Stock Units as determined in accordance with Paragraph 4 below, and will be cancelled and forfeited if the underlying Restricted Stock Units are cancelled or forfeited as determined in accordance with Paragraph 5 below.</w:t>
      </w:r>
    </w:p>
    <w:p>
      <w:pPr>
        <w:spacing w:after="0" w:line="137" w:lineRule="exact"/>
        <w:rPr>
          <w:rFonts w:ascii="Arial" w:cs="Arial" w:eastAsia="Arial" w:hAnsi="Arial"/>
          <w:sz w:val="19"/>
          <w:szCs w:val="19"/>
          <w:color w:val="auto"/>
        </w:rPr>
      </w:pPr>
    </w:p>
    <w:p>
      <w:pPr>
        <w:ind w:left="520" w:hanging="336"/>
        <w:spacing w:after="0"/>
        <w:tabs>
          <w:tab w:leader="none" w:pos="52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20" w:firstLine="1952"/>
        <w:spacing w:after="0" w:line="248" w:lineRule="auto"/>
        <w:tabs>
          <w:tab w:leader="none" w:pos="1244" w:val="left"/>
        </w:tabs>
        <w:numPr>
          <w:ilvl w:val="1"/>
          <w:numId w:val="26"/>
        </w:numPr>
        <w:rPr>
          <w:rFonts w:ascii="Arial" w:cs="Arial" w:eastAsia="Arial" w:hAnsi="Arial"/>
          <w:sz w:val="22"/>
          <w:szCs w:val="22"/>
          <w:color w:val="auto"/>
        </w:rPr>
      </w:pPr>
      <w:r>
        <w:rPr>
          <w:rFonts w:ascii="Arial" w:cs="Arial" w:eastAsia="Arial" w:hAnsi="Arial"/>
          <w:sz w:val="22"/>
          <w:szCs w:val="22"/>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 and provided further that Grantee has complied with all applicable provisions of the HSR Act.</w:t>
      </w:r>
    </w:p>
    <w:p>
      <w:pPr>
        <w:spacing w:after="0" w:line="195" w:lineRule="exact"/>
        <w:rPr>
          <w:rFonts w:ascii="Arial" w:cs="Arial" w:eastAsia="Arial" w:hAnsi="Arial"/>
          <w:sz w:val="22"/>
          <w:szCs w:val="22"/>
          <w:color w:val="auto"/>
        </w:rPr>
      </w:pPr>
    </w:p>
    <w:p>
      <w:pPr>
        <w:ind w:left="-1120" w:right="140" w:firstLine="1952"/>
        <w:spacing w:after="0" w:line="300" w:lineRule="auto"/>
        <w:tabs>
          <w:tab w:leader="none" w:pos="1256" w:val="left"/>
        </w:tabs>
        <w:numPr>
          <w:ilvl w:val="1"/>
          <w:numId w:val="26"/>
        </w:numPr>
        <w:rPr>
          <w:rFonts w:ascii="Arial" w:cs="Arial" w:eastAsia="Arial" w:hAnsi="Arial"/>
          <w:sz w:val="19"/>
          <w:szCs w:val="19"/>
          <w:color w:val="auto"/>
        </w:rPr>
      </w:pPr>
      <w:r>
        <w:rPr>
          <w:rFonts w:ascii="Arial" w:cs="Arial" w:eastAsia="Arial" w:hAnsi="Arial"/>
          <w:sz w:val="19"/>
          <w:szCs w:val="19"/>
          <w:color w:val="auto"/>
        </w:rPr>
        <w:t>Notwithstanding Paragraph 4(a) to the contrary, if Grantee’s employment with the Company or a Subsidiary Company terminates during the Restricted Period due to (i) Grantee’s death or (ii) Grantee becoming a Disabled Grantee within the meaning of Paragraph 1(j)(1),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146" w:lineRule="exact"/>
        <w:rPr>
          <w:rFonts w:ascii="Arial" w:cs="Arial" w:eastAsia="Arial" w:hAnsi="Arial"/>
          <w:sz w:val="19"/>
          <w:szCs w:val="19"/>
          <w:color w:val="auto"/>
        </w:rPr>
      </w:pPr>
    </w:p>
    <w:p>
      <w:pPr>
        <w:ind w:left="-1120" w:right="200" w:firstLine="1952"/>
        <w:spacing w:after="0" w:line="294" w:lineRule="auto"/>
        <w:tabs>
          <w:tab w:leader="none" w:pos="1244" w:val="left"/>
        </w:tabs>
        <w:numPr>
          <w:ilvl w:val="1"/>
          <w:numId w:val="26"/>
        </w:numPr>
        <w:rPr>
          <w:rFonts w:ascii="Arial" w:cs="Arial" w:eastAsia="Arial" w:hAnsi="Arial"/>
          <w:sz w:val="19"/>
          <w:szCs w:val="19"/>
          <w:color w:val="auto"/>
        </w:rPr>
      </w:pPr>
      <w:r>
        <w:rPr>
          <w:rFonts w:ascii="Arial" w:cs="Arial" w:eastAsia="Arial" w:hAnsi="Arial"/>
          <w:sz w:val="19"/>
          <w:szCs w:val="19"/>
          <w:color w:val="auto"/>
        </w:rPr>
        <w:t>Notwithstanding Paragraphs 4(a) to the contrary, and subject to the non-solicitation or non-competition obligations described in Paragraph 4(d), if Grantee’s employment with the Company or a Subsidiary Company terminates during the Restricted Period for any reason other than (i) Grantee’s death, (ii) Grantee becoming a Disabled Grantee within the meaning of Paragraph 1(j)(1) or (iii) a Company-initiated termination for Cause, after having attained age 62 and completing ten (10) or more years of service with the Company or a Subsidiary Company, the following shall apply, provided further that the applicable Performance Goal as set forth on the attached Long-Term Incentive Awards Summary Schedule has been satisfied, and provided further that Grantee has complied with all applicable provisions of the HSR Act:</w:t>
      </w:r>
    </w:p>
    <w:p>
      <w:pPr>
        <w:sectPr>
          <w:pgSz w:w="11900" w:h="16838" w:orient="portrait"/>
          <w:cols w:equalWidth="0" w:num="1">
            <w:col w:w="10080"/>
          </w:cols>
          <w:pgMar w:left="1440" w:top="348" w:right="379" w:bottom="1440" w:gutter="0" w:footer="0" w:header="0"/>
        </w:sectPr>
      </w:pPr>
    </w:p>
    <w:bookmarkStart w:id="45" w:name="page46"/>
    <w:bookmarkEnd w:id="45"/>
    <w:p>
      <w:pPr>
        <w:ind w:left="-1120" w:right="140" w:firstLine="2600"/>
        <w:spacing w:after="0" w:line="263" w:lineRule="auto"/>
        <w:tabs>
          <w:tab w:leader="none" w:pos="1904" w:val="left"/>
        </w:tabs>
        <w:numPr>
          <w:ilvl w:val="1"/>
          <w:numId w:val="27"/>
        </w:numPr>
        <w:rPr>
          <w:rFonts w:ascii="Arial" w:cs="Arial" w:eastAsia="Arial" w:hAnsi="Arial"/>
          <w:sz w:val="20"/>
          <w:szCs w:val="20"/>
          <w:color w:val="auto"/>
        </w:rPr>
      </w:pPr>
      <w:r>
        <w:rPr>
          <w:rFonts w:ascii="Arial" w:cs="Arial" w:eastAsia="Arial" w:hAnsi="Arial"/>
          <w:sz w:val="20"/>
          <w:szCs w:val="20"/>
          <w:color w:val="auto"/>
        </w:rPr>
        <w:t>If, at the time of such termination of employment, Grantee has completed at least ten (10) but less than fifteen (15) years of service with the Company or a Subsidiary Company, any Vesting Date for the Restricted Stock Units that would have occurred on or prior to the date that is the third (3</w:t>
      </w:r>
      <w:r>
        <w:rPr>
          <w:rFonts w:ascii="Arial" w:cs="Arial" w:eastAsia="Arial" w:hAnsi="Arial"/>
          <w:sz w:val="26"/>
          <w:szCs w:val="26"/>
          <w:color w:val="auto"/>
          <w:vertAlign w:val="superscript"/>
        </w:rPr>
        <w:t>rd</w:t>
      </w:r>
      <w:r>
        <w:rPr>
          <w:rFonts w:ascii="Arial" w:cs="Arial" w:eastAsia="Arial" w:hAnsi="Arial"/>
          <w:sz w:val="20"/>
          <w:szCs w:val="20"/>
          <w:color w:val="auto"/>
        </w:rPr>
        <w:t>)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176" w:lineRule="exact"/>
        <w:rPr>
          <w:rFonts w:ascii="Arial" w:cs="Arial" w:eastAsia="Arial" w:hAnsi="Arial"/>
          <w:sz w:val="20"/>
          <w:szCs w:val="20"/>
          <w:color w:val="auto"/>
        </w:rPr>
      </w:pPr>
    </w:p>
    <w:p>
      <w:pPr>
        <w:ind w:left="-1120" w:right="80" w:firstLine="2600"/>
        <w:spacing w:after="0" w:line="263" w:lineRule="auto"/>
        <w:tabs>
          <w:tab w:leader="none" w:pos="1904" w:val="left"/>
        </w:tabs>
        <w:numPr>
          <w:ilvl w:val="1"/>
          <w:numId w:val="27"/>
        </w:numPr>
        <w:rPr>
          <w:rFonts w:ascii="Arial" w:cs="Arial" w:eastAsia="Arial" w:hAnsi="Arial"/>
          <w:sz w:val="20"/>
          <w:szCs w:val="20"/>
          <w:color w:val="auto"/>
        </w:rPr>
      </w:pPr>
      <w:r>
        <w:rPr>
          <w:rFonts w:ascii="Arial" w:cs="Arial" w:eastAsia="Arial" w:hAnsi="Arial"/>
          <w:sz w:val="20"/>
          <w:szCs w:val="20"/>
          <w:color w:val="auto"/>
        </w:rPr>
        <w:t>If, at the time of such termination of employment, Grantee has completed at least fifteen (15) but less than twenty (20) years of service with the Company or a Subsidiary Company, any Vesting Date for the Restricted Stock Units that would have occurred on or prior to the date that is the fourth (4</w:t>
      </w:r>
      <w:r>
        <w:rPr>
          <w:rFonts w:ascii="Arial" w:cs="Arial" w:eastAsia="Arial" w:hAnsi="Arial"/>
          <w:sz w:val="26"/>
          <w:szCs w:val="26"/>
          <w:color w:val="auto"/>
          <w:vertAlign w:val="superscript"/>
        </w:rPr>
        <w:t>th</w:t>
      </w:r>
      <w:r>
        <w:rPr>
          <w:rFonts w:ascii="Arial" w:cs="Arial" w:eastAsia="Arial" w:hAnsi="Arial"/>
          <w:sz w:val="20"/>
          <w:szCs w:val="20"/>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76" w:lineRule="exact"/>
        <w:rPr>
          <w:rFonts w:ascii="Arial" w:cs="Arial" w:eastAsia="Arial" w:hAnsi="Arial"/>
          <w:sz w:val="20"/>
          <w:szCs w:val="20"/>
          <w:color w:val="auto"/>
        </w:rPr>
      </w:pPr>
    </w:p>
    <w:p>
      <w:pPr>
        <w:ind w:left="-1120" w:right="120" w:firstLine="2600"/>
        <w:spacing w:after="0" w:line="248" w:lineRule="auto"/>
        <w:tabs>
          <w:tab w:leader="none" w:pos="1904" w:val="left"/>
        </w:tabs>
        <w:numPr>
          <w:ilvl w:val="1"/>
          <w:numId w:val="27"/>
        </w:numPr>
        <w:rPr>
          <w:rFonts w:ascii="Arial" w:cs="Arial" w:eastAsia="Arial" w:hAnsi="Arial"/>
          <w:sz w:val="21"/>
          <w:szCs w:val="21"/>
          <w:color w:val="auto"/>
        </w:rPr>
      </w:pPr>
      <w:r>
        <w:rPr>
          <w:rFonts w:ascii="Arial" w:cs="Arial" w:eastAsia="Arial" w:hAnsi="Arial"/>
          <w:sz w:val="21"/>
          <w:szCs w:val="21"/>
          <w:color w:val="auto"/>
        </w:rPr>
        <w:t>If, at the time of such termination of employment, such Grantee has completed twenty (20) or more years of services with the Company or a Subsidiary Company, any Vesting Date for the Restricted Stock Units that would have occurred on or prior to the date that is the fifth (5</w:t>
      </w:r>
      <w:r>
        <w:rPr>
          <w:rFonts w:ascii="Arial" w:cs="Arial" w:eastAsia="Arial" w:hAnsi="Arial"/>
          <w:sz w:val="27"/>
          <w:szCs w:val="27"/>
          <w:color w:val="auto"/>
          <w:vertAlign w:val="superscript"/>
        </w:rPr>
        <w:t>th</w:t>
      </w:r>
      <w:r>
        <w:rPr>
          <w:rFonts w:ascii="Arial" w:cs="Arial" w:eastAsia="Arial" w:hAnsi="Arial"/>
          <w:sz w:val="21"/>
          <w:szCs w:val="21"/>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93" w:lineRule="exact"/>
        <w:rPr>
          <w:rFonts w:ascii="Arial" w:cs="Arial" w:eastAsia="Arial" w:hAnsi="Arial"/>
          <w:sz w:val="21"/>
          <w:szCs w:val="21"/>
          <w:color w:val="auto"/>
        </w:rPr>
      </w:pPr>
    </w:p>
    <w:p>
      <w:pPr>
        <w:ind w:left="-1120" w:right="520" w:firstLine="1952"/>
        <w:spacing w:after="0" w:line="278" w:lineRule="auto"/>
        <w:tabs>
          <w:tab w:leader="none" w:pos="1256" w:val="left"/>
        </w:tabs>
        <w:numPr>
          <w:ilvl w:val="0"/>
          <w:numId w:val="28"/>
        </w:numPr>
        <w:rPr>
          <w:rFonts w:ascii="Arial" w:cs="Arial" w:eastAsia="Arial" w:hAnsi="Arial"/>
          <w:sz w:val="21"/>
          <w:szCs w:val="21"/>
          <w:color w:val="auto"/>
        </w:rPr>
      </w:pPr>
      <w:r>
        <w:rPr>
          <w:rFonts w:ascii="Arial" w:cs="Arial" w:eastAsia="Arial" w:hAnsi="Arial"/>
          <w:sz w:val="21"/>
          <w:szCs w:val="21"/>
          <w:color w:val="auto"/>
        </w:rPr>
        <w:t>Notwithstanding Paragraph 4(c),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159" w:lineRule="exact"/>
        <w:rPr>
          <w:rFonts w:ascii="Arial" w:cs="Arial" w:eastAsia="Arial" w:hAnsi="Arial"/>
          <w:sz w:val="21"/>
          <w:szCs w:val="21"/>
          <w:color w:val="auto"/>
        </w:rPr>
      </w:pPr>
    </w:p>
    <w:p>
      <w:pPr>
        <w:ind w:left="-1120" w:firstLine="2600"/>
        <w:spacing w:after="0" w:line="259" w:lineRule="auto"/>
        <w:tabs>
          <w:tab w:leader="none" w:pos="1904" w:val="left"/>
        </w:tabs>
        <w:numPr>
          <w:ilvl w:val="1"/>
          <w:numId w:val="28"/>
        </w:numPr>
        <w:rPr>
          <w:rFonts w:ascii="Arial" w:cs="Arial" w:eastAsia="Arial" w:hAnsi="Arial"/>
          <w:sz w:val="22"/>
          <w:szCs w:val="22"/>
          <w:color w:val="auto"/>
        </w:rPr>
      </w:pPr>
      <w:r>
        <w:rPr>
          <w:rFonts w:ascii="Arial" w:cs="Arial" w:eastAsia="Arial" w:hAnsi="Arial"/>
          <w:sz w:val="22"/>
          <w:szCs w:val="22"/>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80" w:lineRule="exact"/>
        <w:rPr>
          <w:rFonts w:ascii="Arial" w:cs="Arial" w:eastAsia="Arial" w:hAnsi="Arial"/>
          <w:sz w:val="22"/>
          <w:szCs w:val="22"/>
          <w:color w:val="auto"/>
        </w:rPr>
      </w:pPr>
    </w:p>
    <w:p>
      <w:pPr>
        <w:ind w:left="-1120" w:right="20" w:firstLine="2600"/>
        <w:spacing w:after="0" w:line="247" w:lineRule="auto"/>
        <w:tabs>
          <w:tab w:leader="none" w:pos="1904" w:val="left"/>
        </w:tabs>
        <w:numPr>
          <w:ilvl w:val="1"/>
          <w:numId w:val="28"/>
        </w:numPr>
        <w:rPr>
          <w:rFonts w:ascii="Arial" w:cs="Arial" w:eastAsia="Arial" w:hAnsi="Arial"/>
          <w:sz w:val="22"/>
          <w:szCs w:val="22"/>
          <w:color w:val="auto"/>
        </w:rPr>
      </w:pPr>
      <w:r>
        <w:rPr>
          <w:rFonts w:ascii="Arial" w:cs="Arial" w:eastAsia="Arial" w:hAnsi="Arial"/>
          <w:sz w:val="22"/>
          <w:szCs w:val="22"/>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w:t>
      </w:r>
    </w:p>
    <w:p>
      <w:pPr>
        <w:sectPr>
          <w:pgSz w:w="11900" w:h="16838" w:orient="portrait"/>
          <w:cols w:equalWidth="0" w:num="1">
            <w:col w:w="10120"/>
          </w:cols>
          <w:pgMar w:left="1440" w:top="348"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class of equity security of an entity whose securities are traded on a national securities exchange or market.</w:t>
      </w:r>
    </w:p>
    <w:p>
      <w:pPr>
        <w:spacing w:after="0" w:line="220" w:lineRule="exact"/>
        <w:rPr>
          <w:sz w:val="20"/>
          <w:szCs w:val="20"/>
          <w:color w:val="auto"/>
        </w:rPr>
      </w:pPr>
    </w:p>
    <w:p>
      <w:pPr>
        <w:ind w:right="40" w:firstLine="1952"/>
        <w:spacing w:after="0" w:line="266" w:lineRule="auto"/>
        <w:tabs>
          <w:tab w:leader="none" w:pos="2364" w:val="left"/>
        </w:tabs>
        <w:numPr>
          <w:ilvl w:val="1"/>
          <w:numId w:val="29"/>
        </w:numPr>
        <w:rPr>
          <w:rFonts w:ascii="Arial" w:cs="Arial" w:eastAsia="Arial" w:hAnsi="Arial"/>
          <w:sz w:val="21"/>
          <w:szCs w:val="21"/>
          <w:color w:val="auto"/>
        </w:rPr>
      </w:pPr>
      <w:r>
        <w:rPr>
          <w:rFonts w:ascii="Arial" w:cs="Arial" w:eastAsia="Arial" w:hAnsi="Arial"/>
          <w:sz w:val="21"/>
          <w:szCs w:val="21"/>
          <w:color w:val="auto"/>
        </w:rPr>
        <w:t>If Restricted Stock Units would have vested pursuant to the Long-Term Incentive Awards Summary Schedule or Paragraphs 4(b) or 4(c),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4(b) or 4(c) on which Grantee has complied with all applicable provisions of the HSR Act.</w:t>
      </w:r>
    </w:p>
    <w:p>
      <w:pPr>
        <w:spacing w:after="0" w:line="173" w:lineRule="exact"/>
        <w:rPr>
          <w:rFonts w:ascii="Arial" w:cs="Arial" w:eastAsia="Arial" w:hAnsi="Arial"/>
          <w:sz w:val="21"/>
          <w:szCs w:val="21"/>
          <w:color w:val="auto"/>
        </w:rPr>
      </w:pPr>
    </w:p>
    <w:p>
      <w:pPr>
        <w:ind w:left="1640" w:hanging="336"/>
        <w:spacing w:after="0"/>
        <w:tabs>
          <w:tab w:leader="none" w:pos="16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Forfeiture of Restricted Stock Units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00" w:firstLine="1952"/>
        <w:spacing w:after="0" w:line="251" w:lineRule="auto"/>
        <w:tabs>
          <w:tab w:leader="none" w:pos="2364" w:val="left"/>
        </w:tabs>
        <w:numPr>
          <w:ilvl w:val="1"/>
          <w:numId w:val="30"/>
        </w:numPr>
        <w:rPr>
          <w:rFonts w:ascii="Arial" w:cs="Arial" w:eastAsia="Arial" w:hAnsi="Arial"/>
          <w:sz w:val="22"/>
          <w:szCs w:val="22"/>
          <w:color w:val="auto"/>
        </w:rPr>
      </w:pPr>
      <w:r>
        <w:rPr>
          <w:rFonts w:ascii="Arial" w:cs="Arial" w:eastAsia="Arial" w:hAnsi="Arial"/>
          <w:sz w:val="22"/>
          <w:szCs w:val="22"/>
          <w:color w:val="auto"/>
        </w:rPr>
        <w:t>Subject to the terms and conditions set forth herein and in the Plan, if Grantee’s employment with the Company and all Subsidiaries terminates during the Restricted Period, other than due to death or Disability and except as otherwise provided in Paragraph 4(c), Grantee shall forfeit the Restricted Stock Units as of such termination of employment. Upon a forfeiture of the Restricted Stock Units as provided in this Paragraph 5, the Restricted Stock Units shall be deemed canceled.</w:t>
      </w:r>
    </w:p>
    <w:p>
      <w:pPr>
        <w:spacing w:after="0" w:line="189" w:lineRule="exact"/>
        <w:rPr>
          <w:rFonts w:ascii="Arial" w:cs="Arial" w:eastAsia="Arial" w:hAnsi="Arial"/>
          <w:sz w:val="22"/>
          <w:szCs w:val="22"/>
          <w:color w:val="auto"/>
        </w:rPr>
      </w:pPr>
    </w:p>
    <w:p>
      <w:pPr>
        <w:ind w:right="480" w:firstLine="1952"/>
        <w:spacing w:after="0" w:line="276" w:lineRule="auto"/>
        <w:tabs>
          <w:tab w:leader="none" w:pos="2376"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provisions of this Paragraph 5 shall not apply to Shares issued in respect of Restricted Stock Units as to which a Vesting Date has occurred.</w:t>
      </w:r>
    </w:p>
    <w:p>
      <w:pPr>
        <w:spacing w:after="0" w:line="160" w:lineRule="exact"/>
        <w:rPr>
          <w:rFonts w:ascii="Arial" w:cs="Arial" w:eastAsia="Arial" w:hAnsi="Arial"/>
          <w:sz w:val="22"/>
          <w:szCs w:val="22"/>
          <w:color w:val="auto"/>
        </w:rPr>
      </w:pPr>
    </w:p>
    <w:p>
      <w:pPr>
        <w:ind w:left="1640" w:hanging="336"/>
        <w:spacing w:after="0"/>
        <w:tabs>
          <w:tab w:leader="none" w:pos="16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Deferral Elections</w:t>
      </w:r>
      <w:r>
        <w:rPr>
          <w:rFonts w:ascii="Arial" w:cs="Arial" w:eastAsia="Arial" w:hAnsi="Arial"/>
          <w:sz w:val="22"/>
          <w:szCs w:val="22"/>
          <w:color w:val="auto"/>
        </w:rPr>
        <w:t>.</w:t>
      </w:r>
    </w:p>
    <w:p>
      <w:pPr>
        <w:spacing w:after="0" w:line="233" w:lineRule="exact"/>
        <w:rPr>
          <w:sz w:val="20"/>
          <w:szCs w:val="20"/>
          <w:color w:val="auto"/>
        </w:rPr>
      </w:pPr>
    </w:p>
    <w:p>
      <w:pPr>
        <w:ind w:right="700" w:firstLine="1296"/>
        <w:spacing w:after="0" w:line="263" w:lineRule="auto"/>
        <w:rPr>
          <w:sz w:val="20"/>
          <w:szCs w:val="20"/>
          <w:color w:val="auto"/>
        </w:rPr>
      </w:pPr>
      <w:r>
        <w:rPr>
          <w:rFonts w:ascii="Arial" w:cs="Arial" w:eastAsia="Arial" w:hAnsi="Arial"/>
          <w:sz w:val="22"/>
          <w:szCs w:val="22"/>
          <w:color w:val="auto"/>
        </w:rPr>
        <w:t>Grantee may elect to defer the receipt of Shares issuable with respect to Restricted Stock Units, consistent, however, with the following:</w:t>
      </w:r>
    </w:p>
    <w:p>
      <w:pPr>
        <w:spacing w:after="0" w:line="175" w:lineRule="exact"/>
        <w:rPr>
          <w:sz w:val="20"/>
          <w:szCs w:val="20"/>
          <w:color w:val="auto"/>
        </w:rPr>
      </w:pPr>
    </w:p>
    <w:p>
      <w:pPr>
        <w:ind w:right="60" w:firstLine="1952"/>
        <w:spacing w:after="0" w:line="259" w:lineRule="auto"/>
        <w:tabs>
          <w:tab w:leader="none" w:pos="2364"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Initial Elections</w:t>
      </w:r>
      <w:r>
        <w:rPr>
          <w:rFonts w:ascii="Arial" w:cs="Arial" w:eastAsia="Arial" w:hAnsi="Arial"/>
          <w:sz w:val="22"/>
          <w:szCs w:val="22"/>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80" w:lineRule="exact"/>
        <w:rPr>
          <w:rFonts w:ascii="Arial" w:cs="Arial" w:eastAsia="Arial" w:hAnsi="Arial"/>
          <w:sz w:val="22"/>
          <w:szCs w:val="22"/>
          <w:color w:val="auto"/>
        </w:rPr>
      </w:pPr>
    </w:p>
    <w:p>
      <w:pPr>
        <w:ind w:right="280" w:firstLine="2600"/>
        <w:spacing w:after="0" w:line="299" w:lineRule="auto"/>
        <w:tabs>
          <w:tab w:leader="none" w:pos="3294"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Deadline for Deferral Election</w:t>
      </w:r>
      <w:r>
        <w:rPr>
          <w:rFonts w:ascii="Arial" w:cs="Arial" w:eastAsia="Arial" w:hAnsi="Arial"/>
          <w:sz w:val="19"/>
          <w:szCs w:val="19"/>
          <w:color w:val="auto"/>
        </w:rPr>
        <w:t>. An Initial Election to defer the receipt of Shares issuable with respect to Restricted Stock Units hereby granted shall not be effective unless it is filed with the Committee on or before</w:t>
      </w:r>
    </w:p>
    <w:p>
      <w:pPr>
        <w:spacing w:after="0"/>
        <w:rPr>
          <w:rFonts w:ascii="Arial" w:cs="Arial" w:eastAsia="Arial" w:hAnsi="Arial"/>
          <w:sz w:val="19"/>
          <w:szCs w:val="19"/>
          <w:color w:val="auto"/>
        </w:rPr>
      </w:pPr>
      <w:r>
        <w:rPr>
          <w:rFonts w:ascii="Arial" w:cs="Arial" w:eastAsia="Arial" w:hAnsi="Arial"/>
          <w:sz w:val="22"/>
          <w:szCs w:val="22"/>
          <w:color w:val="auto"/>
        </w:rPr>
        <w:t>________.</w:t>
      </w:r>
    </w:p>
    <w:p>
      <w:pPr>
        <w:spacing w:after="0" w:line="201" w:lineRule="exact"/>
        <w:rPr>
          <w:rFonts w:ascii="Arial" w:cs="Arial" w:eastAsia="Arial" w:hAnsi="Arial"/>
          <w:sz w:val="19"/>
          <w:szCs w:val="19"/>
          <w:color w:val="auto"/>
        </w:rPr>
      </w:pPr>
    </w:p>
    <w:p>
      <w:pPr>
        <w:ind w:firstLine="2600"/>
        <w:spacing w:after="0" w:line="266" w:lineRule="auto"/>
        <w:tabs>
          <w:tab w:leader="none" w:pos="3024"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Deferral Period</w:t>
      </w:r>
      <w:r>
        <w:rPr>
          <w:rFonts w:ascii="Arial" w:cs="Arial" w:eastAsia="Arial" w:hAnsi="Arial"/>
          <w:sz w:val="21"/>
          <w:szCs w:val="21"/>
          <w:color w:val="auto"/>
        </w:rPr>
        <w:t>. Subject to Paragraph 6(c), all Shares issuable with respect to Restricted Stock Units that are subject to an Initial Election under this Paragraph 6(a) shall be delivered to Grantee without any legend or restrictions (except those that may be imposed by the Committee, in its sole judgment, under Paragraph 8), on the date designated by Grantee, which shall not be earlier than January 2 of the third calendar year beginning after the Vesting Date, nor later than January 2 of the eleventh calendar year beginning after the Vesting Date.</w:t>
      </w:r>
    </w:p>
    <w:p>
      <w:pPr>
        <w:sectPr>
          <w:pgSz w:w="11900" w:h="16838" w:orient="portrait"/>
          <w:cols w:equalWidth="0" w:num="1">
            <w:col w:w="11220"/>
          </w:cols>
          <w:pgMar w:left="320" w:top="348" w:right="359" w:bottom="1440" w:gutter="0" w:footer="0" w:header="0"/>
        </w:sectPr>
      </w:pPr>
    </w:p>
    <w:bookmarkStart w:id="47" w:name="page48"/>
    <w:bookmarkEnd w:id="47"/>
    <w:p>
      <w:pPr>
        <w:ind w:right="580" w:firstLine="2600"/>
        <w:spacing w:after="0" w:line="276" w:lineRule="auto"/>
        <w:tabs>
          <w:tab w:leader="none" w:pos="3024"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Effect of Failure of Vesting Date to Occur</w:t>
      </w:r>
      <w:r>
        <w:rPr>
          <w:rFonts w:ascii="Arial" w:cs="Arial" w:eastAsia="Arial" w:hAnsi="Arial"/>
          <w:sz w:val="22"/>
          <w:szCs w:val="22"/>
          <w:color w:val="auto"/>
        </w:rPr>
        <w:t>. An Initial Election shall be null and void if a Vesting Date does not occur with respect to Restricted Stock Units identified in such Initial Election.</w:t>
      </w:r>
    </w:p>
    <w:p>
      <w:pPr>
        <w:spacing w:after="0" w:line="160" w:lineRule="exact"/>
        <w:rPr>
          <w:rFonts w:ascii="Arial" w:cs="Arial" w:eastAsia="Arial" w:hAnsi="Arial"/>
          <w:sz w:val="22"/>
          <w:szCs w:val="22"/>
          <w:color w:val="auto"/>
        </w:rPr>
      </w:pPr>
    </w:p>
    <w:p>
      <w:pPr>
        <w:ind w:firstLine="1952"/>
        <w:spacing w:after="0" w:line="251" w:lineRule="auto"/>
        <w:tabs>
          <w:tab w:leader="none" w:pos="237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Regular Deferral Elections</w:t>
      </w:r>
      <w:r>
        <w:rPr>
          <w:rFonts w:ascii="Arial" w:cs="Arial" w:eastAsia="Arial" w:hAnsi="Arial"/>
          <w:sz w:val="22"/>
          <w:szCs w:val="22"/>
          <w:color w:val="auto"/>
        </w:rPr>
        <w:t>. No Regular Deferral Election shall be effective until 12 months after the date on which a Regular Deferral Election is filed with the Committee. Grantee shall have the right to make a Regular Deferral Election to defer the receipt of all or a portion of the Shares issuable with respect to Restricted Stock Units hereby granted that are not subject to an Initial Election by filing a Regular Deferral Election to defer the receipt of such Shares on the form provided by the Committee for this purpose.</w:t>
      </w:r>
    </w:p>
    <w:p>
      <w:pPr>
        <w:spacing w:after="0" w:line="189" w:lineRule="exact"/>
        <w:rPr>
          <w:rFonts w:ascii="Arial" w:cs="Arial" w:eastAsia="Arial" w:hAnsi="Arial"/>
          <w:sz w:val="22"/>
          <w:szCs w:val="22"/>
          <w:color w:val="auto"/>
        </w:rPr>
      </w:pPr>
    </w:p>
    <w:p>
      <w:pPr>
        <w:ind w:right="440" w:firstLine="2600"/>
        <w:spacing w:after="0" w:line="358" w:lineRule="auto"/>
        <w:tabs>
          <w:tab w:leader="none" w:pos="3024"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Deadline for Deferral Election</w:t>
      </w:r>
      <w:r>
        <w:rPr>
          <w:rFonts w:ascii="Arial" w:cs="Arial" w:eastAsia="Arial" w:hAnsi="Arial"/>
          <w:sz w:val="19"/>
          <w:szCs w:val="19"/>
          <w:color w:val="auto"/>
        </w:rPr>
        <w:t>. A Regular Deferral Election to defer the receipt of Shares issuable with respect to Restricted Stock Units hereby granted shall not be effective unless it is filed with the Committee:</w:t>
      </w:r>
    </w:p>
    <w:p>
      <w:pPr>
        <w:spacing w:after="0" w:line="90" w:lineRule="exact"/>
        <w:rPr>
          <w:rFonts w:ascii="Arial" w:cs="Arial" w:eastAsia="Arial" w:hAnsi="Arial"/>
          <w:sz w:val="19"/>
          <w:szCs w:val="19"/>
          <w:color w:val="auto"/>
        </w:rPr>
      </w:pPr>
    </w:p>
    <w:p>
      <w:pPr>
        <w:ind w:left="3940" w:hanging="692"/>
        <w:spacing w:after="0"/>
        <w:tabs>
          <w:tab w:leader="none" w:pos="3940" w:val="left"/>
        </w:tabs>
        <w:numPr>
          <w:ilvl w:val="2"/>
          <w:numId w:val="33"/>
        </w:numPr>
        <w:rPr>
          <w:rFonts w:ascii="Arial" w:cs="Arial" w:eastAsia="Arial" w:hAnsi="Arial"/>
          <w:sz w:val="21"/>
          <w:szCs w:val="21"/>
          <w:color w:val="auto"/>
        </w:rPr>
      </w:pPr>
      <w:r>
        <w:rPr>
          <w:rFonts w:ascii="Arial" w:cs="Arial" w:eastAsia="Arial" w:hAnsi="Arial"/>
          <w:sz w:val="21"/>
          <w:szCs w:val="21"/>
          <w:color w:val="auto"/>
        </w:rPr>
        <w:t>For Restricted Stock Units with a Scheduled Vesting Date of ________, on or</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before ________;</w:t>
      </w:r>
    </w:p>
    <w:p>
      <w:pPr>
        <w:spacing w:after="0" w:line="215" w:lineRule="exact"/>
        <w:rPr>
          <w:rFonts w:ascii="Arial" w:cs="Arial" w:eastAsia="Arial" w:hAnsi="Arial"/>
          <w:sz w:val="21"/>
          <w:szCs w:val="21"/>
          <w:color w:val="auto"/>
        </w:rPr>
      </w:pPr>
    </w:p>
    <w:p>
      <w:pPr>
        <w:ind w:left="3940" w:hanging="692"/>
        <w:spacing w:after="0"/>
        <w:tabs>
          <w:tab w:leader="none" w:pos="3940" w:val="left"/>
        </w:tabs>
        <w:numPr>
          <w:ilvl w:val="2"/>
          <w:numId w:val="33"/>
        </w:numPr>
        <w:rPr>
          <w:rFonts w:ascii="Arial" w:cs="Arial" w:eastAsia="Arial" w:hAnsi="Arial"/>
          <w:sz w:val="21"/>
          <w:szCs w:val="21"/>
          <w:color w:val="auto"/>
        </w:rPr>
      </w:pPr>
      <w:r>
        <w:rPr>
          <w:rFonts w:ascii="Arial" w:cs="Arial" w:eastAsia="Arial" w:hAnsi="Arial"/>
          <w:sz w:val="21"/>
          <w:szCs w:val="21"/>
          <w:color w:val="auto"/>
        </w:rPr>
        <w:t>For Restricted Stock Units with a Scheduled Vesting Date of ________, on or</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before ________;</w:t>
      </w:r>
    </w:p>
    <w:p>
      <w:pPr>
        <w:spacing w:after="0" w:line="215" w:lineRule="exact"/>
        <w:rPr>
          <w:rFonts w:ascii="Arial" w:cs="Arial" w:eastAsia="Arial" w:hAnsi="Arial"/>
          <w:sz w:val="21"/>
          <w:szCs w:val="21"/>
          <w:color w:val="auto"/>
        </w:rPr>
      </w:pPr>
    </w:p>
    <w:p>
      <w:pPr>
        <w:ind w:left="3940" w:hanging="692"/>
        <w:spacing w:after="0"/>
        <w:tabs>
          <w:tab w:leader="none" w:pos="3940" w:val="left"/>
        </w:tabs>
        <w:numPr>
          <w:ilvl w:val="2"/>
          <w:numId w:val="33"/>
        </w:numPr>
        <w:rPr>
          <w:rFonts w:ascii="Arial" w:cs="Arial" w:eastAsia="Arial" w:hAnsi="Arial"/>
          <w:sz w:val="21"/>
          <w:szCs w:val="21"/>
          <w:color w:val="auto"/>
        </w:rPr>
      </w:pPr>
      <w:r>
        <w:rPr>
          <w:rFonts w:ascii="Arial" w:cs="Arial" w:eastAsia="Arial" w:hAnsi="Arial"/>
          <w:sz w:val="21"/>
          <w:szCs w:val="21"/>
          <w:color w:val="auto"/>
        </w:rPr>
        <w:t>For Restricted Stock Units with a Scheduled Vesting Date of ________, on or</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before ________;</w:t>
      </w:r>
    </w:p>
    <w:p>
      <w:pPr>
        <w:spacing w:after="0" w:line="215" w:lineRule="exact"/>
        <w:rPr>
          <w:rFonts w:ascii="Arial" w:cs="Arial" w:eastAsia="Arial" w:hAnsi="Arial"/>
          <w:sz w:val="21"/>
          <w:szCs w:val="21"/>
          <w:color w:val="auto"/>
        </w:rPr>
      </w:pPr>
    </w:p>
    <w:p>
      <w:pPr>
        <w:ind w:left="3940" w:hanging="692"/>
        <w:spacing w:after="0"/>
        <w:tabs>
          <w:tab w:leader="none" w:pos="3940" w:val="left"/>
        </w:tabs>
        <w:numPr>
          <w:ilvl w:val="2"/>
          <w:numId w:val="33"/>
        </w:numPr>
        <w:rPr>
          <w:rFonts w:ascii="Arial" w:cs="Arial" w:eastAsia="Arial" w:hAnsi="Arial"/>
          <w:sz w:val="21"/>
          <w:szCs w:val="21"/>
          <w:color w:val="auto"/>
        </w:rPr>
      </w:pPr>
      <w:r>
        <w:rPr>
          <w:rFonts w:ascii="Arial" w:cs="Arial" w:eastAsia="Arial" w:hAnsi="Arial"/>
          <w:sz w:val="21"/>
          <w:szCs w:val="21"/>
          <w:color w:val="auto"/>
        </w:rPr>
        <w:t>For Restricted Stock Units with a Scheduled Vesting Date of ________, on or</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before ________;</w:t>
      </w:r>
    </w:p>
    <w:p>
      <w:pPr>
        <w:spacing w:after="0" w:line="215" w:lineRule="exact"/>
        <w:rPr>
          <w:rFonts w:ascii="Arial" w:cs="Arial" w:eastAsia="Arial" w:hAnsi="Arial"/>
          <w:sz w:val="21"/>
          <w:szCs w:val="21"/>
          <w:color w:val="auto"/>
        </w:rPr>
      </w:pPr>
    </w:p>
    <w:p>
      <w:pPr>
        <w:ind w:left="3940" w:hanging="692"/>
        <w:spacing w:after="0"/>
        <w:tabs>
          <w:tab w:leader="none" w:pos="3940" w:val="left"/>
        </w:tabs>
        <w:numPr>
          <w:ilvl w:val="2"/>
          <w:numId w:val="33"/>
        </w:numPr>
        <w:rPr>
          <w:rFonts w:ascii="Arial" w:cs="Arial" w:eastAsia="Arial" w:hAnsi="Arial"/>
          <w:sz w:val="21"/>
          <w:szCs w:val="21"/>
          <w:color w:val="auto"/>
        </w:rPr>
      </w:pPr>
      <w:r>
        <w:rPr>
          <w:rFonts w:ascii="Arial" w:cs="Arial" w:eastAsia="Arial" w:hAnsi="Arial"/>
          <w:sz w:val="21"/>
          <w:szCs w:val="21"/>
          <w:color w:val="auto"/>
        </w:rPr>
        <w:t>For Restricted Stock Units with a Scheduled Vesting Date of ________, on or</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before ________;</w:t>
      </w:r>
    </w:p>
    <w:p>
      <w:pPr>
        <w:spacing w:after="0" w:line="215" w:lineRule="exact"/>
        <w:rPr>
          <w:rFonts w:ascii="Arial" w:cs="Arial" w:eastAsia="Arial" w:hAnsi="Arial"/>
          <w:sz w:val="21"/>
          <w:szCs w:val="21"/>
          <w:color w:val="auto"/>
        </w:rPr>
      </w:pPr>
    </w:p>
    <w:p>
      <w:pPr>
        <w:ind w:firstLine="2600"/>
        <w:spacing w:after="0" w:line="319" w:lineRule="auto"/>
        <w:tabs>
          <w:tab w:leader="none" w:pos="3024"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Deferral Period</w:t>
      </w:r>
      <w:r>
        <w:rPr>
          <w:rFonts w:ascii="Arial" w:cs="Arial" w:eastAsia="Arial" w:hAnsi="Arial"/>
          <w:sz w:val="19"/>
          <w:szCs w:val="19"/>
          <w:color w:val="auto"/>
        </w:rPr>
        <w:t>. If Grantee makes a Regular Deferral Election to defer the distribution date for Shares issuable with respect to some or all of the Restricted Stock Units hereby granted, Grantee may elect to defer the distribution date for a minimum of five years and a maximum of ten additional years from the Scheduled Vesting Date.</w:t>
      </w:r>
    </w:p>
    <w:p>
      <w:pPr>
        <w:spacing w:after="0" w:line="127" w:lineRule="exact"/>
        <w:rPr>
          <w:rFonts w:ascii="Arial" w:cs="Arial" w:eastAsia="Arial" w:hAnsi="Arial"/>
          <w:sz w:val="19"/>
          <w:szCs w:val="19"/>
          <w:color w:val="auto"/>
        </w:rPr>
      </w:pPr>
    </w:p>
    <w:p>
      <w:pPr>
        <w:ind w:right="80" w:firstLine="2600"/>
        <w:spacing w:after="0" w:line="276" w:lineRule="auto"/>
        <w:tabs>
          <w:tab w:leader="none" w:pos="3024"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Effect of Failure of Vesting Date to Occur</w:t>
      </w:r>
      <w:r>
        <w:rPr>
          <w:rFonts w:ascii="Arial" w:cs="Arial" w:eastAsia="Arial" w:hAnsi="Arial"/>
          <w:sz w:val="22"/>
          <w:szCs w:val="22"/>
          <w:color w:val="auto"/>
        </w:rPr>
        <w:t>. A Regular Deferral Election shall be null and void if a Vesting Date does not occur with respect to Restricted Stock Units identified in such Initial Election.</w:t>
      </w:r>
    </w:p>
    <w:p>
      <w:pPr>
        <w:spacing w:after="0" w:line="160" w:lineRule="exact"/>
        <w:rPr>
          <w:rFonts w:ascii="Arial" w:cs="Arial" w:eastAsia="Arial" w:hAnsi="Arial"/>
          <w:sz w:val="22"/>
          <w:szCs w:val="22"/>
          <w:color w:val="auto"/>
        </w:rPr>
      </w:pPr>
    </w:p>
    <w:p>
      <w:pPr>
        <w:ind w:right="400" w:firstLine="1952"/>
        <w:spacing w:after="0" w:line="276" w:lineRule="auto"/>
        <w:tabs>
          <w:tab w:leader="none" w:pos="2364"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Subsequent Elections</w:t>
      </w:r>
      <w:r>
        <w:rPr>
          <w:rFonts w:ascii="Arial" w:cs="Arial" w:eastAsia="Arial" w:hAnsi="Arial"/>
          <w:sz w:val="22"/>
          <w:szCs w:val="22"/>
          <w:color w:val="auto"/>
        </w:rPr>
        <w:t>. No Subsequent Election shall be effective until 12 months after the date on which a Subsequent Election is filed with the Committee.</w:t>
      </w:r>
    </w:p>
    <w:p>
      <w:pPr>
        <w:spacing w:after="0" w:line="160" w:lineRule="exact"/>
        <w:rPr>
          <w:rFonts w:ascii="Arial" w:cs="Arial" w:eastAsia="Arial" w:hAnsi="Arial"/>
          <w:sz w:val="22"/>
          <w:szCs w:val="22"/>
          <w:color w:val="auto"/>
        </w:rPr>
      </w:pPr>
    </w:p>
    <w:p>
      <w:pPr>
        <w:ind w:left="3040" w:hanging="440"/>
        <w:spacing w:after="0"/>
        <w:tabs>
          <w:tab w:leader="none" w:pos="3040" w:val="left"/>
        </w:tabs>
        <w:numPr>
          <w:ilvl w:val="1"/>
          <w:numId w:val="33"/>
        </w:numPr>
        <w:rPr>
          <w:rFonts w:ascii="Arial" w:cs="Arial" w:eastAsia="Arial" w:hAnsi="Arial"/>
          <w:sz w:val="22"/>
          <w:szCs w:val="22"/>
          <w:color w:val="auto"/>
        </w:rPr>
      </w:pPr>
      <w:r>
        <w:rPr>
          <w:rFonts w:ascii="Arial" w:cs="Arial" w:eastAsia="Arial" w:hAnsi="Arial"/>
          <w:sz w:val="22"/>
          <w:szCs w:val="22"/>
          <w:color w:val="auto"/>
        </w:rPr>
        <w:t>If Grantee makes an Initial Election, a Regular Deferral Election or pursuant to this</w:t>
      </w:r>
    </w:p>
    <w:p>
      <w:pPr>
        <w:spacing w:after="0" w:line="21"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Paragraph 6(c)(1)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w:t>
      </w:r>
    </w:p>
    <w:p>
      <w:pPr>
        <w:sectPr>
          <w:pgSz w:w="11900" w:h="16838" w:orient="portrait"/>
          <w:cols w:equalWidth="0" w:num="1">
            <w:col w:w="11200"/>
          </w:cols>
          <w:pgMar w:left="320" w:top="348" w:right="379" w:bottom="1440" w:gutter="0" w:footer="0" w:header="0"/>
        </w:sectPr>
      </w:pPr>
    </w:p>
    <w:bookmarkStart w:id="48" w:name="page49"/>
    <w:bookmarkEnd w:id="48"/>
    <w:p>
      <w:pPr>
        <w:ind w:right="780"/>
        <w:spacing w:after="0" w:line="263" w:lineRule="auto"/>
        <w:rPr>
          <w:sz w:val="20"/>
          <w:szCs w:val="20"/>
          <w:color w:val="auto"/>
        </w:rPr>
      </w:pPr>
      <w:r>
        <w:rPr>
          <w:rFonts w:ascii="Arial" w:cs="Arial" w:eastAsia="Arial" w:hAnsi="Arial"/>
          <w:sz w:val="22"/>
          <w:szCs w:val="22"/>
          <w:color w:val="auto"/>
        </w:rPr>
        <w:t>Subsequent Election with the Committee on or before the close of business at least one year before the date on which the distribution would otherwise be made.</w:t>
      </w:r>
    </w:p>
    <w:p>
      <w:pPr>
        <w:spacing w:after="0" w:line="175" w:lineRule="exact"/>
        <w:rPr>
          <w:sz w:val="20"/>
          <w:szCs w:val="20"/>
          <w:color w:val="auto"/>
        </w:rPr>
      </w:pPr>
    </w:p>
    <w:p>
      <w:pPr>
        <w:ind w:right="80" w:firstLine="2600"/>
        <w:spacing w:after="0" w:line="266" w:lineRule="auto"/>
        <w:tabs>
          <w:tab w:leader="none" w:pos="3024" w:val="left"/>
        </w:tabs>
        <w:numPr>
          <w:ilvl w:val="1"/>
          <w:numId w:val="34"/>
        </w:numPr>
        <w:rPr>
          <w:rFonts w:ascii="Arial" w:cs="Arial" w:eastAsia="Arial" w:hAnsi="Arial"/>
          <w:sz w:val="21"/>
          <w:szCs w:val="21"/>
          <w:color w:val="auto"/>
        </w:rPr>
      </w:pPr>
      <w:r>
        <w:rPr>
          <w:rFonts w:ascii="Arial" w:cs="Arial" w:eastAsia="Arial" w:hAnsi="Arial"/>
          <w:sz w:val="21"/>
          <w:szCs w:val="21"/>
          <w:color w:val="auto"/>
        </w:rPr>
        <w:t>If Grantee dies before Shares subject to an Initial Election under Paragraph 6(a)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173" w:lineRule="exact"/>
        <w:rPr>
          <w:rFonts w:ascii="Arial" w:cs="Arial" w:eastAsia="Arial" w:hAnsi="Arial"/>
          <w:sz w:val="21"/>
          <w:szCs w:val="21"/>
          <w:color w:val="auto"/>
        </w:rPr>
      </w:pPr>
    </w:p>
    <w:p>
      <w:pPr>
        <w:ind w:right="300" w:firstLine="2600"/>
        <w:spacing w:after="0" w:line="307" w:lineRule="auto"/>
        <w:tabs>
          <w:tab w:leader="none" w:pos="3024" w:val="left"/>
        </w:tabs>
        <w:numPr>
          <w:ilvl w:val="1"/>
          <w:numId w:val="34"/>
        </w:numPr>
        <w:rPr>
          <w:rFonts w:ascii="Arial" w:cs="Arial" w:eastAsia="Arial" w:hAnsi="Arial"/>
          <w:sz w:val="19"/>
          <w:szCs w:val="19"/>
          <w:color w:val="auto"/>
        </w:rPr>
      </w:pPr>
      <w:r>
        <w:rPr>
          <w:rFonts w:ascii="Arial" w:cs="Arial" w:eastAsia="Arial" w:hAnsi="Arial"/>
          <w:sz w:val="19"/>
          <w:szCs w:val="19"/>
          <w:color w:val="auto"/>
        </w:rPr>
        <w:t>If Grantee becomes a Retired Grantee before Shares subject to an Initial Election under Paragraph 6(a)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137" w:lineRule="exact"/>
        <w:rPr>
          <w:rFonts w:ascii="Arial" w:cs="Arial" w:eastAsia="Arial" w:hAnsi="Arial"/>
          <w:sz w:val="19"/>
          <w:szCs w:val="19"/>
          <w:color w:val="auto"/>
        </w:rPr>
      </w:pPr>
    </w:p>
    <w:p>
      <w:pPr>
        <w:ind w:right="220" w:firstLine="1952"/>
        <w:spacing w:after="0" w:line="259" w:lineRule="auto"/>
        <w:tabs>
          <w:tab w:leader="none" w:pos="237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Diversification Election</w:t>
      </w:r>
      <w:r>
        <w:rPr>
          <w:rFonts w:ascii="Arial" w:cs="Arial" w:eastAsia="Arial" w:hAnsi="Arial"/>
          <w:sz w:val="22"/>
          <w:szCs w:val="22"/>
          <w:color w:val="auto"/>
        </w:rPr>
        <w:t>. As provided in the Plan and as described in the prospectus for the Plan, a Grantee with an Account may be eligible to make a Diversification Election on an election form supplied by the Committee for this purpose.</w:t>
      </w:r>
    </w:p>
    <w:p>
      <w:pPr>
        <w:spacing w:after="0" w:line="180" w:lineRule="exact"/>
        <w:rPr>
          <w:rFonts w:ascii="Arial" w:cs="Arial" w:eastAsia="Arial" w:hAnsi="Arial"/>
          <w:sz w:val="22"/>
          <w:szCs w:val="22"/>
          <w:color w:val="auto"/>
        </w:rPr>
      </w:pPr>
    </w:p>
    <w:p>
      <w:pPr>
        <w:ind w:right="200" w:firstLine="1952"/>
        <w:spacing w:after="0" w:line="249" w:lineRule="auto"/>
        <w:tabs>
          <w:tab w:leader="none" w:pos="2364"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Book Accounts</w:t>
      </w:r>
      <w:r>
        <w:rPr>
          <w:rFonts w:ascii="Arial" w:cs="Arial" w:eastAsia="Arial" w:hAnsi="Arial"/>
          <w:sz w:val="22"/>
          <w:szCs w:val="22"/>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193" w:lineRule="exact"/>
        <w:rPr>
          <w:rFonts w:ascii="Arial" w:cs="Arial" w:eastAsia="Arial" w:hAnsi="Arial"/>
          <w:sz w:val="22"/>
          <w:szCs w:val="22"/>
          <w:color w:val="auto"/>
        </w:rPr>
      </w:pPr>
    </w:p>
    <w:p>
      <w:pPr>
        <w:ind w:right="120" w:firstLine="1952"/>
        <w:spacing w:after="0" w:line="262" w:lineRule="auto"/>
        <w:tabs>
          <w:tab w:leader="none" w:pos="234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Status of Deferred Amounts</w:t>
      </w:r>
      <w:r>
        <w:rPr>
          <w:rFonts w:ascii="Arial" w:cs="Arial" w:eastAsia="Arial" w:hAnsi="Arial"/>
          <w:sz w:val="21"/>
          <w:szCs w:val="21"/>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79" w:lineRule="exact"/>
        <w:rPr>
          <w:rFonts w:ascii="Arial" w:cs="Arial" w:eastAsia="Arial" w:hAnsi="Arial"/>
          <w:sz w:val="21"/>
          <w:szCs w:val="21"/>
          <w:color w:val="auto"/>
        </w:rPr>
      </w:pPr>
    </w:p>
    <w:p>
      <w:pPr>
        <w:ind w:firstLine="1952"/>
        <w:spacing w:after="0" w:line="254" w:lineRule="auto"/>
        <w:tabs>
          <w:tab w:leader="none" w:pos="237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Non-Assignability, Etc.</w:t>
      </w:r>
      <w:r>
        <w:rPr>
          <w:rFonts w:ascii="Arial" w:cs="Arial" w:eastAsia="Arial" w:hAnsi="Arial"/>
          <w:sz w:val="22"/>
          <w:szCs w:val="22"/>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ectPr>
          <w:pgSz w:w="11900" w:h="16838" w:orient="portrait"/>
          <w:cols w:equalWidth="0" w:num="1">
            <w:col w:w="11240"/>
          </w:cols>
          <w:pgMar w:left="320" w:top="348" w:right="339" w:bottom="1440" w:gutter="0" w:footer="0" w:header="0"/>
        </w:sectPr>
      </w:pPr>
    </w:p>
    <w:bookmarkStart w:id="49" w:name="page50"/>
    <w:bookmarkEnd w:id="49"/>
    <w:p>
      <w:pPr>
        <w:jc w:val="both"/>
        <w:ind w:left="-1120" w:right="480" w:firstLine="1304"/>
        <w:spacing w:after="0" w:line="319" w:lineRule="auto"/>
        <w:tabs>
          <w:tab w:leader="none" w:pos="51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27" w:lineRule="exact"/>
        <w:rPr>
          <w:rFonts w:ascii="Arial" w:cs="Arial" w:eastAsia="Arial" w:hAnsi="Arial"/>
          <w:sz w:val="19"/>
          <w:szCs w:val="19"/>
          <w:color w:val="auto"/>
        </w:rPr>
      </w:pPr>
    </w:p>
    <w:p>
      <w:pPr>
        <w:ind w:left="-1120" w:right="60" w:firstLine="1304"/>
        <w:spacing w:after="0" w:line="278" w:lineRule="auto"/>
        <w:tabs>
          <w:tab w:leader="none" w:pos="518"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Securities Laws</w:t>
      </w:r>
      <w:r>
        <w:rPr>
          <w:rFonts w:ascii="Arial" w:cs="Arial" w:eastAsia="Arial" w:hAnsi="Arial"/>
          <w:sz w:val="21"/>
          <w:szCs w:val="21"/>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159" w:lineRule="exact"/>
        <w:rPr>
          <w:rFonts w:ascii="Arial" w:cs="Arial" w:eastAsia="Arial" w:hAnsi="Arial"/>
          <w:sz w:val="21"/>
          <w:szCs w:val="21"/>
          <w:color w:val="auto"/>
        </w:rPr>
      </w:pPr>
    </w:p>
    <w:p>
      <w:pPr>
        <w:ind w:left="520" w:hanging="336"/>
        <w:spacing w:after="0"/>
        <w:tabs>
          <w:tab w:leader="none" w:pos="52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Delivery of Shares; Repayment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20" w:firstLine="1952"/>
        <w:spacing w:after="0" w:line="288" w:lineRule="auto"/>
        <w:tabs>
          <w:tab w:leader="none" w:pos="1244"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Delivery of Shares</w:t>
      </w:r>
      <w:r>
        <w:rPr>
          <w:rFonts w:ascii="Arial" w:cs="Arial" w:eastAsia="Arial" w:hAnsi="Arial"/>
          <w:sz w:val="19"/>
          <w:szCs w:val="19"/>
          <w:color w:val="auto"/>
        </w:rPr>
        <w:t>. Except as otherwise provided in Paragraph 6, the Company shall notify Grantee that a Vesting Date with respect to Restricted Stock Units has occurred. Within ten (10) business days of a Vesting Date, the Company shall, without payment from Grantee, satisfy its obligations to (1) pay the Dividend Equivalent Amount (if any) and (2) deliver Shares issuable under the Plan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8, provided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1120" w:right="20" w:firstLine="1952"/>
        <w:spacing w:after="0" w:line="290" w:lineRule="auto"/>
        <w:tabs>
          <w:tab w:leader="none" w:pos="1256"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Repayment</w:t>
      </w:r>
      <w:r>
        <w:rPr>
          <w:rFonts w:ascii="Arial" w:cs="Arial" w:eastAsia="Arial" w:hAnsi="Arial"/>
          <w:sz w:val="19"/>
          <w:szCs w:val="19"/>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9(b) has been deferred pursuant to Paragraph 6 (or any other plan, program or arrangement that permits the deferral of receipt of an Award), such Award (and any earnings credited with respect thereto) shall be forfeited in lieu of repayment.</w:t>
      </w:r>
    </w:p>
    <w:p>
      <w:pPr>
        <w:spacing w:after="0" w:line="154" w:lineRule="exact"/>
        <w:rPr>
          <w:rFonts w:ascii="Arial" w:cs="Arial" w:eastAsia="Arial" w:hAnsi="Arial"/>
          <w:sz w:val="19"/>
          <w:szCs w:val="19"/>
          <w:color w:val="auto"/>
        </w:rPr>
      </w:pPr>
    </w:p>
    <w:p>
      <w:pPr>
        <w:ind w:left="-1120" w:firstLine="1304"/>
        <w:spacing w:after="0" w:line="276" w:lineRule="auto"/>
        <w:tabs>
          <w:tab w:leader="none" w:pos="626"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Notwithstanding the above, to the extent that any Restricted Stock Units are determined by the Company to be “nonqualified deferred</w:t>
      </w:r>
    </w:p>
    <w:p>
      <w:pPr>
        <w:sectPr>
          <w:pgSz w:w="11900" w:h="16838" w:orient="portrait"/>
          <w:cols w:equalWidth="0" w:num="1">
            <w:col w:w="10100"/>
          </w:cols>
          <w:pgMar w:left="1440" w:top="348" w:right="359" w:bottom="1440" w:gutter="0" w:footer="0" w:header="0"/>
        </w:sectPr>
      </w:pPr>
    </w:p>
    <w:bookmarkStart w:id="50" w:name="page51"/>
    <w:bookmarkEnd w:id="50"/>
    <w:p>
      <w:pPr>
        <w:ind w:right="100"/>
        <w:spacing w:after="0" w:line="246" w:lineRule="auto"/>
        <w:rPr>
          <w:sz w:val="20"/>
          <w:szCs w:val="20"/>
          <w:color w:val="auto"/>
        </w:rPr>
      </w:pPr>
      <w:r>
        <w:rPr>
          <w:rFonts w:ascii="Arial" w:cs="Arial" w:eastAsia="Arial" w:hAnsi="Arial"/>
          <w:sz w:val="22"/>
          <w:szCs w:val="22"/>
          <w:color w:val="auto"/>
        </w:rPr>
        <w:t>compensation” under section 409A of the Code and its implementing regulations and guidance and Shares become deliverable with respect to such Restricted Stock Units as a result of the Grantee’s termination of employment, such Shares will only be delivered if such termination of employment constitutes a “separation from service” within the meaning of Treas. Reg. 1.409A-1(h) and, to the extent compliance with the requirements of Treas. Reg. § 1.409A-3(i)(2) is necessary to avoid the application of an additional tax under Section 409A of the Code, Shares that would otherwise become deliverable upon the Grantee’s “separation from service” will be deferred (without interest) and issued to the Grantee immediately following that six month period.</w:t>
      </w:r>
    </w:p>
    <w:p>
      <w:pPr>
        <w:spacing w:after="0" w:line="196" w:lineRule="exact"/>
        <w:rPr>
          <w:sz w:val="20"/>
          <w:szCs w:val="20"/>
          <w:color w:val="auto"/>
        </w:rPr>
      </w:pPr>
    </w:p>
    <w:p>
      <w:pPr>
        <w:ind w:right="140" w:firstLine="1304"/>
        <w:spacing w:after="0" w:line="276" w:lineRule="auto"/>
        <w:tabs>
          <w:tab w:leader="none" w:pos="1738"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Award Not to Affect Employment</w:t>
      </w:r>
      <w:r>
        <w:rPr>
          <w:rFonts w:ascii="Arial" w:cs="Arial" w:eastAsia="Arial" w:hAnsi="Arial"/>
          <w:sz w:val="22"/>
          <w:szCs w:val="22"/>
          <w:color w:val="auto"/>
        </w:rPr>
        <w:t>. The Award granted hereunder shall not confer upon Grantee any right to continue in the employment of the Company or any subsidiary or affiliate of the Company.</w:t>
      </w:r>
    </w:p>
    <w:p>
      <w:pPr>
        <w:spacing w:after="0" w:line="160" w:lineRule="exact"/>
        <w:rPr>
          <w:rFonts w:ascii="Arial" w:cs="Arial" w:eastAsia="Arial" w:hAnsi="Arial"/>
          <w:sz w:val="22"/>
          <w:szCs w:val="22"/>
          <w:color w:val="auto"/>
        </w:rPr>
      </w:pPr>
    </w:p>
    <w:p>
      <w:pPr>
        <w:ind w:left="1760" w:hanging="456"/>
        <w:spacing w:after="0"/>
        <w:tabs>
          <w:tab w:leader="none" w:pos="17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540" w:firstLine="1952"/>
        <w:spacing w:after="0" w:line="270" w:lineRule="auto"/>
        <w:tabs>
          <w:tab w:leader="none" w:pos="2364" w:val="left"/>
        </w:tabs>
        <w:numPr>
          <w:ilvl w:val="1"/>
          <w:numId w:val="37"/>
        </w:numPr>
        <w:rPr>
          <w:rFonts w:ascii="Arial" w:cs="Arial" w:eastAsia="Arial" w:hAnsi="Arial"/>
          <w:sz w:val="21"/>
          <w:szCs w:val="21"/>
          <w:color w:val="auto"/>
        </w:rPr>
      </w:pPr>
      <w:r>
        <w:rPr>
          <w:rFonts w:ascii="Arial" w:cs="Arial" w:eastAsia="Arial" w:hAnsi="Arial"/>
          <w:sz w:val="21"/>
          <w:szCs w:val="21"/>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168" w:lineRule="exact"/>
        <w:rPr>
          <w:rFonts w:ascii="Arial" w:cs="Arial" w:eastAsia="Arial" w:hAnsi="Arial"/>
          <w:sz w:val="21"/>
          <w:szCs w:val="21"/>
          <w:color w:val="auto"/>
        </w:rPr>
      </w:pPr>
    </w:p>
    <w:p>
      <w:pPr>
        <w:ind w:firstLine="1952"/>
        <w:spacing w:after="0" w:line="358" w:lineRule="auto"/>
        <w:tabs>
          <w:tab w:leader="none" w:pos="2376"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address for Grantee to which notice, demands and other communications to be given or delivered under or by reason of the provisions hereof shall be Grantee’s address as reflected in the Company’s personnel records.</w:t>
      </w:r>
    </w:p>
    <w:p>
      <w:pPr>
        <w:spacing w:after="0" w:line="90" w:lineRule="exact"/>
        <w:rPr>
          <w:rFonts w:ascii="Arial" w:cs="Arial" w:eastAsia="Arial" w:hAnsi="Arial"/>
          <w:sz w:val="19"/>
          <w:szCs w:val="19"/>
          <w:color w:val="auto"/>
        </w:rPr>
      </w:pPr>
    </w:p>
    <w:p>
      <w:pPr>
        <w:ind w:right="100" w:firstLine="1952"/>
        <w:spacing w:after="0" w:line="276" w:lineRule="auto"/>
        <w:tabs>
          <w:tab w:leader="none" w:pos="2364"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validity, performance, construction and effect of this Award shall be governed by the laws of the Commonwealth of Pennsylvania, without giving effect to principles of conflicts of law.</w:t>
      </w:r>
    </w:p>
    <w:p>
      <w:pPr>
        <w:spacing w:after="0" w:line="200" w:lineRule="exact"/>
        <w:rPr>
          <w:sz w:val="20"/>
          <w:szCs w:val="20"/>
          <w:color w:val="auto"/>
        </w:rPr>
      </w:pPr>
    </w:p>
    <w:p>
      <w:pPr>
        <w:spacing w:after="0" w:line="325"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30"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ATTEST:</w:t>
      </w:r>
    </w:p>
    <w:p>
      <w:pPr>
        <w:sectPr>
          <w:pgSz w:w="11900" w:h="16838" w:orient="portrait"/>
          <w:cols w:equalWidth="0" w:num="1">
            <w:col w:w="11180"/>
          </w:cols>
          <w:pgMar w:left="320" w:top="348" w:right="3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2005 DEFERRED COMPENSATION PLAN</w:t>
      </w:r>
    </w:p>
    <w:p>
      <w:pPr>
        <w:spacing w:after="0" w:line="196" w:lineRule="exact"/>
        <w:rPr>
          <w:sz w:val="20"/>
          <w:szCs w:val="20"/>
          <w:color w:val="auto"/>
        </w:rPr>
      </w:pPr>
    </w:p>
    <w:p>
      <w:pPr>
        <w:ind w:left="1300" w:right="2740" w:firstLine="1441"/>
        <w:spacing w:after="0" w:line="457" w:lineRule="auto"/>
        <w:rPr>
          <w:sz w:val="20"/>
          <w:szCs w:val="20"/>
          <w:color w:val="auto"/>
        </w:rPr>
      </w:pPr>
      <w:r>
        <w:rPr>
          <w:rFonts w:ascii="Arial" w:cs="Arial" w:eastAsia="Arial" w:hAnsi="Arial"/>
          <w:sz w:val="22"/>
          <w:szCs w:val="22"/>
          <w:b w:val="1"/>
          <w:bCs w:val="1"/>
          <w:color w:val="auto"/>
        </w:rPr>
        <w:t xml:space="preserve">ARTICLE 1 – BACKGROUND AND COVERAGE OF PLAN </w:t>
      </w:r>
      <w:r>
        <w:rPr>
          <w:rFonts w:ascii="Arial" w:cs="Arial" w:eastAsia="Arial" w:hAnsi="Arial"/>
          <w:sz w:val="22"/>
          <w:szCs w:val="22"/>
          <w:color w:val="auto"/>
        </w:rPr>
        <w:t xml:space="preserve">1.1. </w:t>
      </w:r>
      <w:r>
        <w:rPr>
          <w:rFonts w:ascii="Arial" w:cs="Arial" w:eastAsia="Arial" w:hAnsi="Arial"/>
          <w:sz w:val="22"/>
          <w:szCs w:val="22"/>
          <w:u w:val="single" w:color="auto"/>
          <w:color w:val="auto"/>
        </w:rPr>
        <w:t>Background and Adoption of Plan</w:t>
      </w:r>
      <w:r>
        <w:rPr>
          <w:rFonts w:ascii="Arial" w:cs="Arial" w:eastAsia="Arial" w:hAnsi="Arial"/>
          <w:sz w:val="22"/>
          <w:szCs w:val="22"/>
          <w:color w:val="auto"/>
        </w:rPr>
        <w:t>.</w:t>
      </w:r>
    </w:p>
    <w:p>
      <w:pPr>
        <w:spacing w:after="0" w:line="1" w:lineRule="exact"/>
        <w:rPr>
          <w:sz w:val="20"/>
          <w:szCs w:val="20"/>
          <w:color w:val="auto"/>
        </w:rPr>
      </w:pPr>
    </w:p>
    <w:p>
      <w:pPr>
        <w:ind w:right="80" w:firstLine="1944"/>
        <w:spacing w:after="0" w:line="260" w:lineRule="exact"/>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Amendment and Restatement of the Plan</w:t>
      </w:r>
      <w:r>
        <w:rPr>
          <w:rFonts w:ascii="Arial" w:cs="Arial" w:eastAsia="Arial" w:hAnsi="Arial"/>
          <w:sz w:val="21"/>
          <w:szCs w:val="21"/>
          <w:color w:val="auto"/>
        </w:rPr>
        <w:t>. In recognition of the services provided by certain key employees and in order to make additional retirement benefits and increased financial security available on a tax</w:t>
      </w:r>
      <w:r>
        <w:rPr>
          <w:rFonts w:ascii="MS PGothic" w:cs="MS PGothic" w:eastAsia="MS PGothic" w:hAnsi="MS PGothic"/>
          <w:sz w:val="21"/>
          <w:szCs w:val="21"/>
          <w:color w:val="auto"/>
        </w:rPr>
        <w:t>‑</w:t>
      </w:r>
      <w:r>
        <w:rPr>
          <w:rFonts w:ascii="Arial" w:cs="Arial" w:eastAsia="Arial" w:hAnsi="Arial"/>
          <w:sz w:val="21"/>
          <w:szCs w:val="21"/>
          <w:color w:val="auto"/>
        </w:rPr>
        <w:t>favored basis to those individuals, the Board of Directors of Comcast Corporation, a Pennsylvania corporation (the “Board”), hereby amends and restates the Comcast Corporation 2005 Deferred Compensation Plan (the “Plan”), effective February 19, 2020.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205" w:lineRule="exact"/>
        <w:rPr>
          <w:sz w:val="20"/>
          <w:szCs w:val="20"/>
          <w:color w:val="auto"/>
        </w:rPr>
      </w:pPr>
    </w:p>
    <w:p>
      <w:pPr>
        <w:ind w:right="20" w:firstLine="1944"/>
        <w:spacing w:after="0" w:line="249"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Prior Plan</w:t>
      </w:r>
      <w:r>
        <w:rPr>
          <w:rFonts w:ascii="Arial" w:cs="Arial" w:eastAsia="Arial" w:hAnsi="Arial"/>
          <w:sz w:val="22"/>
          <w:szCs w:val="22"/>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194" w:lineRule="exact"/>
        <w:rPr>
          <w:sz w:val="20"/>
          <w:szCs w:val="20"/>
          <w:color w:val="auto"/>
        </w:rPr>
      </w:pPr>
    </w:p>
    <w:p>
      <w:pPr>
        <w:ind w:right="220" w:firstLine="1296"/>
        <w:spacing w:after="0" w:line="254"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Reservation of Right to Amend to Comply with Section 409A</w:t>
      </w:r>
      <w:r>
        <w:rPr>
          <w:rFonts w:ascii="Arial" w:cs="Arial" w:eastAsia="Arial" w:hAnsi="Arial"/>
          <w:sz w:val="22"/>
          <w:szCs w:val="22"/>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85" w:lineRule="exact"/>
        <w:rPr>
          <w:sz w:val="20"/>
          <w:szCs w:val="20"/>
          <w:color w:val="auto"/>
        </w:rPr>
      </w:pPr>
    </w:p>
    <w:p>
      <w:pPr>
        <w:ind w:right="340" w:firstLine="1296"/>
        <w:spacing w:after="0" w:line="251"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Plan Unfunded and Limited to Outside Directors, Directors Emeriti and Select Group of Management or</w:t>
      </w:r>
      <w:r>
        <w:rPr>
          <w:rFonts w:ascii="Arial" w:cs="Arial" w:eastAsia="Arial" w:hAnsi="Arial"/>
          <w:sz w:val="22"/>
          <w:szCs w:val="22"/>
          <w:color w:val="auto"/>
        </w:rPr>
        <w:t xml:space="preserve"> </w:t>
      </w:r>
      <w:r>
        <w:rPr>
          <w:rFonts w:ascii="Arial" w:cs="Arial" w:eastAsia="Arial" w:hAnsi="Arial"/>
          <w:sz w:val="22"/>
          <w:szCs w:val="22"/>
          <w:u w:val="single" w:color="auto"/>
          <w:color w:val="auto"/>
        </w:rPr>
        <w:t>Highly Compensated Employees</w:t>
      </w:r>
      <w:r>
        <w:rPr>
          <w:rFonts w:ascii="Arial" w:cs="Arial" w:eastAsia="Arial" w:hAnsi="Arial"/>
          <w:sz w:val="22"/>
          <w:szCs w:val="22"/>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189" w:lineRule="exact"/>
        <w:rPr>
          <w:sz w:val="20"/>
          <w:szCs w:val="20"/>
          <w:color w:val="auto"/>
        </w:rPr>
      </w:pPr>
    </w:p>
    <w:p>
      <w:pPr>
        <w:jc w:val="both"/>
        <w:ind w:right="60" w:firstLine="1296"/>
        <w:spacing w:after="0" w:line="259"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Administrator.</w:t>
      </w:r>
    </w:p>
    <w:p>
      <w:pPr>
        <w:sectPr>
          <w:pgSz w:w="11900" w:h="16838" w:orient="portrait"/>
          <w:cols w:equalWidth="0" w:num="1">
            <w:col w:w="11240"/>
          </w:cols>
          <w:pgMar w:left="320" w:top="337" w:right="33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22"/>
          <w:szCs w:val="22"/>
          <w:b w:val="1"/>
          <w:bCs w:val="1"/>
          <w:color w:val="auto"/>
        </w:rPr>
        <w:t>ARTICLE 2 – DEFINITIONS</w:t>
      </w:r>
    </w:p>
    <w:p>
      <w:pPr>
        <w:spacing w:after="0" w:line="226" w:lineRule="exact"/>
        <w:rPr>
          <w:sz w:val="20"/>
          <w:szCs w:val="20"/>
          <w:color w:val="auto"/>
        </w:rPr>
      </w:pPr>
    </w:p>
    <w:p>
      <w:pPr>
        <w:ind w:right="240" w:firstLine="1296"/>
        <w:spacing w:after="0" w:line="278" w:lineRule="auto"/>
        <w:rPr>
          <w:sz w:val="20"/>
          <w:szCs w:val="20"/>
          <w:color w:val="auto"/>
        </w:rPr>
      </w:pPr>
      <w:r>
        <w:rPr>
          <w:rFonts w:ascii="Arial" w:cs="Arial" w:eastAsia="Arial" w:hAnsi="Arial"/>
          <w:sz w:val="21"/>
          <w:szCs w:val="21"/>
          <w:color w:val="auto"/>
        </w:rPr>
        <w:t>2.1. “</w:t>
      </w:r>
      <w:r>
        <w:rPr>
          <w:rFonts w:ascii="Arial" w:cs="Arial" w:eastAsia="Arial" w:hAnsi="Arial"/>
          <w:sz w:val="21"/>
          <w:szCs w:val="21"/>
          <w:u w:val="single" w:color="auto"/>
          <w:color w:val="auto"/>
        </w:rPr>
        <w:t>Account</w:t>
      </w:r>
      <w:r>
        <w:rPr>
          <w:rFonts w:ascii="Arial" w:cs="Arial" w:eastAsia="Arial" w:hAnsi="Arial"/>
          <w:sz w:val="21"/>
          <w:szCs w:val="21"/>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6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Active Participant</w:t>
      </w:r>
      <w:r>
        <w:rPr>
          <w:rFonts w:ascii="Arial" w:cs="Arial" w:eastAsia="Arial" w:hAnsi="Arial"/>
          <w:sz w:val="19"/>
          <w:szCs w:val="19"/>
          <w:color w:val="auto"/>
        </w:rPr>
        <w:t>” means:</w:t>
      </w:r>
    </w:p>
    <w:p>
      <w:pPr>
        <w:spacing w:after="0" w:line="233" w:lineRule="exact"/>
        <w:rPr>
          <w:sz w:val="20"/>
          <w:szCs w:val="20"/>
          <w:color w:val="auto"/>
        </w:rPr>
      </w:pPr>
    </w:p>
    <w:p>
      <w:pPr>
        <w:ind w:left="2380" w:hanging="428"/>
        <w:spacing w:after="0"/>
        <w:tabs>
          <w:tab w:leader="none" w:pos="2380" w:val="left"/>
        </w:tabs>
        <w:numPr>
          <w:ilvl w:val="0"/>
          <w:numId w:val="38"/>
        </w:numPr>
        <w:rPr>
          <w:rFonts w:ascii="Arial" w:cs="Arial" w:eastAsia="Arial" w:hAnsi="Arial"/>
          <w:sz w:val="21"/>
          <w:szCs w:val="21"/>
          <w:color w:val="auto"/>
        </w:rPr>
      </w:pPr>
      <w:r>
        <w:rPr>
          <w:rFonts w:ascii="Arial" w:cs="Arial" w:eastAsia="Arial" w:hAnsi="Arial"/>
          <w:sz w:val="21"/>
          <w:szCs w:val="21"/>
          <w:color w:val="auto"/>
        </w:rPr>
        <w:t>Each Participant who is in active service as an Outside Director or a Director Emeritus; and</w:t>
      </w:r>
    </w:p>
    <w:p>
      <w:pPr>
        <w:spacing w:after="0" w:line="244" w:lineRule="exact"/>
        <w:rPr>
          <w:rFonts w:ascii="Arial" w:cs="Arial" w:eastAsia="Arial" w:hAnsi="Arial"/>
          <w:sz w:val="21"/>
          <w:szCs w:val="21"/>
          <w:color w:val="auto"/>
        </w:rPr>
      </w:pPr>
    </w:p>
    <w:p>
      <w:pPr>
        <w:ind w:left="1300" w:right="440" w:firstLine="652"/>
        <w:spacing w:after="0" w:line="461" w:lineRule="auto"/>
        <w:tabs>
          <w:tab w:leader="none" w:pos="23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Each Participant who is actively employed by a Participating Company as an Eligible Employee. 2.3. “</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Committee or its delegate.</w:t>
      </w:r>
    </w:p>
    <w:p>
      <w:pPr>
        <w:ind w:firstLine="1296"/>
        <w:spacing w:after="0" w:line="251" w:lineRule="auto"/>
        <w:rPr>
          <w:sz w:val="20"/>
          <w:szCs w:val="20"/>
          <w:color w:val="auto"/>
        </w:rPr>
      </w:pPr>
      <w:r>
        <w:rPr>
          <w:rFonts w:ascii="Arial" w:cs="Arial" w:eastAsia="Arial" w:hAnsi="Arial"/>
          <w:sz w:val="22"/>
          <w:szCs w:val="22"/>
          <w:color w:val="auto"/>
        </w:rPr>
        <w:t>2.4. “</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9" w:lineRule="exact"/>
        <w:rPr>
          <w:sz w:val="20"/>
          <w:szCs w:val="20"/>
          <w:color w:val="auto"/>
        </w:rPr>
      </w:pPr>
    </w:p>
    <w:p>
      <w:pPr>
        <w:ind w:right="200" w:firstLine="1296"/>
        <w:spacing w:after="0" w:line="259" w:lineRule="auto"/>
        <w:rPr>
          <w:sz w:val="20"/>
          <w:szCs w:val="20"/>
          <w:color w:val="auto"/>
        </w:rPr>
      </w:pPr>
      <w:r>
        <w:rPr>
          <w:rFonts w:ascii="Arial" w:cs="Arial" w:eastAsia="Arial" w:hAnsi="Arial"/>
          <w:sz w:val="22"/>
          <w:szCs w:val="22"/>
          <w:color w:val="auto"/>
        </w:rPr>
        <w:t>2.5. “</w:t>
      </w:r>
      <w:r>
        <w:rPr>
          <w:rFonts w:ascii="Arial" w:cs="Arial" w:eastAsia="Arial" w:hAnsi="Arial"/>
          <w:sz w:val="22"/>
          <w:szCs w:val="22"/>
          <w:u w:val="single" w:color="auto"/>
          <w:color w:val="auto"/>
        </w:rPr>
        <w:t>Annual Rate of Pay</w:t>
      </w:r>
      <w:r>
        <w:rPr>
          <w:rFonts w:ascii="Arial" w:cs="Arial" w:eastAsia="Arial" w:hAnsi="Arial"/>
          <w:sz w:val="22"/>
          <w:szCs w:val="22"/>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18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Applicable Interest Rate</w:t>
      </w:r>
      <w:r>
        <w:rPr>
          <w:rFonts w:ascii="Arial" w:cs="Arial" w:eastAsia="Arial" w:hAnsi="Arial"/>
          <w:sz w:val="19"/>
          <w:szCs w:val="19"/>
          <w:color w:val="auto"/>
        </w:rPr>
        <w:t>.”</w:t>
      </w:r>
    </w:p>
    <w:p>
      <w:pPr>
        <w:spacing w:after="0" w:line="233" w:lineRule="exact"/>
        <w:rPr>
          <w:sz w:val="20"/>
          <w:szCs w:val="20"/>
          <w:color w:val="auto"/>
        </w:rPr>
      </w:pPr>
    </w:p>
    <w:p>
      <w:pPr>
        <w:ind w:left="2380" w:hanging="428"/>
        <w:spacing w:after="0"/>
        <w:tabs>
          <w:tab w:leader="none" w:pos="238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Active Participants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80" w:firstLine="2600"/>
        <w:spacing w:after="0" w:line="254" w:lineRule="auto"/>
        <w:tabs>
          <w:tab w:leader="none" w:pos="2976"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Protected Account Balances</w:t>
      </w:r>
      <w:r>
        <w:rPr>
          <w:rFonts w:ascii="Arial" w:cs="Arial" w:eastAsia="Arial" w:hAnsi="Arial"/>
          <w:sz w:val="22"/>
          <w:szCs w:val="22"/>
          <w:color w:val="auto"/>
        </w:rPr>
        <w:t>. Except as otherwise provided in Section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84" w:lineRule="exact"/>
        <w:rPr>
          <w:rFonts w:ascii="Arial" w:cs="Arial" w:eastAsia="Arial" w:hAnsi="Arial"/>
          <w:sz w:val="22"/>
          <w:szCs w:val="22"/>
          <w:color w:val="auto"/>
        </w:rPr>
      </w:pPr>
    </w:p>
    <w:p>
      <w:pPr>
        <w:ind w:right="20" w:firstLine="2600"/>
        <w:spacing w:after="0" w:line="276" w:lineRule="auto"/>
        <w:tabs>
          <w:tab w:leader="none" w:pos="3036"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Contributions Credited on and after January 1, 2014 (on and after January 1, 2013 for Eligible NBCUniversal Employees)</w:t>
      </w:r>
      <w:r>
        <w:rPr>
          <w:rFonts w:ascii="Arial" w:cs="Arial" w:eastAsia="Arial" w:hAnsi="Arial"/>
          <w:sz w:val="22"/>
          <w:szCs w:val="22"/>
          <w:color w:val="auto"/>
        </w:rPr>
        <w:t>. Except as otherwise provided in Section 2.6(b):</w:t>
      </w:r>
    </w:p>
    <w:p>
      <w:pPr>
        <w:spacing w:after="0" w:line="160" w:lineRule="exact"/>
        <w:rPr>
          <w:rFonts w:ascii="Arial" w:cs="Arial" w:eastAsia="Arial" w:hAnsi="Arial"/>
          <w:sz w:val="22"/>
          <w:szCs w:val="22"/>
          <w:color w:val="auto"/>
        </w:rPr>
      </w:pPr>
    </w:p>
    <w:p>
      <w:pPr>
        <w:jc w:val="both"/>
        <w:ind w:right="60" w:firstLine="3896"/>
        <w:spacing w:after="0" w:line="259" w:lineRule="auto"/>
        <w:tabs>
          <w:tab w:leader="none" w:pos="4368" w:val="left"/>
        </w:tabs>
        <w:numPr>
          <w:ilvl w:val="2"/>
          <w:numId w:val="39"/>
        </w:numPr>
        <w:rPr>
          <w:rFonts w:ascii="Arial" w:cs="Arial" w:eastAsia="Arial" w:hAnsi="Arial"/>
          <w:sz w:val="22"/>
          <w:szCs w:val="22"/>
          <w:color w:val="auto"/>
        </w:rPr>
      </w:pPr>
      <w:r>
        <w:rPr>
          <w:rFonts w:ascii="Arial" w:cs="Arial" w:eastAsia="Arial" w:hAnsi="Arial"/>
          <w:sz w:val="22"/>
          <w:szCs w:val="22"/>
          <w:color w:val="auto"/>
        </w:rPr>
        <w:t>For amounts (other than Protected Account Balances) credited to Accounts of Eligible Comcast Employees, Outside Directors and Directors Emeriti with respect to Compensation earned on and after January 1, 2014 or pursuant to Section</w:t>
      </w:r>
    </w:p>
    <w:p>
      <w:pPr>
        <w:sectPr>
          <w:pgSz w:w="11900" w:h="16838" w:orient="portrait"/>
          <w:cols w:equalWidth="0" w:num="1">
            <w:col w:w="11200"/>
          </w:cols>
          <w:pgMar w:left="320" w:top="342" w:right="379" w:bottom="1440" w:gutter="0" w:footer="0" w:header="0"/>
        </w:sectPr>
      </w:pPr>
    </w:p>
    <w:bookmarkStart w:id="53" w:name="page54"/>
    <w:bookmarkEnd w:id="53"/>
    <w:p>
      <w:pPr>
        <w:ind w:right="80"/>
        <w:spacing w:after="0" w:line="312" w:lineRule="auto"/>
        <w:rPr>
          <w:sz w:val="20"/>
          <w:szCs w:val="20"/>
          <w:color w:val="auto"/>
        </w:rPr>
      </w:pPr>
      <w:r>
        <w:rPr>
          <w:rFonts w:ascii="Arial" w:cs="Arial" w:eastAsia="Arial" w:hAnsi="Arial"/>
          <w:sz w:val="19"/>
          <w:szCs w:val="19"/>
          <w:color w:val="auto"/>
        </w:rPr>
        <w:t>3.8, and for amounts credited pursuant to Subsequent Elections filed on and after January 1, 2014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33" w:lineRule="exact"/>
        <w:rPr>
          <w:sz w:val="20"/>
          <w:szCs w:val="20"/>
          <w:color w:val="auto"/>
        </w:rPr>
      </w:pPr>
    </w:p>
    <w:p>
      <w:pPr>
        <w:ind w:left="4360" w:hanging="464"/>
        <w:spacing w:after="0"/>
        <w:tabs>
          <w:tab w:leader="none" w:pos="43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For amounts credited to Accounts of Eligible NBCUniversal Employees on</w:t>
      </w:r>
    </w:p>
    <w:p>
      <w:pPr>
        <w:spacing w:after="0" w:line="55" w:lineRule="exact"/>
        <w:rPr>
          <w:rFonts w:ascii="Arial" w:cs="Arial" w:eastAsia="Arial" w:hAnsi="Arial"/>
          <w:sz w:val="19"/>
          <w:szCs w:val="19"/>
          <w:color w:val="auto"/>
        </w:rPr>
      </w:pPr>
    </w:p>
    <w:p>
      <w:pPr>
        <w:spacing w:after="0" w:line="300" w:lineRule="auto"/>
        <w:rPr>
          <w:rFonts w:ascii="Arial" w:cs="Arial" w:eastAsia="Arial" w:hAnsi="Arial"/>
          <w:sz w:val="19"/>
          <w:szCs w:val="19"/>
          <w:color w:val="auto"/>
        </w:rPr>
      </w:pPr>
      <w:r>
        <w:rPr>
          <w:rFonts w:ascii="Arial" w:cs="Arial" w:eastAsia="Arial" w:hAnsi="Arial"/>
          <w:sz w:val="19"/>
          <w:szCs w:val="19"/>
          <w:color w:val="auto"/>
        </w:rPr>
        <w:t>and after January 1, 2013 and for amounts credited pursuant to Subsequent Elections filed after December 31, 2012 that are attributable to amounts credited to Accounts pursuant to Initial Elections filed with respect to Compensation earned after December 31, 2012, the term “Applicable Interest Rate,” means the interest rate that, when compounded daily pursuant to rules established by the Administrator from time to time, is mathematically equivalent to 9% (0.09) per annum, compounded annually.</w:t>
      </w:r>
    </w:p>
    <w:p>
      <w:pPr>
        <w:spacing w:after="0" w:line="145" w:lineRule="exact"/>
        <w:rPr>
          <w:rFonts w:ascii="Arial" w:cs="Arial" w:eastAsia="Arial" w:hAnsi="Arial"/>
          <w:sz w:val="19"/>
          <w:szCs w:val="19"/>
          <w:color w:val="auto"/>
        </w:rPr>
      </w:pPr>
    </w:p>
    <w:p>
      <w:pPr>
        <w:ind w:right="40" w:firstLine="1952"/>
        <w:spacing w:after="0" w:line="290" w:lineRule="auto"/>
        <w:tabs>
          <w:tab w:leader="none" w:pos="237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Termination or Transition of Service</w:t>
      </w:r>
      <w:r>
        <w:rPr>
          <w:rFonts w:ascii="Arial" w:cs="Arial" w:eastAsia="Arial" w:hAnsi="Arial"/>
          <w:sz w:val="19"/>
          <w:szCs w:val="19"/>
          <w:color w:val="auto"/>
        </w:rPr>
        <w:t>. Effective for the period beginning as soon as administratively practicable following (i) a significant reduction in a Participant’s compensation and services to the Company, as determined by the Administrator in its sole discretion, and (ii) a Participant’s employment termination date, in each case, to the date the Participant’s Account is distributed in full, the Administrator, in its sole discretion, may designate the term “Applicable Interest Rate” for such Participant’s Account to mean the lesser of (x) the rate in effect under Section 2.6(a) or (y)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2.6(b) to an officer of the Company or committee of two or more officers of the Company.</w:t>
      </w:r>
    </w:p>
    <w:p>
      <w:pPr>
        <w:spacing w:after="0" w:line="154" w:lineRule="exact"/>
        <w:rPr>
          <w:sz w:val="20"/>
          <w:szCs w:val="20"/>
          <w:color w:val="auto"/>
        </w:rPr>
      </w:pPr>
    </w:p>
    <w:p>
      <w:pPr>
        <w:ind w:right="100" w:firstLine="1296"/>
        <w:spacing w:after="0" w:line="262" w:lineRule="auto"/>
        <w:rPr>
          <w:sz w:val="20"/>
          <w:szCs w:val="20"/>
          <w:color w:val="auto"/>
        </w:rPr>
      </w:pPr>
      <w:r>
        <w:rPr>
          <w:rFonts w:ascii="Arial" w:cs="Arial" w:eastAsia="Arial" w:hAnsi="Arial"/>
          <w:sz w:val="21"/>
          <w:szCs w:val="21"/>
          <w:color w:val="auto"/>
        </w:rPr>
        <w:t>2.7. “</w:t>
      </w:r>
      <w:r>
        <w:rPr>
          <w:rFonts w:ascii="Arial" w:cs="Arial" w:eastAsia="Arial" w:hAnsi="Arial"/>
          <w:sz w:val="21"/>
          <w:szCs w:val="21"/>
          <w:u w:val="single" w:color="auto"/>
          <w:color w:val="auto"/>
        </w:rPr>
        <w:t>Beneficiary</w:t>
      </w:r>
      <w:r>
        <w:rPr>
          <w:rFonts w:ascii="Arial" w:cs="Arial" w:eastAsia="Arial" w:hAnsi="Arial"/>
          <w:sz w:val="21"/>
          <w:szCs w:val="21"/>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8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33" w:lineRule="exact"/>
        <w:rPr>
          <w:sz w:val="20"/>
          <w:szCs w:val="20"/>
          <w:color w:val="auto"/>
        </w:rPr>
      </w:pPr>
    </w:p>
    <w:p>
      <w:pPr>
        <w:ind w:right="440" w:firstLine="1296"/>
        <w:spacing w:after="0" w:line="259" w:lineRule="auto"/>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ectPr>
          <w:pgSz w:w="11900" w:h="16838" w:orient="portrait"/>
          <w:cols w:equalWidth="0" w:num="1">
            <w:col w:w="11160"/>
          </w:cols>
          <w:pgMar w:left="320" w:top="348" w:right="419" w:bottom="1440" w:gutter="0" w:footer="0" w:header="0"/>
        </w:sectPr>
      </w:pPr>
    </w:p>
    <w:bookmarkStart w:id="54" w:name="page55"/>
    <w:bookmarkEnd w:id="54"/>
    <w:p>
      <w:pPr>
        <w:ind w:left="1300"/>
        <w:spacing w:after="0"/>
        <w:tabs>
          <w:tab w:leader="none" w:pos="19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Comcast Spectacor</w:t>
      </w:r>
      <w:r>
        <w:rPr>
          <w:rFonts w:ascii="Arial" w:cs="Arial" w:eastAsia="Arial" w:hAnsi="Arial"/>
          <w:sz w:val="19"/>
          <w:szCs w:val="19"/>
          <w:color w:val="auto"/>
        </w:rPr>
        <w:t>” means Comcast Spectacor, L.P.</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Compensation Committee of the Board of Directors of the Company.</w:t>
      </w:r>
    </w:p>
    <w:p>
      <w:pPr>
        <w:spacing w:after="0" w:line="233" w:lineRule="exact"/>
        <w:rPr>
          <w:sz w:val="20"/>
          <w:szCs w:val="20"/>
          <w:color w:val="auto"/>
        </w:rPr>
      </w:pPr>
    </w:p>
    <w:p>
      <w:pPr>
        <w:ind w:right="140" w:firstLine="1296"/>
        <w:spacing w:after="0" w:line="276"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161" w:lineRule="exact"/>
        <w:rPr>
          <w:sz w:val="20"/>
          <w:szCs w:val="20"/>
          <w:color w:val="auto"/>
        </w:rPr>
      </w:pPr>
    </w:p>
    <w:p>
      <w:pPr>
        <w:ind w:firstLine="1296"/>
        <w:spacing w:after="0" w:line="288" w:lineRule="auto"/>
        <w:rPr>
          <w:sz w:val="20"/>
          <w:szCs w:val="20"/>
          <w:color w:val="auto"/>
        </w:rPr>
      </w:pPr>
      <w:r>
        <w:rPr>
          <w:rFonts w:ascii="Arial" w:cs="Arial" w:eastAsia="Arial" w:hAnsi="Arial"/>
          <w:sz w:val="19"/>
          <w:szCs w:val="19"/>
          <w:color w:val="auto"/>
        </w:rPr>
        <w:t>2.14. “</w:t>
      </w:r>
      <w:r>
        <w:rPr>
          <w:rFonts w:ascii="Arial" w:cs="Arial" w:eastAsia="Arial" w:hAnsi="Arial"/>
          <w:sz w:val="19"/>
          <w:szCs w:val="19"/>
          <w:u w:val="single" w:color="auto"/>
          <w:color w:val="auto"/>
        </w:rPr>
        <w:t>Company Stock</w:t>
      </w:r>
      <w:r>
        <w:rPr>
          <w:rFonts w:ascii="Arial" w:cs="Arial" w:eastAsia="Arial" w:hAnsi="Arial"/>
          <w:sz w:val="19"/>
          <w:szCs w:val="19"/>
          <w:color w:val="auto"/>
        </w:rPr>
        <w:t>” means with respect to amounts credited to the Company Stock Fund pursuant to (i) deferral elections by Outside Directors or Directors Emeriti made pursuant to Section 3.1(a), or (ii) deemed transfers pursuant to Article 5, Comcast Corporation Class A Common Stock, par value $0.01, and such other securities issued by the Company as may be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The number of hypothetical shares of Company Stock credited to a Participant’s Account shall be rounded down to the next lower share, and the value of fractional shares that otherwise have been credited to the Company Stock Fund shall be credited to the Income Fund. Any reference to the term “Company Stock” in the Plan shall be a reference to the appropriate number and class of shares of stock as adjusted pursuant to this Section 2.14. The Committee’s adjustment shall be effective and binding for all purposes of the Plan.</w:t>
      </w:r>
    </w:p>
    <w:p>
      <w:pPr>
        <w:spacing w:after="0" w:line="161" w:lineRule="exact"/>
        <w:rPr>
          <w:sz w:val="20"/>
          <w:szCs w:val="20"/>
          <w:color w:val="auto"/>
        </w:rPr>
      </w:pPr>
    </w:p>
    <w:p>
      <w:pPr>
        <w:ind w:right="60" w:firstLine="1296"/>
        <w:spacing w:after="0" w:line="292" w:lineRule="auto"/>
        <w:rPr>
          <w:sz w:val="20"/>
          <w:szCs w:val="20"/>
          <w:color w:val="auto"/>
        </w:rPr>
      </w:pPr>
      <w:r>
        <w:rPr>
          <w:rFonts w:ascii="Arial" w:cs="Arial" w:eastAsia="Arial" w:hAnsi="Arial"/>
          <w:sz w:val="19"/>
          <w:szCs w:val="19"/>
          <w:color w:val="auto"/>
        </w:rPr>
        <w:t>2.15. “</w:t>
      </w:r>
      <w:r>
        <w:rPr>
          <w:rFonts w:ascii="Arial" w:cs="Arial" w:eastAsia="Arial" w:hAnsi="Arial"/>
          <w:sz w:val="19"/>
          <w:szCs w:val="19"/>
          <w:u w:val="single" w:color="auto"/>
          <w:color w:val="auto"/>
        </w:rPr>
        <w:t>Company Stock Fund</w:t>
      </w:r>
      <w:r>
        <w:rPr>
          <w:rFonts w:ascii="Arial" w:cs="Arial" w:eastAsia="Arial" w:hAnsi="Arial"/>
          <w:sz w:val="19"/>
          <w:szCs w:val="19"/>
          <w:color w:val="auto"/>
        </w:rPr>
        <w:t>” means a hypothetical investment fund pursuant to which income, gains and losses are credited to a Participant’s Account as if the Account, to the extent deemed invested in the Company Stock Fund, were invested in hypothetical shares of Company Stock, and, except as otherwise provided in Section 2.14 with respect to fractional shares, all dividends and other distributions paid with respect to Company Stock shall be credited to an Other Investment Fund, provided that dividends and other distribution paid with respect to Company Stock credited to the Accounts of Outside Directors shall be credited to the Income Fund. Except to the extent provided by Section 5.2(b)(i)(C) with respect to Section 16 Officers or by the Administrator with respect to Participants who are not Section 16 Officers, amounts credited to the Company Stock Fund may not thereafter be transferred to the Income Fund or another Other Investment Fund.</w:t>
      </w:r>
    </w:p>
    <w:p>
      <w:pPr>
        <w:spacing w:after="0" w:line="15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Compensation</w:t>
      </w:r>
      <w:r>
        <w:rPr>
          <w:rFonts w:ascii="Arial" w:cs="Arial" w:eastAsia="Arial" w:hAnsi="Arial"/>
          <w:sz w:val="19"/>
          <w:szCs w:val="19"/>
          <w:color w:val="auto"/>
        </w:rPr>
        <w:t>” means:</w:t>
      </w:r>
    </w:p>
    <w:p>
      <w:pPr>
        <w:spacing w:after="0" w:line="233" w:lineRule="exact"/>
        <w:rPr>
          <w:sz w:val="20"/>
          <w:szCs w:val="20"/>
          <w:color w:val="auto"/>
        </w:rPr>
      </w:pPr>
    </w:p>
    <w:p>
      <w:pPr>
        <w:ind w:right="20" w:firstLine="1952"/>
        <w:spacing w:after="0" w:line="254" w:lineRule="auto"/>
        <w:tabs>
          <w:tab w:leader="none" w:pos="2364"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ectPr>
          <w:pgSz w:w="11900" w:h="16838" w:orient="portrait"/>
          <w:cols w:equalWidth="0" w:num="1">
            <w:col w:w="11220"/>
          </w:cols>
          <w:pgMar w:left="320" w:top="348" w:right="359" w:bottom="1440" w:gutter="0" w:footer="0" w:header="0"/>
        </w:sectPr>
      </w:pPr>
    </w:p>
    <w:bookmarkStart w:id="55" w:name="page56"/>
    <w:bookmarkEnd w:id="55"/>
    <w:p>
      <w:pPr>
        <w:ind w:right="140" w:firstLine="1952"/>
        <w:spacing w:after="0" w:line="251" w:lineRule="auto"/>
        <w:tabs>
          <w:tab w:leader="none" w:pos="2376"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the case of an Eligible Employee, the total cash remuneration for services payable by a Participating Company, excluding (i) Severance Pay, (ii) sales commissions or other similar payments or awards other than cash bonus arrangements described in Section 2.16(c), (iii) bonuses earned under any program designated by the Company’s Programming Division as a “long-term incentive plan” and (iv) cash bonuses earned under any long-term incentive plan for employees of NBCUniversal.</w:t>
      </w:r>
    </w:p>
    <w:p>
      <w:pPr>
        <w:spacing w:after="0" w:line="189" w:lineRule="exact"/>
        <w:rPr>
          <w:rFonts w:ascii="Arial" w:cs="Arial" w:eastAsia="Arial" w:hAnsi="Arial"/>
          <w:sz w:val="22"/>
          <w:szCs w:val="22"/>
          <w:color w:val="auto"/>
        </w:rPr>
      </w:pPr>
    </w:p>
    <w:p>
      <w:pPr>
        <w:ind w:right="80" w:firstLine="1952"/>
        <w:spacing w:after="0" w:line="264" w:lineRule="auto"/>
        <w:tabs>
          <w:tab w:leader="none" w:pos="2634" w:val="left"/>
        </w:tabs>
        <w:numPr>
          <w:ilvl w:val="0"/>
          <w:numId w:val="43"/>
        </w:numPr>
        <w:rPr>
          <w:rFonts w:ascii="Arial" w:cs="Arial" w:eastAsia="Arial" w:hAnsi="Arial"/>
          <w:sz w:val="21"/>
          <w:szCs w:val="21"/>
          <w:color w:val="auto"/>
        </w:rPr>
      </w:pPr>
      <w:r>
        <w:rPr>
          <w:rFonts w:ascii="Arial" w:cs="Arial" w:eastAsia="Arial" w:hAnsi="Arial"/>
          <w:sz w:val="21"/>
          <w:szCs w:val="21"/>
          <w:color w:val="auto"/>
        </w:rPr>
        <w:t>Except as otherwise provided by the Administrator, with respect to any Eligible Employee who is employed by NBCUniversal or any cash bonus arrangement maintained for the benefit of employees of NBCUniversal under which there is a defined sales incentive target goal and target payout that provides for payment on a quarterly, semi-annual or annual basis, the term “Compensation” shall include cash bonuses earned under any such sales incentive arrangement for employees of NBCUniversal, provided that such cash bonus arrangement is the exclusive cash bonus arrangement in which such Eligible Employee is eligible to participate.</w:t>
      </w:r>
    </w:p>
    <w:p>
      <w:pPr>
        <w:spacing w:after="0" w:line="17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Contribution Limit</w:t>
      </w:r>
      <w:r>
        <w:rPr>
          <w:rFonts w:ascii="Arial" w:cs="Arial" w:eastAsia="Arial" w:hAnsi="Arial"/>
          <w:sz w:val="19"/>
          <w:szCs w:val="19"/>
          <w:color w:val="auto"/>
        </w:rPr>
        <w:t>” means the product of (a) seven (7) times (b) Total Compensation.</w:t>
      </w:r>
    </w:p>
    <w:p>
      <w:pPr>
        <w:spacing w:after="0" w:line="233" w:lineRule="exact"/>
        <w:rPr>
          <w:sz w:val="20"/>
          <w:szCs w:val="20"/>
          <w:color w:val="auto"/>
        </w:rPr>
      </w:pPr>
    </w:p>
    <w:p>
      <w:pPr>
        <w:ind w:firstLine="1296"/>
        <w:spacing w:after="0" w:line="300" w:lineRule="auto"/>
        <w:rPr>
          <w:sz w:val="20"/>
          <w:szCs w:val="20"/>
          <w:color w:val="auto"/>
        </w:rPr>
      </w:pPr>
      <w:r>
        <w:rPr>
          <w:rFonts w:ascii="Arial" w:cs="Arial" w:eastAsia="Arial" w:hAnsi="Arial"/>
          <w:sz w:val="19"/>
          <w:szCs w:val="19"/>
          <w:color w:val="auto"/>
        </w:rPr>
        <w:t>2.18. “</w:t>
      </w:r>
      <w:r>
        <w:rPr>
          <w:rFonts w:ascii="Arial" w:cs="Arial" w:eastAsia="Arial" w:hAnsi="Arial"/>
          <w:sz w:val="19"/>
          <w:szCs w:val="19"/>
          <w:u w:val="single" w:color="auto"/>
          <w:color w:val="auto"/>
        </w:rPr>
        <w:t>Death Tax Clearance Date</w:t>
      </w:r>
      <w:r>
        <w:rPr>
          <w:rFonts w:ascii="Arial" w:cs="Arial" w:eastAsia="Arial" w:hAnsi="Arial"/>
          <w:sz w:val="19"/>
          <w:szCs w:val="19"/>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4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2.19. “</w:t>
      </w:r>
      <w:r>
        <w:rPr>
          <w:rFonts w:ascii="Arial" w:cs="Arial" w:eastAsia="Arial" w:hAnsi="Arial"/>
          <w:sz w:val="22"/>
          <w:szCs w:val="22"/>
          <w:u w:val="single" w:color="auto"/>
          <w:color w:val="auto"/>
        </w:rPr>
        <w:t>Death Taxes</w:t>
      </w:r>
      <w:r>
        <w:rPr>
          <w:rFonts w:ascii="Arial" w:cs="Arial" w:eastAsia="Arial" w:hAnsi="Arial"/>
          <w:sz w:val="22"/>
          <w:szCs w:val="22"/>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80" w:lineRule="exact"/>
        <w:rPr>
          <w:sz w:val="20"/>
          <w:szCs w:val="20"/>
          <w:color w:val="auto"/>
        </w:rPr>
      </w:pPr>
    </w:p>
    <w:p>
      <w:pPr>
        <w:ind w:firstLine="1296"/>
        <w:spacing w:after="0" w:line="259"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u w:val="single" w:color="auto"/>
          <w:color w:val="auto"/>
        </w:rPr>
        <w:t>Deceased Participant</w:t>
      </w:r>
      <w:r>
        <w:rPr>
          <w:rFonts w:ascii="Arial" w:cs="Arial" w:eastAsia="Arial" w:hAnsi="Arial"/>
          <w:sz w:val="22"/>
          <w:szCs w:val="22"/>
          <w:color w:val="auto"/>
        </w:rPr>
        <w:t>” means a Participant whose employment, or, in the case of a Participant who was an Outside Director or Director Emeritus, a Participant whose service as an Outside Director or Director Emeritus, is terminated by death.</w:t>
      </w:r>
    </w:p>
    <w:p>
      <w:pPr>
        <w:spacing w:after="0" w:line="180" w:lineRule="exact"/>
        <w:rPr>
          <w:sz w:val="20"/>
          <w:szCs w:val="20"/>
          <w:color w:val="auto"/>
        </w:rPr>
      </w:pPr>
    </w:p>
    <w:p>
      <w:pPr>
        <w:ind w:right="660" w:firstLine="1296"/>
        <w:spacing w:after="0" w:line="276"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spacing w:after="0" w:line="16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w:t>
      </w:r>
    </w:p>
    <w:p>
      <w:pPr>
        <w:spacing w:after="0" w:line="233" w:lineRule="exact"/>
        <w:rPr>
          <w:sz w:val="20"/>
          <w:szCs w:val="20"/>
          <w:color w:val="auto"/>
        </w:rPr>
      </w:pPr>
    </w:p>
    <w:p>
      <w:pPr>
        <w:ind w:right="160" w:firstLine="1952"/>
        <w:spacing w:after="0" w:line="259" w:lineRule="auto"/>
        <w:tabs>
          <w:tab w:leader="none" w:pos="2364"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ectPr>
          <w:pgSz w:w="11900" w:h="16838" w:orient="portrait"/>
          <w:cols w:equalWidth="0" w:num="1">
            <w:col w:w="11220"/>
          </w:cols>
          <w:pgMar w:left="320" w:top="348" w:right="359" w:bottom="1440" w:gutter="0" w:footer="0" w:header="0"/>
        </w:sectPr>
      </w:pPr>
    </w:p>
    <w:bookmarkStart w:id="56" w:name="page57"/>
    <w:bookmarkEnd w:id="56"/>
    <w:p>
      <w:pPr>
        <w:ind w:right="140" w:firstLine="1952"/>
        <w:spacing w:after="0" w:line="254" w:lineRule="auto"/>
        <w:tabs>
          <w:tab w:leader="none" w:pos="2376" w:val="left"/>
        </w:tabs>
        <w:numPr>
          <w:ilvl w:val="0"/>
          <w:numId w:val="45"/>
        </w:numPr>
        <w:rPr>
          <w:rFonts w:ascii="Arial" w:cs="Arial" w:eastAsia="Arial" w:hAnsi="Arial"/>
          <w:sz w:val="22"/>
          <w:szCs w:val="22"/>
          <w:color w:val="auto"/>
        </w:rPr>
      </w:pPr>
      <w:r>
        <w:rPr>
          <w:rFonts w:ascii="Arial" w:cs="Arial" w:eastAsia="Arial" w:hAnsi="Arial"/>
          <w:sz w:val="22"/>
          <w:szCs w:val="22"/>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Disabled Participant</w:t>
      </w:r>
      <w:r>
        <w:rPr>
          <w:rFonts w:ascii="Arial" w:cs="Arial" w:eastAsia="Arial" w:hAnsi="Arial"/>
          <w:sz w:val="19"/>
          <w:szCs w:val="19"/>
          <w:color w:val="auto"/>
        </w:rPr>
        <w:t>” means:</w:t>
      </w:r>
    </w:p>
    <w:p>
      <w:pPr>
        <w:spacing w:after="0" w:line="233" w:lineRule="exact"/>
        <w:rPr>
          <w:sz w:val="20"/>
          <w:szCs w:val="20"/>
          <w:color w:val="auto"/>
        </w:rPr>
      </w:pPr>
    </w:p>
    <w:p>
      <w:pPr>
        <w:ind w:right="20" w:firstLine="1952"/>
        <w:spacing w:after="0" w:line="358" w:lineRule="auto"/>
        <w:tabs>
          <w:tab w:leader="none" w:pos="2364" w:val="left"/>
        </w:tabs>
        <w:numPr>
          <w:ilvl w:val="0"/>
          <w:numId w:val="46"/>
        </w:numPr>
        <w:rPr>
          <w:rFonts w:ascii="Arial" w:cs="Arial" w:eastAsia="Arial" w:hAnsi="Arial"/>
          <w:sz w:val="19"/>
          <w:szCs w:val="19"/>
          <w:color w:val="auto"/>
        </w:rPr>
      </w:pPr>
      <w:r>
        <w:rPr>
          <w:rFonts w:ascii="Arial" w:cs="Arial" w:eastAsia="Arial" w:hAnsi="Arial"/>
          <w:sz w:val="19"/>
          <w:szCs w:val="19"/>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90" w:lineRule="exact"/>
        <w:rPr>
          <w:rFonts w:ascii="Arial" w:cs="Arial" w:eastAsia="Arial" w:hAnsi="Arial"/>
          <w:sz w:val="19"/>
          <w:szCs w:val="19"/>
          <w:color w:val="auto"/>
        </w:rPr>
      </w:pPr>
    </w:p>
    <w:p>
      <w:pPr>
        <w:ind w:left="2380" w:hanging="428"/>
        <w:spacing w:after="0"/>
        <w:tabs>
          <w:tab w:leader="none" w:pos="23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duly-appointed legal guardian of an individual described in Section 2.23(a) acting on behalf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individual.</w:t>
      </w:r>
    </w:p>
    <w:p>
      <w:pPr>
        <w:spacing w:after="0" w:line="215" w:lineRule="exact"/>
        <w:rPr>
          <w:sz w:val="20"/>
          <w:szCs w:val="20"/>
          <w:color w:val="auto"/>
        </w:rPr>
      </w:pPr>
    </w:p>
    <w:p>
      <w:pPr>
        <w:ind w:right="600" w:firstLine="1296"/>
        <w:spacing w:after="0" w:line="276" w:lineRule="auto"/>
        <w:rPr>
          <w:sz w:val="20"/>
          <w:szCs w:val="20"/>
          <w:color w:val="auto"/>
        </w:rPr>
      </w:pPr>
      <w:r>
        <w:rPr>
          <w:rFonts w:ascii="Arial" w:cs="Arial" w:eastAsia="Arial" w:hAnsi="Arial"/>
          <w:sz w:val="22"/>
          <w:szCs w:val="22"/>
          <w:color w:val="auto"/>
        </w:rPr>
        <w:t>2.24. “</w:t>
      </w:r>
      <w:r>
        <w:rPr>
          <w:rFonts w:ascii="Arial" w:cs="Arial" w:eastAsia="Arial" w:hAnsi="Arial"/>
          <w:sz w:val="22"/>
          <w:szCs w:val="22"/>
          <w:u w:val="single" w:color="auto"/>
          <w:color w:val="auto"/>
        </w:rPr>
        <w:t>Domestic Relations Order</w:t>
      </w:r>
      <w:r>
        <w:rPr>
          <w:rFonts w:ascii="Arial" w:cs="Arial" w:eastAsia="Arial" w:hAnsi="Arial"/>
          <w:sz w:val="22"/>
          <w:szCs w:val="22"/>
          <w:color w:val="auto"/>
        </w:rPr>
        <w:t>” means any judgment, decree or order (including approval of a property settlement agreement) which:</w:t>
      </w:r>
    </w:p>
    <w:p>
      <w:pPr>
        <w:spacing w:after="0" w:line="161" w:lineRule="exact"/>
        <w:rPr>
          <w:sz w:val="20"/>
          <w:szCs w:val="20"/>
          <w:color w:val="auto"/>
        </w:rPr>
      </w:pPr>
    </w:p>
    <w:p>
      <w:pPr>
        <w:ind w:right="140" w:firstLine="1952"/>
        <w:spacing w:after="0" w:line="276" w:lineRule="auto"/>
        <w:tabs>
          <w:tab w:leader="none" w:pos="2634" w:val="left"/>
        </w:tabs>
        <w:numPr>
          <w:ilvl w:val="0"/>
          <w:numId w:val="47"/>
        </w:numPr>
        <w:rPr>
          <w:rFonts w:ascii="Arial" w:cs="Arial" w:eastAsia="Arial" w:hAnsi="Arial"/>
          <w:sz w:val="22"/>
          <w:szCs w:val="22"/>
          <w:color w:val="auto"/>
        </w:rPr>
      </w:pPr>
      <w:r>
        <w:rPr>
          <w:rFonts w:ascii="Arial" w:cs="Arial" w:eastAsia="Arial" w:hAnsi="Arial"/>
          <w:sz w:val="22"/>
          <w:szCs w:val="22"/>
          <w:color w:val="auto"/>
        </w:rPr>
        <w:t>Relates to the provision of child support, alimony payments or marital property rights to a spouse or former spouse of a Participant; and</w:t>
      </w:r>
    </w:p>
    <w:p>
      <w:pPr>
        <w:spacing w:after="0" w:line="160" w:lineRule="exact"/>
        <w:rPr>
          <w:rFonts w:ascii="Arial" w:cs="Arial" w:eastAsia="Arial" w:hAnsi="Arial"/>
          <w:sz w:val="22"/>
          <w:szCs w:val="22"/>
          <w:color w:val="auto"/>
        </w:rPr>
      </w:pPr>
    </w:p>
    <w:p>
      <w:pPr>
        <w:ind w:left="2660" w:hanging="708"/>
        <w:spacing w:after="0"/>
        <w:tabs>
          <w:tab w:leader="none" w:pos="2660" w:val="left"/>
        </w:tabs>
        <w:numPr>
          <w:ilvl w:val="0"/>
          <w:numId w:val="47"/>
        </w:numPr>
        <w:rPr>
          <w:rFonts w:ascii="Arial" w:cs="Arial" w:eastAsia="Arial" w:hAnsi="Arial"/>
          <w:sz w:val="21"/>
          <w:szCs w:val="21"/>
          <w:color w:val="auto"/>
        </w:rPr>
      </w:pPr>
      <w:r>
        <w:rPr>
          <w:rFonts w:ascii="Arial" w:cs="Arial" w:eastAsia="Arial" w:hAnsi="Arial"/>
          <w:sz w:val="21"/>
          <w:szCs w:val="21"/>
          <w:color w:val="auto"/>
        </w:rPr>
        <w:t>Is made pursuant to a State domestic relations law (including a community property law).</w:t>
      </w:r>
    </w:p>
    <w:p>
      <w:pPr>
        <w:spacing w:after="0" w:line="24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Comcast Employee</w:t>
      </w:r>
      <w:r>
        <w:rPr>
          <w:rFonts w:ascii="Arial" w:cs="Arial" w:eastAsia="Arial" w:hAnsi="Arial"/>
          <w:sz w:val="19"/>
          <w:szCs w:val="19"/>
          <w:color w:val="auto"/>
        </w:rPr>
        <w:t>” means an employee of a Participating Company described in Section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2.25(a) through 2.25(e) below, provided that except as otherwise designated by the Administrator, in the case of an employee of</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 Company or a subsidiary of the Company (other than NBCUniversal), such individual’s Compensation is administered under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Company’s common payroll system, and in the case of an employee of NBCUniversal, such individual’s Compensation is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administered under NBCUniversal’s common payroll system:</w:t>
      </w:r>
    </w:p>
    <w:p>
      <w:pPr>
        <w:spacing w:after="0" w:line="202" w:lineRule="exact"/>
        <w:rPr>
          <w:sz w:val="20"/>
          <w:szCs w:val="20"/>
          <w:color w:val="auto"/>
        </w:rPr>
      </w:pPr>
    </w:p>
    <w:p>
      <w:pPr>
        <w:ind w:firstLine="1952"/>
        <w:spacing w:after="0" w:line="259" w:lineRule="auto"/>
        <w:tabs>
          <w:tab w:leader="none" w:pos="2634" w:val="left"/>
        </w:tabs>
        <w:numPr>
          <w:ilvl w:val="0"/>
          <w:numId w:val="48"/>
        </w:numPr>
        <w:rPr>
          <w:rFonts w:ascii="Arial" w:cs="Arial" w:eastAsia="Arial" w:hAnsi="Arial"/>
          <w:sz w:val="22"/>
          <w:szCs w:val="22"/>
          <w:color w:val="auto"/>
        </w:rPr>
      </w:pPr>
      <w:r>
        <w:rPr>
          <w:rFonts w:ascii="Arial" w:cs="Arial" w:eastAsia="Arial" w:hAnsi="Arial"/>
          <w:sz w:val="22"/>
          <w:szCs w:val="22"/>
          <w:color w:val="auto"/>
        </w:rPr>
        <w:t>For the 2012 Plan Year, each employee of a Participating Company who was an Eligible Employee under the rules of the Plan as in effect on December 31, 2011, including employees who are Comcast-legacy employees of NBCUniversal.</w:t>
      </w:r>
    </w:p>
    <w:p>
      <w:pPr>
        <w:spacing w:after="0" w:line="180" w:lineRule="exact"/>
        <w:rPr>
          <w:rFonts w:ascii="Arial" w:cs="Arial" w:eastAsia="Arial" w:hAnsi="Arial"/>
          <w:sz w:val="22"/>
          <w:szCs w:val="22"/>
          <w:color w:val="auto"/>
        </w:rPr>
      </w:pPr>
    </w:p>
    <w:p>
      <w:pPr>
        <w:ind w:right="100" w:firstLine="1952"/>
        <w:spacing w:after="0" w:line="254" w:lineRule="auto"/>
        <w:tabs>
          <w:tab w:leader="none" w:pos="2646" w:val="left"/>
        </w:tabs>
        <w:numPr>
          <w:ilvl w:val="0"/>
          <w:numId w:val="48"/>
        </w:numPr>
        <w:rPr>
          <w:rFonts w:ascii="Arial" w:cs="Arial" w:eastAsia="Arial" w:hAnsi="Arial"/>
          <w:sz w:val="22"/>
          <w:szCs w:val="22"/>
          <w:color w:val="auto"/>
        </w:rPr>
      </w:pPr>
      <w:r>
        <w:rPr>
          <w:rFonts w:ascii="Arial" w:cs="Arial" w:eastAsia="Arial" w:hAnsi="Arial"/>
          <w:sz w:val="22"/>
          <w:szCs w:val="22"/>
          <w:color w:val="auto"/>
        </w:rPr>
        <w:t>For the 2013 Plan Year, (i) each employee of a Participating Company other than NBCUniversal and (ii) each employee of NBCUniversal described in Section 2.25(a), provided that in each case, such employee has an Annual Rate of Pay of $200,000 or more as of both (iii) the date on which an Initial Election is filed with the Administrator for the 2013 Plan Year and (iv) January 1, 2013.</w:t>
      </w:r>
    </w:p>
    <w:p>
      <w:pPr>
        <w:spacing w:after="0" w:line="184" w:lineRule="exact"/>
        <w:rPr>
          <w:rFonts w:ascii="Arial" w:cs="Arial" w:eastAsia="Arial" w:hAnsi="Arial"/>
          <w:sz w:val="22"/>
          <w:szCs w:val="22"/>
          <w:color w:val="auto"/>
        </w:rPr>
      </w:pPr>
    </w:p>
    <w:p>
      <w:pPr>
        <w:ind w:right="20" w:firstLine="1952"/>
        <w:spacing w:after="0" w:line="307" w:lineRule="auto"/>
        <w:tabs>
          <w:tab w:leader="none" w:pos="2634" w:val="left"/>
        </w:tabs>
        <w:numPr>
          <w:ilvl w:val="0"/>
          <w:numId w:val="48"/>
        </w:numPr>
        <w:rPr>
          <w:rFonts w:ascii="Arial" w:cs="Arial" w:eastAsia="Arial" w:hAnsi="Arial"/>
          <w:sz w:val="19"/>
          <w:szCs w:val="19"/>
          <w:color w:val="auto"/>
        </w:rPr>
      </w:pPr>
      <w:r>
        <w:rPr>
          <w:rFonts w:ascii="Arial" w:cs="Arial" w:eastAsia="Arial" w:hAnsi="Arial"/>
          <w:sz w:val="19"/>
          <w:szCs w:val="19"/>
          <w:color w:val="auto"/>
        </w:rPr>
        <w:t>For the period extending from January 1, 2014 through December 31, 2018, (i) each employee of a Participating Company other than NBCUniversal and (ii) each employee of NBCUniversal described in Section 2.25(a) whose Compensation was administered under NBCUniversal’s common payroll system as of December 31, 2013, provided that in each case, such employee has an Annual Rate of Pay of $250,000 or more as of both the date on</w:t>
      </w:r>
    </w:p>
    <w:p>
      <w:pPr>
        <w:sectPr>
          <w:pgSz w:w="11900" w:h="16838" w:orient="portrait"/>
          <w:cols w:equalWidth="0" w:num="1">
            <w:col w:w="11200"/>
          </w:cols>
          <w:pgMar w:left="320" w:top="348" w:right="379" w:bottom="1440" w:gutter="0" w:footer="0" w:header="0"/>
        </w:sectPr>
      </w:pPr>
    </w:p>
    <w:bookmarkStart w:id="57" w:name="page58"/>
    <w:bookmarkEnd w:id="57"/>
    <w:p>
      <w:pPr>
        <w:ind w:right="420"/>
        <w:spacing w:after="0" w:line="263" w:lineRule="auto"/>
        <w:rPr>
          <w:sz w:val="20"/>
          <w:szCs w:val="20"/>
          <w:color w:val="auto"/>
        </w:rPr>
      </w:pPr>
      <w:r>
        <w:rPr>
          <w:rFonts w:ascii="Arial" w:cs="Arial" w:eastAsia="Arial" w:hAnsi="Arial"/>
          <w:sz w:val="22"/>
          <w:szCs w:val="22"/>
          <w:color w:val="auto"/>
        </w:rPr>
        <w:t>which an Initial Election is filed with the Administrator and the first day of the calendar year in which such Initial Election is filed.</w:t>
      </w:r>
    </w:p>
    <w:p>
      <w:pPr>
        <w:spacing w:after="0" w:line="175" w:lineRule="exact"/>
        <w:rPr>
          <w:sz w:val="20"/>
          <w:szCs w:val="20"/>
          <w:color w:val="auto"/>
        </w:rPr>
      </w:pPr>
    </w:p>
    <w:p>
      <w:pPr>
        <w:ind w:right="280" w:firstLine="1952"/>
        <w:spacing w:after="0" w:line="259" w:lineRule="auto"/>
        <w:tabs>
          <w:tab w:leader="none" w:pos="2646" w:val="left"/>
        </w:tabs>
        <w:numPr>
          <w:ilvl w:val="0"/>
          <w:numId w:val="49"/>
        </w:numPr>
        <w:rPr>
          <w:rFonts w:ascii="Arial" w:cs="Arial" w:eastAsia="Arial" w:hAnsi="Arial"/>
          <w:sz w:val="22"/>
          <w:szCs w:val="22"/>
          <w:color w:val="auto"/>
        </w:rPr>
      </w:pPr>
      <w:r>
        <w:rPr>
          <w:rFonts w:ascii="Arial" w:cs="Arial" w:eastAsia="Arial" w:hAnsi="Arial"/>
          <w:sz w:val="22"/>
          <w:szCs w:val="22"/>
          <w:color w:val="auto"/>
        </w:rPr>
        <w:t>Effective on and after January 1, 2019, each employee of a Participating Company other than NBCUniversal, provided that such employee has an Annual Rate of Pay of $350,000 or more as of the date on which an Initial Election is filed with the Administrator.</w:t>
      </w:r>
    </w:p>
    <w:p>
      <w:pPr>
        <w:spacing w:after="0" w:line="180" w:lineRule="exact"/>
        <w:rPr>
          <w:rFonts w:ascii="Arial" w:cs="Arial" w:eastAsia="Arial" w:hAnsi="Arial"/>
          <w:sz w:val="22"/>
          <w:szCs w:val="22"/>
          <w:color w:val="auto"/>
        </w:rPr>
      </w:pPr>
    </w:p>
    <w:p>
      <w:pPr>
        <w:ind w:left="2640" w:hanging="688"/>
        <w:spacing w:after="0"/>
        <w:tabs>
          <w:tab w:leader="none" w:pos="2640" w:val="left"/>
        </w:tabs>
        <w:numPr>
          <w:ilvl w:val="0"/>
          <w:numId w:val="49"/>
        </w:numPr>
        <w:rPr>
          <w:rFonts w:ascii="Arial" w:cs="Arial" w:eastAsia="Arial" w:hAnsi="Arial"/>
          <w:sz w:val="21"/>
          <w:szCs w:val="21"/>
          <w:color w:val="auto"/>
        </w:rPr>
      </w:pPr>
      <w:r>
        <w:rPr>
          <w:rFonts w:ascii="Arial" w:cs="Arial" w:eastAsia="Arial" w:hAnsi="Arial"/>
          <w:sz w:val="21"/>
          <w:szCs w:val="21"/>
          <w:color w:val="auto"/>
        </w:rPr>
        <w:t>Each Grandfathered Employee who is an employee of a Participating Company other than</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NBCUniversal.</w:t>
      </w:r>
    </w:p>
    <w:p>
      <w:pPr>
        <w:spacing w:after="0" w:line="215" w:lineRule="exact"/>
        <w:rPr>
          <w:rFonts w:ascii="Arial" w:cs="Arial" w:eastAsia="Arial" w:hAnsi="Arial"/>
          <w:sz w:val="21"/>
          <w:szCs w:val="21"/>
          <w:color w:val="auto"/>
        </w:rPr>
      </w:pPr>
    </w:p>
    <w:p>
      <w:pPr>
        <w:ind w:left="2620" w:hanging="668"/>
        <w:spacing w:after="0"/>
        <w:tabs>
          <w:tab w:leader="none" w:pos="26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Each New Key Employee who is an employee of a Participating Company other than</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NBCUniversal.</w:t>
      </w:r>
    </w:p>
    <w:p>
      <w:pPr>
        <w:spacing w:after="0" w:line="215" w:lineRule="exact"/>
        <w:rPr>
          <w:rFonts w:ascii="Arial" w:cs="Arial" w:eastAsia="Arial" w:hAnsi="Arial"/>
          <w:sz w:val="22"/>
          <w:szCs w:val="22"/>
          <w:color w:val="auto"/>
        </w:rPr>
      </w:pPr>
    </w:p>
    <w:p>
      <w:pPr>
        <w:ind w:left="2660" w:hanging="708"/>
        <w:spacing w:after="0"/>
        <w:tabs>
          <w:tab w:leader="none" w:pos="26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Each Eligible Comcast Spectacor Employee.</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Comcast Spectacor Employee</w:t>
      </w:r>
      <w:r>
        <w:rPr>
          <w:rFonts w:ascii="Arial" w:cs="Arial" w:eastAsia="Arial" w:hAnsi="Arial"/>
          <w:sz w:val="19"/>
          <w:szCs w:val="19"/>
          <w:color w:val="auto"/>
        </w:rPr>
        <w:t>” means:</w:t>
      </w:r>
    </w:p>
    <w:p>
      <w:pPr>
        <w:spacing w:after="0" w:line="233" w:lineRule="exact"/>
        <w:rPr>
          <w:sz w:val="20"/>
          <w:szCs w:val="20"/>
          <w:color w:val="auto"/>
        </w:rPr>
      </w:pPr>
    </w:p>
    <w:p>
      <w:pPr>
        <w:ind w:right="780" w:firstLine="1952"/>
        <w:spacing w:after="0" w:line="276" w:lineRule="auto"/>
        <w:tabs>
          <w:tab w:leader="none" w:pos="2634" w:val="left"/>
        </w:tabs>
        <w:numPr>
          <w:ilvl w:val="0"/>
          <w:numId w:val="50"/>
        </w:numPr>
        <w:rPr>
          <w:rFonts w:ascii="Arial" w:cs="Arial" w:eastAsia="Arial" w:hAnsi="Arial"/>
          <w:sz w:val="22"/>
          <w:szCs w:val="22"/>
          <w:color w:val="auto"/>
        </w:rPr>
      </w:pPr>
      <w:r>
        <w:rPr>
          <w:rFonts w:ascii="Arial" w:cs="Arial" w:eastAsia="Arial" w:hAnsi="Arial"/>
          <w:sz w:val="22"/>
          <w:szCs w:val="22"/>
          <w:color w:val="auto"/>
        </w:rPr>
        <w:t>Each Eligible Comcast Employee who is providing services to Comcast Spectacor under a secondment arrangement between the Company and Comcast Spectacor.</w:t>
      </w:r>
    </w:p>
    <w:p>
      <w:pPr>
        <w:spacing w:after="0" w:line="160" w:lineRule="exact"/>
        <w:rPr>
          <w:rFonts w:ascii="Arial" w:cs="Arial" w:eastAsia="Arial" w:hAnsi="Arial"/>
          <w:sz w:val="22"/>
          <w:szCs w:val="22"/>
          <w:color w:val="auto"/>
        </w:rPr>
      </w:pPr>
    </w:p>
    <w:p>
      <w:pPr>
        <w:ind w:right="200" w:firstLine="1952"/>
        <w:spacing w:after="0" w:line="254" w:lineRule="auto"/>
        <w:tabs>
          <w:tab w:leader="none" w:pos="2646" w:val="left"/>
        </w:tabs>
        <w:numPr>
          <w:ilvl w:val="0"/>
          <w:numId w:val="50"/>
        </w:numPr>
        <w:rPr>
          <w:rFonts w:ascii="Arial" w:cs="Arial" w:eastAsia="Arial" w:hAnsi="Arial"/>
          <w:sz w:val="22"/>
          <w:szCs w:val="22"/>
          <w:color w:val="auto"/>
        </w:rPr>
      </w:pPr>
      <w:r>
        <w:rPr>
          <w:rFonts w:ascii="Arial" w:cs="Arial" w:eastAsia="Arial" w:hAnsi="Arial"/>
          <w:sz w:val="22"/>
          <w:szCs w:val="22"/>
          <w:color w:val="auto"/>
        </w:rPr>
        <w:t>Each employee of Comcast Spectacor, provided that such employee (i) has been designated as an Eligible Comcast Spectacor Employee by the Administrator or its delegate and (ii) has an Annual Rate of Pay of $350,000 or more as of both (x) the date on which an Initial Election is filed with the Administrator and (y) the first day of the calendar year in which such Initial Election is filed.</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w:t>
      </w:r>
    </w:p>
    <w:p>
      <w:pPr>
        <w:spacing w:after="0" w:line="233" w:lineRule="exact"/>
        <w:rPr>
          <w:sz w:val="20"/>
          <w:szCs w:val="20"/>
          <w:color w:val="auto"/>
        </w:rPr>
      </w:pPr>
    </w:p>
    <w:p>
      <w:pPr>
        <w:ind w:left="2640" w:hanging="688"/>
        <w:spacing w:after="0"/>
        <w:tabs>
          <w:tab w:leader="none" w:pos="26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Eligible Comcast Employee;</w:t>
      </w:r>
    </w:p>
    <w:p>
      <w:pPr>
        <w:spacing w:after="0" w:line="233" w:lineRule="exact"/>
        <w:rPr>
          <w:rFonts w:ascii="Arial" w:cs="Arial" w:eastAsia="Arial" w:hAnsi="Arial"/>
          <w:sz w:val="22"/>
          <w:szCs w:val="22"/>
          <w:color w:val="auto"/>
        </w:rPr>
      </w:pPr>
    </w:p>
    <w:p>
      <w:pPr>
        <w:ind w:left="2660" w:hanging="708"/>
        <w:spacing w:after="0"/>
        <w:tabs>
          <w:tab w:leader="none" w:pos="2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Eligible NBCU Employee; and</w:t>
      </w:r>
    </w:p>
    <w:p>
      <w:pPr>
        <w:spacing w:after="0" w:line="233" w:lineRule="exact"/>
        <w:rPr>
          <w:rFonts w:ascii="Arial" w:cs="Arial" w:eastAsia="Arial" w:hAnsi="Arial"/>
          <w:sz w:val="22"/>
          <w:szCs w:val="22"/>
          <w:color w:val="auto"/>
        </w:rPr>
      </w:pPr>
    </w:p>
    <w:p>
      <w:pPr>
        <w:ind w:right="360" w:firstLine="1952"/>
        <w:spacing w:after="0" w:line="276" w:lineRule="auto"/>
        <w:tabs>
          <w:tab w:leader="none" w:pos="2634"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Administrator, in its discretion, as an Eligible Employee.</w:t>
      </w:r>
    </w:p>
    <w:p>
      <w:pPr>
        <w:spacing w:after="0" w:line="16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NBCU Employee</w:t>
      </w:r>
      <w:r>
        <w:rPr>
          <w:rFonts w:ascii="Arial" w:cs="Arial" w:eastAsia="Arial" w:hAnsi="Arial"/>
          <w:sz w:val="19"/>
          <w:szCs w:val="19"/>
          <w:color w:val="auto"/>
        </w:rPr>
        <w:t>” means:</w:t>
      </w:r>
    </w:p>
    <w:p>
      <w:pPr>
        <w:spacing w:after="0" w:line="233" w:lineRule="exact"/>
        <w:rPr>
          <w:sz w:val="20"/>
          <w:szCs w:val="20"/>
          <w:color w:val="auto"/>
        </w:rPr>
      </w:pPr>
    </w:p>
    <w:p>
      <w:pPr>
        <w:ind w:firstLine="1952"/>
        <w:spacing w:after="0" w:line="319" w:lineRule="auto"/>
        <w:tabs>
          <w:tab w:leader="none" w:pos="2634" w:val="left"/>
        </w:tabs>
        <w:numPr>
          <w:ilvl w:val="0"/>
          <w:numId w:val="52"/>
        </w:numPr>
        <w:rPr>
          <w:rFonts w:ascii="Arial" w:cs="Arial" w:eastAsia="Arial" w:hAnsi="Arial"/>
          <w:sz w:val="19"/>
          <w:szCs w:val="19"/>
          <w:color w:val="auto"/>
        </w:rPr>
      </w:pPr>
      <w:r>
        <w:rPr>
          <w:rFonts w:ascii="Arial" w:cs="Arial" w:eastAsia="Arial" w:hAnsi="Arial"/>
          <w:sz w:val="19"/>
          <w:szCs w:val="19"/>
          <w:color w:val="auto"/>
        </w:rPr>
        <w:t>Effective for the period extending from January 1, 2013 through December 31, 2018, an employee of NBCUniversal described in Section 2.28(a)(i) through 2.28(a)(v) below, provided that, in each case, except as otherwise designated by the Administrator, such individual’s Compensation is administered under NBCUniversal’s common payroll system.</w:t>
      </w:r>
    </w:p>
    <w:p>
      <w:pPr>
        <w:spacing w:after="0" w:line="127" w:lineRule="exact"/>
        <w:rPr>
          <w:rFonts w:ascii="Arial" w:cs="Arial" w:eastAsia="Arial" w:hAnsi="Arial"/>
          <w:sz w:val="19"/>
          <w:szCs w:val="19"/>
          <w:color w:val="auto"/>
        </w:rPr>
      </w:pPr>
    </w:p>
    <w:p>
      <w:pPr>
        <w:ind w:right="300" w:firstLine="2600"/>
        <w:spacing w:after="0" w:line="276" w:lineRule="auto"/>
        <w:tabs>
          <w:tab w:leader="none" w:pos="2976" w:val="left"/>
        </w:tabs>
        <w:numPr>
          <w:ilvl w:val="1"/>
          <w:numId w:val="52"/>
        </w:numPr>
        <w:rPr>
          <w:rFonts w:ascii="Arial" w:cs="Arial" w:eastAsia="Arial" w:hAnsi="Arial"/>
          <w:sz w:val="22"/>
          <w:szCs w:val="22"/>
          <w:color w:val="auto"/>
        </w:rPr>
      </w:pPr>
      <w:r>
        <w:rPr>
          <w:rFonts w:ascii="Arial" w:cs="Arial" w:eastAsia="Arial" w:hAnsi="Arial"/>
          <w:sz w:val="22"/>
          <w:szCs w:val="22"/>
          <w:color w:val="auto"/>
        </w:rPr>
        <w:t>Each employee of NBCUniversal who has been designated as a member of NBCUniversal’s Executive Committee, Management Committee or Operating</w:t>
      </w:r>
    </w:p>
    <w:p>
      <w:pPr>
        <w:sectPr>
          <w:pgSz w:w="11900" w:h="16838" w:orient="portrait"/>
          <w:cols w:equalWidth="0" w:num="1">
            <w:col w:w="11240"/>
          </w:cols>
          <w:pgMar w:left="320" w:top="348" w:right="339" w:bottom="1440" w:gutter="0" w:footer="0" w:header="0"/>
        </w:sectPr>
      </w:pPr>
    </w:p>
    <w:bookmarkStart w:id="58" w:name="page59"/>
    <w:bookmarkEnd w:id="58"/>
    <w:p>
      <w:pPr>
        <w:ind w:right="80"/>
        <w:spacing w:after="0" w:line="263" w:lineRule="auto"/>
        <w:rPr>
          <w:sz w:val="20"/>
          <w:szCs w:val="20"/>
          <w:color w:val="auto"/>
        </w:rPr>
      </w:pPr>
      <w:r>
        <w:rPr>
          <w:rFonts w:ascii="Arial" w:cs="Arial" w:eastAsia="Arial" w:hAnsi="Arial"/>
          <w:sz w:val="22"/>
          <w:szCs w:val="22"/>
          <w:color w:val="auto"/>
        </w:rPr>
        <w:t>Committee by the Chief Executive Officer of NBCUniversal and approved by the Administrator, other than an employee who is described in Section 2.25.</w:t>
      </w:r>
    </w:p>
    <w:p>
      <w:pPr>
        <w:spacing w:after="0" w:line="175" w:lineRule="exact"/>
        <w:rPr>
          <w:sz w:val="20"/>
          <w:szCs w:val="20"/>
          <w:color w:val="auto"/>
        </w:rPr>
      </w:pPr>
    </w:p>
    <w:p>
      <w:pPr>
        <w:ind w:left="2600"/>
        <w:spacing w:after="0"/>
        <w:tabs>
          <w:tab w:leader="none" w:pos="30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Each employee of NBCUniversal, other than an employee who is described in Section 2.25,</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who, for the 2013 Plan Year:</w:t>
      </w:r>
    </w:p>
    <w:p>
      <w:pPr>
        <w:spacing w:after="0" w:line="21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Is not a member of NBCUniversal’s Executive Committee, Management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Committee or Operating Committee;</w:t>
      </w:r>
    </w:p>
    <w:p>
      <w:pPr>
        <w:spacing w:after="0" w:line="215" w:lineRule="exact"/>
        <w:rPr>
          <w:sz w:val="20"/>
          <w:szCs w:val="20"/>
          <w:color w:val="auto"/>
        </w:rPr>
      </w:pPr>
    </w:p>
    <w:p>
      <w:pPr>
        <w:jc w:val="right"/>
        <w:spacing w:after="0"/>
        <w:tabs>
          <w:tab w:leader="none" w:pos="67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Transferred employment directly from the Company to NBCUniversal in 2011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or 2012;</w:t>
      </w:r>
    </w:p>
    <w:p>
      <w:pPr>
        <w:spacing w:after="0" w:line="215" w:lineRule="exact"/>
        <w:rPr>
          <w:sz w:val="20"/>
          <w:szCs w:val="20"/>
          <w:color w:val="auto"/>
        </w:rPr>
      </w:pPr>
    </w:p>
    <w:p>
      <w:pPr>
        <w:ind w:right="40" w:firstLine="3896"/>
        <w:spacing w:after="0" w:line="276" w:lineRule="auto"/>
        <w:tabs>
          <w:tab w:leader="none" w:pos="4356" w:val="left"/>
        </w:tabs>
        <w:numPr>
          <w:ilvl w:val="1"/>
          <w:numId w:val="53"/>
        </w:numPr>
        <w:rPr>
          <w:rFonts w:ascii="Arial" w:cs="Arial" w:eastAsia="Arial" w:hAnsi="Arial"/>
          <w:sz w:val="22"/>
          <w:szCs w:val="22"/>
          <w:color w:val="auto"/>
        </w:rPr>
      </w:pPr>
      <w:r>
        <w:rPr>
          <w:rFonts w:ascii="Arial" w:cs="Arial" w:eastAsia="Arial" w:hAnsi="Arial"/>
          <w:sz w:val="22"/>
          <w:szCs w:val="22"/>
          <w:color w:val="auto"/>
        </w:rPr>
        <w:t>Was an Eligible Employee under the rules of the Plan as in effect immediately before transferring employment from the Company to NBCUniversal;</w:t>
      </w:r>
    </w:p>
    <w:p>
      <w:pPr>
        <w:spacing w:after="0" w:line="160" w:lineRule="exact"/>
        <w:rPr>
          <w:rFonts w:ascii="Arial" w:cs="Arial" w:eastAsia="Arial" w:hAnsi="Arial"/>
          <w:sz w:val="22"/>
          <w:szCs w:val="22"/>
          <w:color w:val="auto"/>
        </w:rPr>
      </w:pPr>
    </w:p>
    <w:p>
      <w:pPr>
        <w:ind w:left="4380" w:hanging="484"/>
        <w:spacing w:after="0"/>
        <w:tabs>
          <w:tab w:leader="none" w:pos="4380" w:val="left"/>
        </w:tabs>
        <w:numPr>
          <w:ilvl w:val="1"/>
          <w:numId w:val="53"/>
        </w:numPr>
        <w:rPr>
          <w:rFonts w:ascii="Arial" w:cs="Arial" w:eastAsia="Arial" w:hAnsi="Arial"/>
          <w:sz w:val="21"/>
          <w:szCs w:val="21"/>
          <w:color w:val="auto"/>
        </w:rPr>
      </w:pPr>
      <w:r>
        <w:rPr>
          <w:rFonts w:ascii="Arial" w:cs="Arial" w:eastAsia="Arial" w:hAnsi="Arial"/>
          <w:sz w:val="21"/>
          <w:szCs w:val="21"/>
          <w:color w:val="auto"/>
        </w:rPr>
        <w:t>Elected to waive the opportunity to continue to be an Eligible Employee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following the transfer of employment directly from the Company to NBCUniversal;</w:t>
      </w:r>
    </w:p>
    <w:p>
      <w:pPr>
        <w:spacing w:after="0" w:line="215" w:lineRule="exact"/>
        <w:rPr>
          <w:rFonts w:ascii="Arial" w:cs="Arial" w:eastAsia="Arial" w:hAnsi="Arial"/>
          <w:sz w:val="21"/>
          <w:szCs w:val="21"/>
          <w:color w:val="auto"/>
        </w:rPr>
      </w:pPr>
    </w:p>
    <w:p>
      <w:pPr>
        <w:ind w:left="4360" w:hanging="464"/>
        <w:spacing w:after="0"/>
        <w:tabs>
          <w:tab w:leader="none" w:pos="4360" w:val="left"/>
        </w:tabs>
        <w:numPr>
          <w:ilvl w:val="1"/>
          <w:numId w:val="53"/>
        </w:numPr>
        <w:rPr>
          <w:rFonts w:ascii="Arial" w:cs="Arial" w:eastAsia="Arial" w:hAnsi="Arial"/>
          <w:sz w:val="19"/>
          <w:szCs w:val="19"/>
          <w:color w:val="auto"/>
        </w:rPr>
      </w:pPr>
      <w:r>
        <w:rPr>
          <w:rFonts w:ascii="Arial" w:cs="Arial" w:eastAsia="Arial" w:hAnsi="Arial"/>
          <w:sz w:val="19"/>
          <w:szCs w:val="19"/>
          <w:color w:val="auto"/>
        </w:rPr>
        <w:t>Has an Annual Rate of Pay of $200,000 or more as of both (iii) the date 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which an Initial Election is filed with the Administrator for the 2013 Plan Year and (iv) January 1, 2013; and</w:t>
      </w:r>
    </w:p>
    <w:p>
      <w:pPr>
        <w:spacing w:after="0" w:line="215" w:lineRule="exact"/>
        <w:rPr>
          <w:rFonts w:ascii="Arial" w:cs="Arial" w:eastAsia="Arial" w:hAnsi="Arial"/>
          <w:sz w:val="19"/>
          <w:szCs w:val="19"/>
          <w:color w:val="auto"/>
        </w:rPr>
      </w:pPr>
    </w:p>
    <w:p>
      <w:pPr>
        <w:ind w:left="4340" w:hanging="444"/>
        <w:spacing w:after="0"/>
        <w:tabs>
          <w:tab w:leader="none" w:pos="4340" w:val="left"/>
        </w:tabs>
        <w:numPr>
          <w:ilvl w:val="1"/>
          <w:numId w:val="53"/>
        </w:numPr>
        <w:rPr>
          <w:rFonts w:ascii="Arial" w:cs="Arial" w:eastAsia="Arial" w:hAnsi="Arial"/>
          <w:sz w:val="22"/>
          <w:szCs w:val="22"/>
          <w:color w:val="auto"/>
        </w:rPr>
      </w:pPr>
      <w:r>
        <w:rPr>
          <w:rFonts w:ascii="Arial" w:cs="Arial" w:eastAsia="Arial" w:hAnsi="Arial"/>
          <w:sz w:val="22"/>
          <w:szCs w:val="22"/>
          <w:color w:val="auto"/>
        </w:rPr>
        <w:t>Files an Initial Election with the Administrator for the 2013 Plan Year.</w:t>
      </w:r>
    </w:p>
    <w:p>
      <w:pPr>
        <w:spacing w:after="0" w:line="233" w:lineRule="exact"/>
        <w:rPr>
          <w:rFonts w:ascii="Arial" w:cs="Arial" w:eastAsia="Arial" w:hAnsi="Arial"/>
          <w:sz w:val="22"/>
          <w:szCs w:val="22"/>
          <w:color w:val="auto"/>
        </w:rPr>
      </w:pPr>
    </w:p>
    <w:p>
      <w:pPr>
        <w:ind w:left="3100" w:hanging="500"/>
        <w:spacing w:after="0"/>
        <w:tabs>
          <w:tab w:leader="none" w:pos="31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Each employee of NBCUniversal, other than an employee who is described in Section 2.25,</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who, for the 2013 Plan Year:</w:t>
      </w:r>
    </w:p>
    <w:p>
      <w:pPr>
        <w:spacing w:after="0" w:line="215" w:lineRule="exact"/>
        <w:rPr>
          <w:rFonts w:ascii="Arial" w:cs="Arial" w:eastAsia="Arial" w:hAnsi="Arial"/>
          <w:sz w:val="19"/>
          <w:szCs w:val="19"/>
          <w:color w:val="auto"/>
        </w:rPr>
      </w:pPr>
    </w:p>
    <w:p>
      <w:pPr>
        <w:ind w:left="4380" w:hanging="484"/>
        <w:spacing w:after="0"/>
        <w:tabs>
          <w:tab w:leader="none" w:pos="4380" w:val="left"/>
        </w:tabs>
        <w:numPr>
          <w:ilvl w:val="1"/>
          <w:numId w:val="54"/>
        </w:numPr>
        <w:rPr>
          <w:rFonts w:ascii="Arial" w:cs="Arial" w:eastAsia="Arial" w:hAnsi="Arial"/>
          <w:sz w:val="21"/>
          <w:szCs w:val="21"/>
          <w:color w:val="auto"/>
        </w:rPr>
      </w:pPr>
      <w:r>
        <w:rPr>
          <w:rFonts w:ascii="Arial" w:cs="Arial" w:eastAsia="Arial" w:hAnsi="Arial"/>
          <w:sz w:val="21"/>
          <w:szCs w:val="21"/>
          <w:color w:val="auto"/>
        </w:rPr>
        <w:t>Is not a member of NBCUniversal’s Executive Committee, Management</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Committee or Operating Committee;</w:t>
      </w:r>
    </w:p>
    <w:p>
      <w:pPr>
        <w:spacing w:after="0" w:line="215" w:lineRule="exact"/>
        <w:rPr>
          <w:rFonts w:ascii="Arial" w:cs="Arial" w:eastAsia="Arial" w:hAnsi="Arial"/>
          <w:sz w:val="21"/>
          <w:szCs w:val="21"/>
          <w:color w:val="auto"/>
        </w:rPr>
      </w:pPr>
    </w:p>
    <w:p>
      <w:pPr>
        <w:ind w:right="140" w:firstLine="3896"/>
        <w:spacing w:after="0" w:line="276" w:lineRule="auto"/>
        <w:tabs>
          <w:tab w:leader="none" w:pos="4356" w:val="left"/>
        </w:tabs>
        <w:numPr>
          <w:ilvl w:val="1"/>
          <w:numId w:val="54"/>
        </w:numPr>
        <w:rPr>
          <w:rFonts w:ascii="Arial" w:cs="Arial" w:eastAsia="Arial" w:hAnsi="Arial"/>
          <w:sz w:val="22"/>
          <w:szCs w:val="22"/>
          <w:color w:val="auto"/>
        </w:rPr>
      </w:pPr>
      <w:r>
        <w:rPr>
          <w:rFonts w:ascii="Arial" w:cs="Arial" w:eastAsia="Arial" w:hAnsi="Arial"/>
          <w:sz w:val="22"/>
          <w:szCs w:val="22"/>
          <w:color w:val="auto"/>
        </w:rPr>
        <w:t>Has been a participant in the NBCUniversal Supplementary Pension Plan for the period extending from January 29, 2011 through December 31, 2012;</w:t>
      </w:r>
    </w:p>
    <w:p>
      <w:pPr>
        <w:spacing w:after="0" w:line="160" w:lineRule="exact"/>
        <w:rPr>
          <w:rFonts w:ascii="Arial" w:cs="Arial" w:eastAsia="Arial" w:hAnsi="Arial"/>
          <w:sz w:val="22"/>
          <w:szCs w:val="22"/>
          <w:color w:val="auto"/>
        </w:rPr>
      </w:pPr>
    </w:p>
    <w:p>
      <w:pPr>
        <w:ind w:left="4360" w:hanging="464"/>
        <w:spacing w:after="0"/>
        <w:tabs>
          <w:tab w:leader="none" w:pos="4360" w:val="left"/>
        </w:tabs>
        <w:numPr>
          <w:ilvl w:val="1"/>
          <w:numId w:val="54"/>
        </w:numPr>
        <w:rPr>
          <w:rFonts w:ascii="Arial" w:cs="Arial" w:eastAsia="Arial" w:hAnsi="Arial"/>
          <w:sz w:val="19"/>
          <w:szCs w:val="19"/>
          <w:color w:val="auto"/>
        </w:rPr>
      </w:pPr>
      <w:r>
        <w:rPr>
          <w:rFonts w:ascii="Arial" w:cs="Arial" w:eastAsia="Arial" w:hAnsi="Arial"/>
          <w:sz w:val="19"/>
          <w:szCs w:val="19"/>
          <w:color w:val="auto"/>
        </w:rPr>
        <w:t>Has an Annual Rate of Pay is $200,000 or more as of both (iii) the date 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which an Initial Election is filed with the Administrator for the 2013 Plan Year and (iv) January 1, 2013; and</w:t>
      </w:r>
    </w:p>
    <w:p>
      <w:pPr>
        <w:spacing w:after="0" w:line="215" w:lineRule="exact"/>
        <w:rPr>
          <w:rFonts w:ascii="Arial" w:cs="Arial" w:eastAsia="Arial" w:hAnsi="Arial"/>
          <w:sz w:val="19"/>
          <w:szCs w:val="19"/>
          <w:color w:val="auto"/>
        </w:rPr>
      </w:pPr>
    </w:p>
    <w:p>
      <w:pPr>
        <w:ind w:left="4380" w:hanging="484"/>
        <w:spacing w:after="0"/>
        <w:tabs>
          <w:tab w:leader="none" w:pos="4380" w:val="left"/>
        </w:tabs>
        <w:numPr>
          <w:ilvl w:val="1"/>
          <w:numId w:val="54"/>
        </w:numPr>
        <w:rPr>
          <w:rFonts w:ascii="Arial" w:cs="Arial" w:eastAsia="Arial" w:hAnsi="Arial"/>
          <w:sz w:val="22"/>
          <w:szCs w:val="22"/>
          <w:color w:val="auto"/>
        </w:rPr>
      </w:pPr>
      <w:r>
        <w:rPr>
          <w:rFonts w:ascii="Arial" w:cs="Arial" w:eastAsia="Arial" w:hAnsi="Arial"/>
          <w:sz w:val="22"/>
          <w:szCs w:val="22"/>
          <w:color w:val="auto"/>
        </w:rPr>
        <w:t>Files an Initial Election with the Administrator for the 2013 Plan Year.</w:t>
      </w:r>
    </w:p>
    <w:p>
      <w:pPr>
        <w:spacing w:after="0" w:line="233" w:lineRule="exact"/>
        <w:rPr>
          <w:rFonts w:ascii="Arial" w:cs="Arial" w:eastAsia="Arial" w:hAnsi="Arial"/>
          <w:sz w:val="22"/>
          <w:szCs w:val="22"/>
          <w:color w:val="auto"/>
        </w:rPr>
      </w:pPr>
    </w:p>
    <w:p>
      <w:pPr>
        <w:ind w:left="3100" w:hanging="500"/>
        <w:spacing w:after="0"/>
        <w:tabs>
          <w:tab w:leader="none" w:pos="31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Each Grandfathered Employee who is an employee of NBCUniversal.</w:t>
      </w:r>
    </w:p>
    <w:p>
      <w:pPr>
        <w:sectPr>
          <w:pgSz w:w="11900" w:h="16838" w:orient="portrait"/>
          <w:cols w:equalWidth="0" w:num="1">
            <w:col w:w="11160"/>
          </w:cols>
          <w:pgMar w:left="320" w:top="348" w:right="419" w:bottom="1440" w:gutter="0" w:footer="0" w:header="0"/>
        </w:sectPr>
      </w:pPr>
    </w:p>
    <w:bookmarkStart w:id="59" w:name="page60"/>
    <w:bookmarkEnd w:id="59"/>
    <w:p>
      <w:pPr>
        <w:ind w:left="3032" w:hanging="440"/>
        <w:spacing w:after="0"/>
        <w:tabs>
          <w:tab w:leader="none" w:pos="3032" w:val="left"/>
        </w:tabs>
        <w:numPr>
          <w:ilvl w:val="2"/>
          <w:numId w:val="55"/>
        </w:numPr>
        <w:rPr>
          <w:rFonts w:ascii="Arial" w:cs="Arial" w:eastAsia="Arial" w:hAnsi="Arial"/>
          <w:sz w:val="22"/>
          <w:szCs w:val="22"/>
          <w:color w:val="auto"/>
        </w:rPr>
      </w:pPr>
      <w:r>
        <w:rPr>
          <w:rFonts w:ascii="Arial" w:cs="Arial" w:eastAsia="Arial" w:hAnsi="Arial"/>
          <w:sz w:val="22"/>
          <w:szCs w:val="22"/>
          <w:color w:val="auto"/>
        </w:rPr>
        <w:t>Each New Key Employee who is an employee of NBCUniversal.</w:t>
      </w:r>
    </w:p>
    <w:p>
      <w:pPr>
        <w:spacing w:after="0" w:line="233" w:lineRule="exact"/>
        <w:rPr>
          <w:rFonts w:ascii="Arial" w:cs="Arial" w:eastAsia="Arial" w:hAnsi="Arial"/>
          <w:sz w:val="22"/>
          <w:szCs w:val="22"/>
          <w:color w:val="auto"/>
        </w:rPr>
      </w:pPr>
    </w:p>
    <w:p>
      <w:pPr>
        <w:ind w:left="2652" w:hanging="708"/>
        <w:spacing w:after="0"/>
        <w:tabs>
          <w:tab w:leader="none" w:pos="2652" w:val="left"/>
        </w:tabs>
        <w:numPr>
          <w:ilvl w:val="1"/>
          <w:numId w:val="56"/>
        </w:numPr>
        <w:rPr>
          <w:rFonts w:ascii="Arial" w:cs="Arial" w:eastAsia="Arial" w:hAnsi="Arial"/>
          <w:sz w:val="19"/>
          <w:szCs w:val="19"/>
          <w:color w:val="auto"/>
        </w:rPr>
      </w:pPr>
      <w:r>
        <w:rPr>
          <w:rFonts w:ascii="Arial" w:cs="Arial" w:eastAsia="Arial" w:hAnsi="Arial"/>
          <w:sz w:val="19"/>
          <w:szCs w:val="19"/>
          <w:color w:val="auto"/>
        </w:rPr>
        <w:t>Effective on and after January 1, 2019, an employee of NBCUniversal described in Section 2.28(b)</w:t>
      </w:r>
    </w:p>
    <w:p>
      <w:pPr>
        <w:spacing w:after="0" w:line="55" w:lineRule="exact"/>
        <w:rPr>
          <w:rFonts w:ascii="Arial" w:cs="Arial" w:eastAsia="Arial" w:hAnsi="Arial"/>
          <w:sz w:val="19"/>
          <w:szCs w:val="19"/>
          <w:color w:val="auto"/>
        </w:rPr>
      </w:pPr>
    </w:p>
    <w:p>
      <w:pPr>
        <w:ind w:left="-8" w:right="100" w:firstLine="8"/>
        <w:spacing w:after="0" w:line="259" w:lineRule="auto"/>
        <w:tabs>
          <w:tab w:leader="none" w:pos="25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through 2.28(b)(iii) below, provided that, in each case, except as otherwise designated by the Administrator, such individual’s Compensation is administered under NBCUniversal’s common payroll system.</w:t>
      </w:r>
    </w:p>
    <w:p>
      <w:pPr>
        <w:spacing w:after="0" w:line="178" w:lineRule="exact"/>
        <w:rPr>
          <w:rFonts w:ascii="Arial" w:cs="Arial" w:eastAsia="Arial" w:hAnsi="Arial"/>
          <w:sz w:val="22"/>
          <w:szCs w:val="22"/>
          <w:color w:val="auto"/>
        </w:rPr>
      </w:pPr>
    </w:p>
    <w:p>
      <w:pPr>
        <w:ind w:left="-8" w:right="280" w:firstLine="2600"/>
        <w:spacing w:after="0" w:line="259" w:lineRule="auto"/>
        <w:tabs>
          <w:tab w:leader="none" w:pos="2968" w:val="left"/>
        </w:tabs>
        <w:numPr>
          <w:ilvl w:val="2"/>
          <w:numId w:val="57"/>
        </w:numPr>
        <w:rPr>
          <w:rFonts w:ascii="Arial" w:cs="Arial" w:eastAsia="Arial" w:hAnsi="Arial"/>
          <w:sz w:val="22"/>
          <w:szCs w:val="22"/>
          <w:color w:val="auto"/>
        </w:rPr>
      </w:pPr>
      <w:r>
        <w:rPr>
          <w:rFonts w:ascii="Arial" w:cs="Arial" w:eastAsia="Arial" w:hAnsi="Arial"/>
          <w:sz w:val="22"/>
          <w:szCs w:val="22"/>
          <w:color w:val="auto"/>
        </w:rPr>
        <w:t>Each employee of NBCUniversal who has been designated as a member of NBCUniversal’s Executive Committee or Management Committee by the Chief Executive Officer of NBCUniversal and approved by the Administrator, other than an employee who is described in Section 2.25.</w:t>
      </w:r>
    </w:p>
    <w:p>
      <w:pPr>
        <w:spacing w:after="0" w:line="180" w:lineRule="exact"/>
        <w:rPr>
          <w:sz w:val="20"/>
          <w:szCs w:val="20"/>
          <w:color w:val="auto"/>
        </w:rPr>
      </w:pPr>
    </w:p>
    <w:p>
      <w:pPr>
        <w:ind w:left="3032" w:hanging="440"/>
        <w:spacing w:after="0"/>
        <w:tabs>
          <w:tab w:leader="none" w:pos="3032"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Each Grandfathered Employee who is an employee of NBCUniversal.</w:t>
      </w:r>
    </w:p>
    <w:p>
      <w:pPr>
        <w:spacing w:after="0" w:line="233" w:lineRule="exact"/>
        <w:rPr>
          <w:rFonts w:ascii="Arial" w:cs="Arial" w:eastAsia="Arial" w:hAnsi="Arial"/>
          <w:sz w:val="22"/>
          <w:szCs w:val="22"/>
          <w:color w:val="auto"/>
        </w:rPr>
      </w:pPr>
    </w:p>
    <w:p>
      <w:pPr>
        <w:ind w:left="3092" w:hanging="500"/>
        <w:spacing w:after="0"/>
        <w:tabs>
          <w:tab w:leader="none" w:pos="3092"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Each New Key Employee who is an employee of NBCUniversal.</w:t>
      </w:r>
    </w:p>
    <w:p>
      <w:pPr>
        <w:spacing w:after="0" w:line="233" w:lineRule="exact"/>
        <w:rPr>
          <w:sz w:val="20"/>
          <w:szCs w:val="20"/>
          <w:color w:val="auto"/>
        </w:rPr>
      </w:pPr>
    </w:p>
    <w:p>
      <w:pPr>
        <w:ind w:left="1292"/>
        <w:spacing w:after="0"/>
        <w:tabs>
          <w:tab w:leader="none" w:pos="1952"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w:t>
      </w:r>
    </w:p>
    <w:p>
      <w:pPr>
        <w:spacing w:after="0" w:line="233" w:lineRule="exact"/>
        <w:rPr>
          <w:sz w:val="20"/>
          <w:szCs w:val="20"/>
          <w:color w:val="auto"/>
        </w:rPr>
      </w:pPr>
    </w:p>
    <w:p>
      <w:pPr>
        <w:jc w:val="both"/>
        <w:ind w:left="-8" w:right="400" w:firstLine="1952"/>
        <w:spacing w:after="0" w:line="259" w:lineRule="auto"/>
        <w:tabs>
          <w:tab w:leader="none" w:pos="2356"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80" w:lineRule="exact"/>
        <w:rPr>
          <w:rFonts w:ascii="Arial" w:cs="Arial" w:eastAsia="Arial" w:hAnsi="Arial"/>
          <w:sz w:val="22"/>
          <w:szCs w:val="22"/>
          <w:color w:val="auto"/>
        </w:rPr>
      </w:pPr>
    </w:p>
    <w:p>
      <w:pPr>
        <w:ind w:left="-8" w:right="40" w:firstLine="1952"/>
        <w:spacing w:after="0" w:line="259" w:lineRule="auto"/>
        <w:tabs>
          <w:tab w:leader="none" w:pos="2368"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shares of any Other Investment Fund are not so listed, but trades of shares are reported on a quotation system, Fair Market Value shall be determined based on the last quoted sale price of a share on the quotation system on the date of determination, or if such date is not a trading day, the next trading date.</w:t>
      </w:r>
    </w:p>
    <w:p>
      <w:pPr>
        <w:spacing w:after="0" w:line="180" w:lineRule="exact"/>
        <w:rPr>
          <w:rFonts w:ascii="Arial" w:cs="Arial" w:eastAsia="Arial" w:hAnsi="Arial"/>
          <w:sz w:val="22"/>
          <w:szCs w:val="22"/>
          <w:color w:val="auto"/>
        </w:rPr>
      </w:pPr>
    </w:p>
    <w:p>
      <w:pPr>
        <w:ind w:left="-8" w:right="140" w:firstLine="1952"/>
        <w:spacing w:after="0" w:line="276" w:lineRule="auto"/>
        <w:tabs>
          <w:tab w:leader="none" w:pos="2356"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shares of any Other Investment Fund are not so listed nor trades of shares so reported, Fair Market Value shall be determined by the Committee in good faith.</w:t>
      </w:r>
    </w:p>
    <w:p>
      <w:pPr>
        <w:spacing w:after="0" w:line="161" w:lineRule="exact"/>
        <w:rPr>
          <w:sz w:val="20"/>
          <w:szCs w:val="20"/>
          <w:color w:val="auto"/>
        </w:rPr>
      </w:pPr>
    </w:p>
    <w:p>
      <w:pPr>
        <w:ind w:left="1292"/>
        <w:spacing w:after="0"/>
        <w:tabs>
          <w:tab w:leader="none" w:pos="1952" w:val="left"/>
        </w:tabs>
        <w:rPr>
          <w:sz w:val="20"/>
          <w:szCs w:val="20"/>
          <w:color w:val="auto"/>
        </w:rPr>
      </w:pPr>
      <w:r>
        <w:rPr>
          <w:rFonts w:ascii="Arial" w:cs="Arial" w:eastAsia="Arial" w:hAnsi="Arial"/>
          <w:sz w:val="22"/>
          <w:szCs w:val="22"/>
          <w:color w:val="auto"/>
        </w:rPr>
        <w:t>2.30.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Grandfathered Employee</w:t>
      </w:r>
      <w:r>
        <w:rPr>
          <w:rFonts w:ascii="Arial" w:cs="Arial" w:eastAsia="Arial" w:hAnsi="Arial"/>
          <w:sz w:val="19"/>
          <w:szCs w:val="19"/>
          <w:color w:val="auto"/>
        </w:rPr>
        <w:t>” means:</w:t>
      </w:r>
    </w:p>
    <w:p>
      <w:pPr>
        <w:spacing w:after="0" w:line="233" w:lineRule="exact"/>
        <w:rPr>
          <w:sz w:val="20"/>
          <w:szCs w:val="20"/>
          <w:color w:val="auto"/>
        </w:rPr>
      </w:pPr>
    </w:p>
    <w:p>
      <w:pPr>
        <w:ind w:left="2372" w:hanging="428"/>
        <w:spacing w:after="0"/>
        <w:tabs>
          <w:tab w:leader="none" w:pos="2372" w:val="left"/>
        </w:tabs>
        <w:numPr>
          <w:ilvl w:val="1"/>
          <w:numId w:val="60"/>
        </w:numPr>
        <w:rPr>
          <w:rFonts w:ascii="Arial" w:cs="Arial" w:eastAsia="Arial" w:hAnsi="Arial"/>
          <w:sz w:val="22"/>
          <w:szCs w:val="22"/>
          <w:color w:val="auto"/>
        </w:rPr>
      </w:pPr>
      <w:r>
        <w:rPr>
          <w:rFonts w:ascii="Arial" w:cs="Arial" w:eastAsia="Arial" w:hAnsi="Arial"/>
          <w:sz w:val="22"/>
          <w:szCs w:val="22"/>
          <w:color w:val="auto"/>
        </w:rPr>
        <w:t>Effective before January 1, 2014:</w:t>
      </w:r>
    </w:p>
    <w:p>
      <w:pPr>
        <w:spacing w:after="0" w:line="233" w:lineRule="exact"/>
        <w:rPr>
          <w:rFonts w:ascii="Arial" w:cs="Arial" w:eastAsia="Arial" w:hAnsi="Arial"/>
          <w:sz w:val="22"/>
          <w:szCs w:val="22"/>
          <w:color w:val="auto"/>
        </w:rPr>
      </w:pPr>
    </w:p>
    <w:p>
      <w:pPr>
        <w:ind w:left="-8" w:firstLine="2600"/>
        <w:spacing w:after="0" w:line="259" w:lineRule="auto"/>
        <w:tabs>
          <w:tab w:leader="none" w:pos="2968" w:val="left"/>
        </w:tabs>
        <w:numPr>
          <w:ilvl w:val="2"/>
          <w:numId w:val="60"/>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as of December 31, 1989, was eligible to participate in the Prior Plan and who has been in continuous service to the Company or an Affiliate since December 31, 1989.</w:t>
      </w:r>
    </w:p>
    <w:p>
      <w:pPr>
        <w:spacing w:after="0" w:line="180" w:lineRule="exact"/>
        <w:rPr>
          <w:rFonts w:ascii="Arial" w:cs="Arial" w:eastAsia="Arial" w:hAnsi="Arial"/>
          <w:sz w:val="22"/>
          <w:szCs w:val="22"/>
          <w:color w:val="auto"/>
        </w:rPr>
      </w:pPr>
    </w:p>
    <w:p>
      <w:pPr>
        <w:jc w:val="both"/>
        <w:ind w:left="-8" w:right="260" w:firstLine="2600"/>
        <w:spacing w:after="0" w:line="299" w:lineRule="auto"/>
        <w:tabs>
          <w:tab w:leader="none" w:pos="3028" w:val="left"/>
        </w:tabs>
        <w:numPr>
          <w:ilvl w:val="2"/>
          <w:numId w:val="60"/>
        </w:numPr>
        <w:rPr>
          <w:rFonts w:ascii="Arial" w:cs="Arial" w:eastAsia="Arial" w:hAnsi="Arial"/>
          <w:sz w:val="19"/>
          <w:szCs w:val="19"/>
          <w:color w:val="auto"/>
        </w:rPr>
      </w:pPr>
      <w:r>
        <w:rPr>
          <w:rFonts w:ascii="Arial" w:cs="Arial" w:eastAsia="Arial" w:hAnsi="Arial"/>
          <w:sz w:val="19"/>
          <w:szCs w:val="19"/>
          <w:color w:val="auto"/>
        </w:rPr>
        <w:t>Each employee of a Participating Company other than NBCUniversal who was, at any time before January 1, 1995, eligible to participate in the Prior Plan and whose Annual Rate of Pay was $90,000 or more as of both</w:t>
      </w:r>
    </w:p>
    <w:p>
      <w:pPr>
        <w:ind w:left="-8" w:firstLine="8"/>
        <w:spacing w:after="0" w:line="246" w:lineRule="auto"/>
        <w:tabs>
          <w:tab w:leader="none" w:pos="34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date on which an Initial Election is filed with the Administrator and (B) the first day of each calendar year beginning after December 31, 1994.</w:t>
      </w:r>
    </w:p>
    <w:p>
      <w:pPr>
        <w:sectPr>
          <w:pgSz w:w="11900" w:h="16838" w:orient="portrait"/>
          <w:cols w:equalWidth="0" w:num="1">
            <w:col w:w="11212"/>
          </w:cols>
          <w:pgMar w:left="328" w:top="348" w:right="359" w:bottom="1440" w:gutter="0" w:footer="0" w:header="0"/>
        </w:sectPr>
      </w:pPr>
    </w:p>
    <w:bookmarkStart w:id="60" w:name="page61"/>
    <w:bookmarkEnd w:id="60"/>
    <w:p>
      <w:pPr>
        <w:ind w:right="140" w:firstLine="2600"/>
        <w:spacing w:after="0" w:line="254" w:lineRule="auto"/>
        <w:tabs>
          <w:tab w:leader="none" w:pos="3096" w:val="left"/>
        </w:tabs>
        <w:numPr>
          <w:ilvl w:val="1"/>
          <w:numId w:val="62"/>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was an employee of an entity that was a Participating Company in the Prior Plan as of June 30, 2002 and who had an Annual Rate of Pay of $125,000 as of each of (i) June 30, 2002; (ii) the date on which an Initial Election was filed with the Administrator and (iii) the first day of each calendar year beginning after December 31, 2002.</w:t>
      </w:r>
    </w:p>
    <w:p>
      <w:pPr>
        <w:spacing w:after="0" w:line="184" w:lineRule="exact"/>
        <w:rPr>
          <w:rFonts w:ascii="Arial" w:cs="Arial" w:eastAsia="Arial" w:hAnsi="Arial"/>
          <w:sz w:val="22"/>
          <w:szCs w:val="22"/>
          <w:color w:val="auto"/>
        </w:rPr>
      </w:pPr>
    </w:p>
    <w:p>
      <w:pPr>
        <w:ind w:right="200" w:firstLine="2600"/>
        <w:spacing w:after="0" w:line="251" w:lineRule="auto"/>
        <w:tabs>
          <w:tab w:leader="none" w:pos="3084" w:val="left"/>
        </w:tabs>
        <w:numPr>
          <w:ilvl w:val="1"/>
          <w:numId w:val="62"/>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89" w:lineRule="exact"/>
        <w:rPr>
          <w:rFonts w:ascii="Arial" w:cs="Arial" w:eastAsia="Arial" w:hAnsi="Arial"/>
          <w:sz w:val="22"/>
          <w:szCs w:val="22"/>
          <w:color w:val="auto"/>
        </w:rPr>
      </w:pPr>
    </w:p>
    <w:p>
      <w:pPr>
        <w:ind w:left="2660" w:hanging="708"/>
        <w:spacing w:after="0"/>
        <w:tabs>
          <w:tab w:leader="none" w:pos="26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w:t>
      </w:r>
    </w:p>
    <w:p>
      <w:pPr>
        <w:spacing w:after="0" w:line="233" w:lineRule="exact"/>
        <w:rPr>
          <w:rFonts w:ascii="Arial" w:cs="Arial" w:eastAsia="Arial" w:hAnsi="Arial"/>
          <w:sz w:val="22"/>
          <w:szCs w:val="22"/>
          <w:color w:val="auto"/>
        </w:rPr>
      </w:pPr>
    </w:p>
    <w:p>
      <w:pPr>
        <w:ind w:left="2980" w:hanging="380"/>
        <w:spacing w:after="0"/>
        <w:tabs>
          <w:tab w:leader="none" w:pos="2980" w:val="left"/>
        </w:tabs>
        <w:numPr>
          <w:ilvl w:val="1"/>
          <w:numId w:val="63"/>
        </w:numPr>
        <w:rPr>
          <w:rFonts w:ascii="Arial" w:cs="Arial" w:eastAsia="Arial" w:hAnsi="Arial"/>
          <w:sz w:val="21"/>
          <w:szCs w:val="21"/>
          <w:color w:val="auto"/>
        </w:rPr>
      </w:pPr>
      <w:r>
        <w:rPr>
          <w:rFonts w:ascii="Arial" w:cs="Arial" w:eastAsia="Arial" w:hAnsi="Arial"/>
          <w:sz w:val="21"/>
          <w:szCs w:val="21"/>
          <w:color w:val="auto"/>
        </w:rPr>
        <w:t>Each employee of a Participating Company other than NBCUniversal who is described in</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Section 2.30(a)(i)-(iv).</w:t>
      </w:r>
    </w:p>
    <w:p>
      <w:pPr>
        <w:spacing w:after="0" w:line="215" w:lineRule="exact"/>
        <w:rPr>
          <w:rFonts w:ascii="Arial" w:cs="Arial" w:eastAsia="Arial" w:hAnsi="Arial"/>
          <w:sz w:val="21"/>
          <w:szCs w:val="21"/>
          <w:color w:val="auto"/>
        </w:rPr>
      </w:pPr>
    </w:p>
    <w:p>
      <w:pPr>
        <w:ind w:right="240" w:firstLine="2600"/>
        <w:spacing w:after="0" w:line="319" w:lineRule="auto"/>
        <w:tabs>
          <w:tab w:leader="none" w:pos="3090" w:val="left"/>
        </w:tabs>
        <w:numPr>
          <w:ilvl w:val="1"/>
          <w:numId w:val="63"/>
        </w:numPr>
        <w:rPr>
          <w:rFonts w:ascii="Arial" w:cs="Arial" w:eastAsia="Arial" w:hAnsi="Arial"/>
          <w:sz w:val="19"/>
          <w:szCs w:val="19"/>
          <w:color w:val="auto"/>
        </w:rPr>
      </w:pPr>
      <w:r>
        <w:rPr>
          <w:rFonts w:ascii="Arial" w:cs="Arial" w:eastAsia="Arial" w:hAnsi="Arial"/>
          <w:sz w:val="19"/>
          <w:szCs w:val="19"/>
          <w:color w:val="auto"/>
        </w:rPr>
        <w:t>Each employee of a Participating Company other than NBCUniversal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27" w:lineRule="exact"/>
        <w:rPr>
          <w:rFonts w:ascii="Arial" w:cs="Arial" w:eastAsia="Arial" w:hAnsi="Arial"/>
          <w:sz w:val="19"/>
          <w:szCs w:val="19"/>
          <w:color w:val="auto"/>
        </w:rPr>
      </w:pPr>
    </w:p>
    <w:p>
      <w:pPr>
        <w:ind w:right="80" w:firstLine="2600"/>
        <w:spacing w:after="0" w:line="319" w:lineRule="auto"/>
        <w:tabs>
          <w:tab w:leader="none" w:pos="3096" w:val="left"/>
        </w:tabs>
        <w:numPr>
          <w:ilvl w:val="1"/>
          <w:numId w:val="63"/>
        </w:numPr>
        <w:rPr>
          <w:rFonts w:ascii="Arial" w:cs="Arial" w:eastAsia="Arial" w:hAnsi="Arial"/>
          <w:sz w:val="19"/>
          <w:szCs w:val="19"/>
          <w:color w:val="auto"/>
        </w:rPr>
      </w:pPr>
      <w:r>
        <w:rPr>
          <w:rFonts w:ascii="Arial" w:cs="Arial" w:eastAsia="Arial" w:hAnsi="Arial"/>
          <w:sz w:val="19"/>
          <w:szCs w:val="19"/>
          <w:color w:val="auto"/>
        </w:rPr>
        <w:t>Each employee of NBCUniversal described in Section 2.28(a)(ii) or 2.28(a)(iii)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27" w:lineRule="exact"/>
        <w:rPr>
          <w:rFonts w:ascii="Arial" w:cs="Arial" w:eastAsia="Arial" w:hAnsi="Arial"/>
          <w:sz w:val="19"/>
          <w:szCs w:val="19"/>
          <w:color w:val="auto"/>
        </w:rPr>
      </w:pPr>
    </w:p>
    <w:p>
      <w:pPr>
        <w:ind w:right="160" w:firstLine="1952"/>
        <w:spacing w:after="0" w:line="259" w:lineRule="auto"/>
        <w:tabs>
          <w:tab w:leader="none" w:pos="2634" w:val="left"/>
        </w:tabs>
        <w:numPr>
          <w:ilvl w:val="0"/>
          <w:numId w:val="63"/>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2019 through December 31, 2020, each employee of a Participating Company who either has a balance credited to his Account as of December 31, 2018, or has filed an Initial Election to defer bonus earned for the 2018 Plan Year and who:</w:t>
      </w:r>
    </w:p>
    <w:p>
      <w:pPr>
        <w:spacing w:after="0" w:line="180" w:lineRule="exact"/>
        <w:rPr>
          <w:rFonts w:ascii="Arial" w:cs="Arial" w:eastAsia="Arial" w:hAnsi="Arial"/>
          <w:sz w:val="22"/>
          <w:szCs w:val="22"/>
          <w:color w:val="auto"/>
        </w:rPr>
      </w:pPr>
    </w:p>
    <w:p>
      <w:pPr>
        <w:ind w:firstLine="2600"/>
        <w:spacing w:after="0" w:line="254" w:lineRule="auto"/>
        <w:tabs>
          <w:tab w:leader="none" w:pos="2976" w:val="left"/>
        </w:tabs>
        <w:numPr>
          <w:ilvl w:val="1"/>
          <w:numId w:val="63"/>
        </w:numPr>
        <w:rPr>
          <w:rFonts w:ascii="Arial" w:cs="Arial" w:eastAsia="Arial" w:hAnsi="Arial"/>
          <w:sz w:val="22"/>
          <w:szCs w:val="22"/>
          <w:color w:val="auto"/>
        </w:rPr>
      </w:pPr>
      <w:r>
        <w:rPr>
          <w:rFonts w:ascii="Arial" w:cs="Arial" w:eastAsia="Arial" w:hAnsi="Arial"/>
          <w:sz w:val="22"/>
          <w:szCs w:val="22"/>
          <w:color w:val="auto"/>
        </w:rPr>
        <w:t>is an employee of NBCUniversal described in Section 2.25(a) whose Compensation was administered under NBCUniversal’s common payroll system as of December 31, 2013, has an Annual Rate of Pay of $250,000 or more as of both the date on which an Initial Election is filed with the Administrator and the first day of the calendar year in which such Initial Election is filed;</w:t>
      </w:r>
    </w:p>
    <w:p>
      <w:pPr>
        <w:spacing w:after="0" w:line="184" w:lineRule="exact"/>
        <w:rPr>
          <w:rFonts w:ascii="Arial" w:cs="Arial" w:eastAsia="Arial" w:hAnsi="Arial"/>
          <w:sz w:val="22"/>
          <w:szCs w:val="22"/>
          <w:color w:val="auto"/>
        </w:rPr>
      </w:pPr>
    </w:p>
    <w:p>
      <w:pPr>
        <w:ind w:left="3040" w:hanging="440"/>
        <w:spacing w:after="0"/>
        <w:tabs>
          <w:tab w:leader="none" w:pos="3040" w:val="left"/>
        </w:tabs>
        <w:numPr>
          <w:ilvl w:val="1"/>
          <w:numId w:val="63"/>
        </w:numPr>
        <w:rPr>
          <w:rFonts w:ascii="Arial" w:cs="Arial" w:eastAsia="Arial" w:hAnsi="Arial"/>
          <w:sz w:val="21"/>
          <w:szCs w:val="21"/>
          <w:color w:val="auto"/>
        </w:rPr>
      </w:pPr>
      <w:r>
        <w:rPr>
          <w:rFonts w:ascii="Arial" w:cs="Arial" w:eastAsia="Arial" w:hAnsi="Arial"/>
          <w:sz w:val="21"/>
          <w:szCs w:val="21"/>
          <w:color w:val="auto"/>
        </w:rPr>
        <w:t>is described in Section 2.28(a)(i), and who is a member of NBCUniversal’s Operating</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Committee (but not NBCUniversal’s Executive Committee or Management Committee); or</w:t>
      </w:r>
    </w:p>
    <w:p>
      <w:pPr>
        <w:spacing w:after="0" w:line="215" w:lineRule="exact"/>
        <w:rPr>
          <w:rFonts w:ascii="Arial" w:cs="Arial" w:eastAsia="Arial" w:hAnsi="Arial"/>
          <w:sz w:val="21"/>
          <w:szCs w:val="21"/>
          <w:color w:val="auto"/>
        </w:rPr>
      </w:pPr>
    </w:p>
    <w:p>
      <w:pPr>
        <w:ind w:left="3100" w:hanging="500"/>
        <w:spacing w:after="0"/>
        <w:tabs>
          <w:tab w:leader="none" w:pos="31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is described in Section 2.30(b).</w:t>
      </w:r>
    </w:p>
    <w:p>
      <w:pPr>
        <w:sectPr>
          <w:pgSz w:w="11900" w:h="16838" w:orient="portrait"/>
          <w:cols w:equalWidth="0" w:num="1">
            <w:col w:w="11240"/>
          </w:cols>
          <w:pgMar w:left="320" w:top="348" w:right="339" w:bottom="1440" w:gutter="0" w:footer="0" w:header="0"/>
        </w:sectPr>
      </w:pPr>
    </w:p>
    <w:bookmarkStart w:id="61" w:name="page62"/>
    <w:bookmarkEnd w:id="61"/>
    <w:p>
      <w:pPr>
        <w:ind w:right="160" w:firstLine="1296"/>
        <w:spacing w:after="0" w:line="294" w:lineRule="auto"/>
        <w:rPr>
          <w:sz w:val="20"/>
          <w:szCs w:val="20"/>
          <w:color w:val="auto"/>
        </w:rPr>
      </w:pPr>
      <w:r>
        <w:rPr>
          <w:rFonts w:ascii="Arial" w:cs="Arial" w:eastAsia="Arial" w:hAnsi="Arial"/>
          <w:sz w:val="19"/>
          <w:szCs w:val="19"/>
          <w:color w:val="auto"/>
        </w:rPr>
        <w:t>2.31. “</w:t>
      </w:r>
      <w:r>
        <w:rPr>
          <w:rFonts w:ascii="Arial" w:cs="Arial" w:eastAsia="Arial" w:hAnsi="Arial"/>
          <w:sz w:val="19"/>
          <w:szCs w:val="19"/>
          <w:u w:val="single" w:color="auto"/>
          <w:color w:val="auto"/>
        </w:rPr>
        <w:t>Hardship</w:t>
      </w:r>
      <w:r>
        <w:rPr>
          <w:rFonts w:ascii="Arial" w:cs="Arial" w:eastAsia="Arial" w:hAnsi="Arial"/>
          <w:sz w:val="19"/>
          <w:szCs w:val="19"/>
          <w:color w:val="auto"/>
        </w:rPr>
        <w:t>” means an “unforeseeable emergency,” as defined in Section 409A. The Committee shall determine whether the circumstances of the Participant constitute an unforeseeable emergency and thus a Hardship within the meaning of this Section 2.31.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Section 2.31 for all Participants in similar circumstances.</w:t>
      </w:r>
    </w:p>
    <w:p>
      <w:pPr>
        <w:spacing w:after="0" w:line="151" w:lineRule="exact"/>
        <w:rPr>
          <w:sz w:val="20"/>
          <w:szCs w:val="20"/>
          <w:color w:val="auto"/>
        </w:rPr>
      </w:pPr>
    </w:p>
    <w:p>
      <w:pPr>
        <w:ind w:right="60" w:firstLine="1296"/>
        <w:spacing w:after="0" w:line="301" w:lineRule="auto"/>
        <w:rPr>
          <w:sz w:val="20"/>
          <w:szCs w:val="20"/>
          <w:color w:val="auto"/>
        </w:rPr>
      </w:pPr>
      <w:r>
        <w:rPr>
          <w:rFonts w:ascii="Arial" w:cs="Arial" w:eastAsia="Arial" w:hAnsi="Arial"/>
          <w:sz w:val="21"/>
          <w:szCs w:val="21"/>
          <w:color w:val="auto"/>
        </w:rPr>
        <w:t>2.32. “</w:t>
      </w:r>
      <w:r>
        <w:rPr>
          <w:rFonts w:ascii="Arial" w:cs="Arial" w:eastAsia="Arial" w:hAnsi="Arial"/>
          <w:sz w:val="21"/>
          <w:szCs w:val="21"/>
          <w:u w:val="single" w:color="auto"/>
          <w:color w:val="auto"/>
        </w:rPr>
        <w:t>High Balance Participant</w:t>
      </w:r>
      <w:r>
        <w:rPr>
          <w:rFonts w:ascii="Arial" w:cs="Arial" w:eastAsia="Arial" w:hAnsi="Arial"/>
          <w:sz w:val="21"/>
          <w:szCs w:val="21"/>
          <w:color w:val="auto"/>
        </w:rPr>
        <w:t>” means a Participant the value of whose Account that is deemed invested in the Income Fund is greater than or equal to the Income Fund Limit, as determined by the Administrator.</w:t>
      </w:r>
    </w:p>
    <w:p>
      <w:pPr>
        <w:spacing w:after="0" w:line="13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High-Water Mark</w:t>
      </w:r>
      <w:r>
        <w:rPr>
          <w:rFonts w:ascii="Arial" w:cs="Arial" w:eastAsia="Arial" w:hAnsi="Arial"/>
          <w:sz w:val="19"/>
          <w:szCs w:val="19"/>
          <w:color w:val="auto"/>
        </w:rPr>
        <w:t>” means:</w:t>
      </w:r>
    </w:p>
    <w:p>
      <w:pPr>
        <w:spacing w:after="0" w:line="233" w:lineRule="exact"/>
        <w:rPr>
          <w:sz w:val="20"/>
          <w:szCs w:val="20"/>
          <w:color w:val="auto"/>
        </w:rPr>
      </w:pPr>
    </w:p>
    <w:p>
      <w:pPr>
        <w:jc w:val="both"/>
        <w:ind w:right="100" w:firstLine="1952"/>
        <w:spacing w:after="0" w:line="319" w:lineRule="auto"/>
        <w:tabs>
          <w:tab w:leader="none" w:pos="263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With respect to amounts credited to the Income Fund pursuant to an Eligible Comcast Employee’s Initial Elections on account of Compensation earned in 2014, the highest of the sum of the amounts described in (i), (ii) and (iii) below as of the last day of any calendar quarter beginning after December 31, 2008 and before October 1, 2013:</w:t>
      </w:r>
    </w:p>
    <w:p>
      <w:pPr>
        <w:spacing w:after="0" w:line="127" w:lineRule="exact"/>
        <w:rPr>
          <w:rFonts w:ascii="Arial" w:cs="Arial" w:eastAsia="Arial" w:hAnsi="Arial"/>
          <w:sz w:val="19"/>
          <w:szCs w:val="19"/>
          <w:color w:val="auto"/>
        </w:rPr>
      </w:pPr>
    </w:p>
    <w:p>
      <w:pPr>
        <w:ind w:left="2980" w:hanging="380"/>
        <w:spacing w:after="0"/>
        <w:tabs>
          <w:tab w:leader="none" w:pos="2980" w:val="left"/>
        </w:tabs>
        <w:numPr>
          <w:ilvl w:val="1"/>
          <w:numId w:val="64"/>
        </w:numPr>
        <w:rPr>
          <w:rFonts w:ascii="Arial" w:cs="Arial" w:eastAsia="Arial" w:hAnsi="Arial"/>
          <w:sz w:val="19"/>
          <w:szCs w:val="19"/>
          <w:color w:val="auto"/>
        </w:rPr>
      </w:pPr>
      <w:r>
        <w:rPr>
          <w:rFonts w:ascii="Arial" w:cs="Arial" w:eastAsia="Arial" w:hAnsi="Arial"/>
          <w:sz w:val="19"/>
          <w:szCs w:val="19"/>
          <w:color w:val="auto"/>
        </w:rPr>
        <w:t>An Eligible Comcast Employee’s Account to the extent such Account is credited to the Income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Fund; plus</w:t>
      </w:r>
    </w:p>
    <w:p>
      <w:pPr>
        <w:spacing w:after="0" w:line="215" w:lineRule="exact"/>
        <w:rPr>
          <w:rFonts w:ascii="Arial" w:cs="Arial" w:eastAsia="Arial" w:hAnsi="Arial"/>
          <w:sz w:val="19"/>
          <w:szCs w:val="19"/>
          <w:color w:val="auto"/>
        </w:rPr>
      </w:pPr>
    </w:p>
    <w:p>
      <w:pPr>
        <w:ind w:left="3040" w:hanging="440"/>
        <w:spacing w:after="0"/>
        <w:tabs>
          <w:tab w:leader="none" w:pos="3040" w:val="left"/>
        </w:tabs>
        <w:numPr>
          <w:ilvl w:val="1"/>
          <w:numId w:val="64"/>
        </w:numPr>
        <w:rPr>
          <w:rFonts w:ascii="Arial" w:cs="Arial" w:eastAsia="Arial" w:hAnsi="Arial"/>
          <w:sz w:val="19"/>
          <w:szCs w:val="19"/>
          <w:color w:val="auto"/>
        </w:rPr>
      </w:pPr>
      <w:r>
        <w:rPr>
          <w:rFonts w:ascii="Arial" w:cs="Arial" w:eastAsia="Arial" w:hAnsi="Arial"/>
          <w:sz w:val="19"/>
          <w:szCs w:val="19"/>
          <w:color w:val="auto"/>
        </w:rPr>
        <w:t>Such Eligible Comcast Employee’s Account in the Prior Plan to the extent such Account 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credited to the Income Fund; plus</w:t>
      </w:r>
    </w:p>
    <w:p>
      <w:pPr>
        <w:spacing w:after="0" w:line="215" w:lineRule="exact"/>
        <w:rPr>
          <w:rFonts w:ascii="Arial" w:cs="Arial" w:eastAsia="Arial" w:hAnsi="Arial"/>
          <w:sz w:val="19"/>
          <w:szCs w:val="19"/>
          <w:color w:val="auto"/>
        </w:rPr>
      </w:pPr>
    </w:p>
    <w:p>
      <w:pPr>
        <w:ind w:right="260" w:firstLine="2600"/>
        <w:spacing w:after="0" w:line="276" w:lineRule="auto"/>
        <w:tabs>
          <w:tab w:leader="none" w:pos="3096" w:val="left"/>
        </w:tabs>
        <w:numPr>
          <w:ilvl w:val="1"/>
          <w:numId w:val="64"/>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160" w:lineRule="exact"/>
        <w:rPr>
          <w:rFonts w:ascii="Arial" w:cs="Arial" w:eastAsia="Arial" w:hAnsi="Arial"/>
          <w:sz w:val="22"/>
          <w:szCs w:val="22"/>
          <w:color w:val="auto"/>
        </w:rPr>
      </w:pPr>
    </w:p>
    <w:p>
      <w:pPr>
        <w:ind w:firstLine="1952"/>
        <w:spacing w:after="0" w:line="293" w:lineRule="auto"/>
        <w:tabs>
          <w:tab w:leader="none" w:pos="2642" w:val="left"/>
        </w:tabs>
        <w:numPr>
          <w:ilvl w:val="0"/>
          <w:numId w:val="64"/>
        </w:numPr>
        <w:rPr>
          <w:rFonts w:ascii="Arial" w:cs="Arial" w:eastAsia="Arial" w:hAnsi="Arial"/>
          <w:sz w:val="19"/>
          <w:szCs w:val="19"/>
          <w:color w:val="auto"/>
        </w:rPr>
      </w:pPr>
      <w:r>
        <w:rPr>
          <w:rFonts w:ascii="Arial" w:cs="Arial" w:eastAsia="Arial" w:hAnsi="Arial"/>
          <w:sz w:val="19"/>
          <w:szCs w:val="19"/>
          <w:color w:val="auto"/>
        </w:rPr>
        <w:t>With respect to amounts credited to the Income Fund pursuant to an Eligible Comcast Employee’s Initial Elections on account of Compensation earned after 2014, the sum of (x) plus (y) where (x) equals the highest of the sum of the amounts described in Section 2.33(a)(i), (ii) and (iii) as of the last day of any calendar quarter beginning after December 31,</w:t>
      </w:r>
    </w:p>
    <w:p>
      <w:pPr>
        <w:spacing w:after="0"/>
        <w:rPr>
          <w:rFonts w:ascii="Arial" w:cs="Arial" w:eastAsia="Arial" w:hAnsi="Arial"/>
          <w:sz w:val="19"/>
          <w:szCs w:val="19"/>
          <w:color w:val="auto"/>
        </w:rPr>
      </w:pPr>
      <w:r>
        <w:rPr>
          <w:rFonts w:ascii="Arial" w:cs="Arial" w:eastAsia="Arial" w:hAnsi="Arial"/>
          <w:sz w:val="22"/>
          <w:szCs w:val="22"/>
          <w:color w:val="auto"/>
        </w:rPr>
        <w:t>2008 and before January 1, 2014, and (y) equals the sum of:</w:t>
      </w:r>
    </w:p>
    <w:p>
      <w:pPr>
        <w:spacing w:after="0" w:line="201" w:lineRule="exact"/>
        <w:rPr>
          <w:rFonts w:ascii="Arial" w:cs="Arial" w:eastAsia="Arial" w:hAnsi="Arial"/>
          <w:sz w:val="19"/>
          <w:szCs w:val="19"/>
          <w:color w:val="auto"/>
        </w:rPr>
      </w:pPr>
    </w:p>
    <w:p>
      <w:pPr>
        <w:ind w:right="240" w:firstLine="2600"/>
        <w:spacing w:after="0" w:line="278" w:lineRule="auto"/>
        <w:tabs>
          <w:tab w:leader="none" w:pos="2976" w:val="left"/>
        </w:tabs>
        <w:numPr>
          <w:ilvl w:val="1"/>
          <w:numId w:val="64"/>
        </w:numPr>
        <w:rPr>
          <w:rFonts w:ascii="Arial" w:cs="Arial" w:eastAsia="Arial" w:hAnsi="Arial"/>
          <w:sz w:val="21"/>
          <w:szCs w:val="21"/>
          <w:color w:val="auto"/>
        </w:rPr>
      </w:pPr>
      <w:r>
        <w:rPr>
          <w:rFonts w:ascii="Arial" w:cs="Arial" w:eastAsia="Arial" w:hAnsi="Arial"/>
          <w:sz w:val="21"/>
          <w:szCs w:val="21"/>
          <w:color w:val="auto"/>
        </w:rPr>
        <w:t>The amount credited to the Income Fund with respect to an Eligible Comcast Employee’s Account pursuant to Section 3.8 after December 31, 2013 and on or before September 30, 2014 that is contractually committed pursuant to an employment agreement entered into on or before December 31, 2013; plus</w:t>
      </w:r>
    </w:p>
    <w:p>
      <w:pPr>
        <w:spacing w:after="0" w:line="159" w:lineRule="exact"/>
        <w:rPr>
          <w:rFonts w:ascii="Arial" w:cs="Arial" w:eastAsia="Arial" w:hAnsi="Arial"/>
          <w:sz w:val="21"/>
          <w:szCs w:val="21"/>
          <w:color w:val="auto"/>
        </w:rPr>
      </w:pPr>
    </w:p>
    <w:p>
      <w:pPr>
        <w:jc w:val="both"/>
        <w:ind w:right="40" w:firstLine="2600"/>
        <w:spacing w:after="0" w:line="259" w:lineRule="auto"/>
        <w:tabs>
          <w:tab w:leader="none" w:pos="3036"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deferred portion of an Eligible Comcast Employee’s cash bonus award earned for 2013 to the extent credited to the Income Fund and payable, but for the Eligible Comcast Employee’s Initial Election, after December 31, 2013 and on or before September 30, 2014; plus</w:t>
      </w:r>
    </w:p>
    <w:p>
      <w:pPr>
        <w:sectPr>
          <w:pgSz w:w="11900" w:h="16838" w:orient="portrait"/>
          <w:cols w:equalWidth="0" w:num="1">
            <w:col w:w="11220"/>
          </w:cols>
          <w:pgMar w:left="320" w:top="348" w:right="359" w:bottom="1440" w:gutter="0" w:footer="0" w:header="0"/>
        </w:sectPr>
      </w:pPr>
    </w:p>
    <w:bookmarkStart w:id="62" w:name="page63"/>
    <w:bookmarkEnd w:id="62"/>
    <w:p>
      <w:pPr>
        <w:ind w:firstLine="2600"/>
        <w:spacing w:after="0" w:line="319" w:lineRule="auto"/>
        <w:tabs>
          <w:tab w:leader="none" w:pos="3096"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amount credited to the Eligible Comcast Employee’s “Income Fund” under the Restricted Stock Plan pursuant to a “Diversification Election” made by an Eligible Comcast Employee before January 1, 2014 with respect to restricted stock units that vest under the Restricted Stock Plan after December 31, 2013 and on or before September 30, 2014.</w:t>
      </w:r>
    </w:p>
    <w:p>
      <w:pPr>
        <w:spacing w:after="0" w:line="128" w:lineRule="exact"/>
        <w:rPr>
          <w:sz w:val="20"/>
          <w:szCs w:val="20"/>
          <w:color w:val="auto"/>
        </w:rPr>
      </w:pPr>
    </w:p>
    <w:p>
      <w:pPr>
        <w:ind w:right="240" w:firstLine="1296"/>
        <w:spacing w:after="0" w:line="278" w:lineRule="auto"/>
        <w:rPr>
          <w:sz w:val="20"/>
          <w:szCs w:val="20"/>
          <w:color w:val="auto"/>
        </w:rPr>
      </w:pPr>
      <w:r>
        <w:rPr>
          <w:rFonts w:ascii="Arial" w:cs="Arial" w:eastAsia="Arial" w:hAnsi="Arial"/>
          <w:sz w:val="21"/>
          <w:szCs w:val="21"/>
          <w:color w:val="auto"/>
        </w:rPr>
        <w:t>2.34. “</w:t>
      </w:r>
      <w:r>
        <w:rPr>
          <w:rFonts w:ascii="Arial" w:cs="Arial" w:eastAsia="Arial" w:hAnsi="Arial"/>
          <w:sz w:val="21"/>
          <w:szCs w:val="21"/>
          <w:u w:val="single" w:color="auto"/>
          <w:color w:val="auto"/>
        </w:rPr>
        <w:t>Inactive Participant</w:t>
      </w:r>
      <w:r>
        <w:rPr>
          <w:rFonts w:ascii="Arial" w:cs="Arial" w:eastAsia="Arial" w:hAnsi="Arial"/>
          <w:sz w:val="21"/>
          <w:szCs w:val="21"/>
          <w:color w:val="auto"/>
        </w:rPr>
        <w:t>” means each Participant (other than an Outside Director or Section 16 Officer described in Section 3.5(a), Retired Participant, Deceased Participant or Disabled Participant) who is not in active service as an Outside Director or Director Emeritus and is not actively employed by a Participating Company.</w:t>
      </w:r>
    </w:p>
    <w:p>
      <w:pPr>
        <w:spacing w:after="0" w:line="160" w:lineRule="exact"/>
        <w:rPr>
          <w:sz w:val="20"/>
          <w:szCs w:val="20"/>
          <w:color w:val="auto"/>
        </w:rPr>
      </w:pPr>
    </w:p>
    <w:p>
      <w:pPr>
        <w:ind w:right="100" w:firstLine="1296"/>
        <w:spacing w:after="0" w:line="294" w:lineRule="auto"/>
        <w:rPr>
          <w:sz w:val="20"/>
          <w:szCs w:val="20"/>
          <w:color w:val="auto"/>
        </w:rPr>
      </w:pPr>
      <w:r>
        <w:rPr>
          <w:rFonts w:ascii="Arial" w:cs="Arial" w:eastAsia="Arial" w:hAnsi="Arial"/>
          <w:sz w:val="19"/>
          <w:szCs w:val="19"/>
          <w:color w:val="auto"/>
        </w:rPr>
        <w:t>2.35. “</w:t>
      </w:r>
      <w:r>
        <w:rPr>
          <w:rFonts w:ascii="Arial" w:cs="Arial" w:eastAsia="Arial" w:hAnsi="Arial"/>
          <w:sz w:val="19"/>
          <w:szCs w:val="19"/>
          <w:u w:val="single" w:color="auto"/>
          <w:color w:val="auto"/>
        </w:rPr>
        <w:t>Income Fund</w:t>
      </w:r>
      <w:r>
        <w:rPr>
          <w:rFonts w:ascii="Arial" w:cs="Arial" w:eastAsia="Arial" w:hAnsi="Arial"/>
          <w:sz w:val="19"/>
          <w:szCs w:val="19"/>
          <w:color w:val="auto"/>
        </w:rPr>
        <w:t>” means a hypothetical investment fund pursuant to which income, gains and losses are credited to a Participant’s Account as if the Account, to the extent deemed invested in the Income Fund, were credited with interest at the Applicable Interest Rate. The “</w:t>
      </w:r>
      <w:r>
        <w:rPr>
          <w:rFonts w:ascii="Arial" w:cs="Arial" w:eastAsia="Arial" w:hAnsi="Arial"/>
          <w:sz w:val="19"/>
          <w:szCs w:val="19"/>
          <w:u w:val="single" w:color="auto"/>
          <w:color w:val="auto"/>
        </w:rPr>
        <w:t>9% Fund</w:t>
      </w:r>
      <w:r>
        <w:rPr>
          <w:rFonts w:ascii="Arial" w:cs="Arial" w:eastAsia="Arial" w:hAnsi="Arial"/>
          <w:sz w:val="19"/>
          <w:szCs w:val="19"/>
          <w:color w:val="auto"/>
        </w:rPr>
        <w:t>” means that portion of the Income Fund with respect to which the Applicable Interest Rate is 9%. The “</w:t>
      </w:r>
      <w:r>
        <w:rPr>
          <w:rFonts w:ascii="Arial" w:cs="Arial" w:eastAsia="Arial" w:hAnsi="Arial"/>
          <w:sz w:val="19"/>
          <w:szCs w:val="19"/>
          <w:u w:val="single" w:color="auto"/>
          <w:color w:val="auto"/>
        </w:rPr>
        <w:t>12% Fund</w:t>
      </w:r>
      <w:r>
        <w:rPr>
          <w:rFonts w:ascii="Arial" w:cs="Arial" w:eastAsia="Arial" w:hAnsi="Arial"/>
          <w:sz w:val="19"/>
          <w:szCs w:val="19"/>
          <w:color w:val="auto"/>
        </w:rPr>
        <w:t>” means that portion of the Income Fund with respect to which the Applicable Interest Rate is 12%. The “</w:t>
      </w:r>
      <w:r>
        <w:rPr>
          <w:rFonts w:ascii="Arial" w:cs="Arial" w:eastAsia="Arial" w:hAnsi="Arial"/>
          <w:sz w:val="19"/>
          <w:szCs w:val="19"/>
          <w:u w:val="single" w:color="auto"/>
          <w:color w:val="auto"/>
        </w:rPr>
        <w:t>Prime Plus One Fund</w:t>
      </w:r>
      <w:r>
        <w:rPr>
          <w:rFonts w:ascii="Arial" w:cs="Arial" w:eastAsia="Arial" w:hAnsi="Arial"/>
          <w:sz w:val="19"/>
          <w:szCs w:val="19"/>
          <w:color w:val="auto"/>
        </w:rPr>
        <w:t>” means that portion of the Income Fund with respect to which the Applicable Interest Rate is described in Section 2.6(b). For purposes of this Section 2.35, the Income Fund shall include amounts credited to the Income Fund under the Prior Plan and the Restricted Stock Plan.</w:t>
      </w:r>
    </w:p>
    <w:p>
      <w:pPr>
        <w:spacing w:after="0" w:line="151" w:lineRule="exact"/>
        <w:rPr>
          <w:sz w:val="20"/>
          <w:szCs w:val="20"/>
          <w:color w:val="auto"/>
        </w:rPr>
      </w:pPr>
    </w:p>
    <w:p>
      <w:pPr>
        <w:ind w:right="60" w:firstLine="1296"/>
        <w:spacing w:after="0" w:line="297" w:lineRule="auto"/>
        <w:rPr>
          <w:sz w:val="20"/>
          <w:szCs w:val="20"/>
          <w:color w:val="auto"/>
        </w:rPr>
      </w:pPr>
      <w:r>
        <w:rPr>
          <w:rFonts w:ascii="Arial" w:cs="Arial" w:eastAsia="Arial" w:hAnsi="Arial"/>
          <w:sz w:val="19"/>
          <w:szCs w:val="19"/>
          <w:color w:val="auto"/>
        </w:rPr>
        <w:t>2.36. “</w:t>
      </w:r>
      <w:r>
        <w:rPr>
          <w:rFonts w:ascii="Arial" w:cs="Arial" w:eastAsia="Arial" w:hAnsi="Arial"/>
          <w:sz w:val="19"/>
          <w:szCs w:val="19"/>
          <w:u w:val="single" w:color="auto"/>
          <w:color w:val="auto"/>
        </w:rPr>
        <w:t>Income Fund Limit</w:t>
      </w:r>
      <w:r>
        <w:rPr>
          <w:rFonts w:ascii="Arial" w:cs="Arial" w:eastAsia="Arial" w:hAnsi="Arial"/>
          <w:sz w:val="19"/>
          <w:szCs w:val="19"/>
          <w:color w:val="auto"/>
        </w:rPr>
        <w:t>” means $100 million, provided that if the amount credited to a Participant’s Income Fund is greater than $100 million as of December 31, 2019, the Income Fund Limit applicable to such Participant for any applicable Plan Year shall be equal to the amount credited to a Participant’s Income Fund as of the December 31 immediately preceding such applicable Plan Year until such balance is equal to or less than $100 million. The Administrator may waive or modify the Income Fund Limit applicable to one or more High Balance Participants in its discretion. For purposes of this Section 2.36, the Income Fund shall include amounts credited to the Income Fund under the Prior Plan and the Restricted Stock Plan.</w:t>
      </w:r>
    </w:p>
    <w:p>
      <w:pPr>
        <w:spacing w:after="0" w:line="14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Initial Election</w:t>
      </w:r>
      <w:r>
        <w:rPr>
          <w:rFonts w:ascii="Arial" w:cs="Arial" w:eastAsia="Arial" w:hAnsi="Arial"/>
          <w:sz w:val="21"/>
          <w:szCs w:val="21"/>
          <w:color w:val="auto"/>
        </w:rPr>
        <w:t>.”</w:t>
      </w:r>
    </w:p>
    <w:p>
      <w:pPr>
        <w:spacing w:after="0" w:line="233" w:lineRule="exact"/>
        <w:rPr>
          <w:sz w:val="20"/>
          <w:szCs w:val="20"/>
          <w:color w:val="auto"/>
        </w:rPr>
      </w:pPr>
    </w:p>
    <w:p>
      <w:pPr>
        <w:ind w:right="160" w:firstLine="1952"/>
        <w:spacing w:after="0" w:line="278" w:lineRule="auto"/>
        <w:tabs>
          <w:tab w:leader="none" w:pos="2634"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Outside Directors and Directors Emeriti</w:t>
      </w:r>
      <w:r>
        <w:rPr>
          <w:rFonts w:ascii="Arial" w:cs="Arial" w:eastAsia="Arial" w:hAnsi="Arial"/>
          <w:sz w:val="21"/>
          <w:szCs w:val="21"/>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159" w:lineRule="exact"/>
        <w:rPr>
          <w:rFonts w:ascii="Arial" w:cs="Arial" w:eastAsia="Arial" w:hAnsi="Arial"/>
          <w:sz w:val="21"/>
          <w:szCs w:val="21"/>
          <w:color w:val="auto"/>
        </w:rPr>
      </w:pPr>
    </w:p>
    <w:p>
      <w:pPr>
        <w:jc w:val="both"/>
        <w:ind w:right="220" w:firstLine="2600"/>
        <w:spacing w:after="0" w:line="259" w:lineRule="auto"/>
        <w:tabs>
          <w:tab w:leader="none" w:pos="2976" w:val="left"/>
        </w:tabs>
        <w:numPr>
          <w:ilvl w:val="1"/>
          <w:numId w:val="66"/>
        </w:numPr>
        <w:rPr>
          <w:rFonts w:ascii="Arial" w:cs="Arial" w:eastAsia="Arial" w:hAnsi="Arial"/>
          <w:sz w:val="22"/>
          <w:szCs w:val="22"/>
          <w:color w:val="auto"/>
        </w:rPr>
      </w:pPr>
      <w:r>
        <w:rPr>
          <w:rFonts w:ascii="Arial" w:cs="Arial" w:eastAsia="Arial" w:hAnsi="Arial"/>
          <w:sz w:val="22"/>
          <w:szCs w:val="22"/>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pacing w:after="0" w:line="180" w:lineRule="exact"/>
        <w:rPr>
          <w:rFonts w:ascii="Arial" w:cs="Arial" w:eastAsia="Arial" w:hAnsi="Arial"/>
          <w:sz w:val="22"/>
          <w:szCs w:val="22"/>
          <w:color w:val="auto"/>
        </w:rPr>
      </w:pPr>
    </w:p>
    <w:p>
      <w:pPr>
        <w:ind w:left="3040" w:hanging="440"/>
        <w:spacing w:after="0"/>
        <w:tabs>
          <w:tab w:leader="none" w:pos="3040" w:val="left"/>
        </w:tabs>
        <w:numPr>
          <w:ilvl w:val="1"/>
          <w:numId w:val="66"/>
        </w:numPr>
        <w:rPr>
          <w:rFonts w:ascii="Arial" w:cs="Arial" w:eastAsia="Arial" w:hAnsi="Arial"/>
          <w:sz w:val="19"/>
          <w:szCs w:val="19"/>
          <w:color w:val="auto"/>
        </w:rPr>
      </w:pPr>
      <w:r>
        <w:rPr>
          <w:rFonts w:ascii="Arial" w:cs="Arial" w:eastAsia="Arial" w:hAnsi="Arial"/>
          <w:sz w:val="19"/>
          <w:szCs w:val="19"/>
          <w:color w:val="auto"/>
        </w:rPr>
        <w:t>Designate the time of payment of the amount of deferred Compensation to which the Initial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Election relates.</w:t>
      </w:r>
    </w:p>
    <w:p>
      <w:pPr>
        <w:sectPr>
          <w:pgSz w:w="11900" w:h="16838" w:orient="portrait"/>
          <w:cols w:equalWidth="0" w:num="1">
            <w:col w:w="11240"/>
          </w:cols>
          <w:pgMar w:left="320" w:top="348" w:right="339" w:bottom="1440" w:gutter="0" w:footer="0" w:header="0"/>
        </w:sectPr>
      </w:pPr>
    </w:p>
    <w:bookmarkStart w:id="63" w:name="page64"/>
    <w:bookmarkEnd w:id="63"/>
    <w:p>
      <w:pPr>
        <w:ind w:right="160" w:firstLine="1952"/>
        <w:spacing w:after="0" w:line="358" w:lineRule="auto"/>
        <w:tabs>
          <w:tab w:leader="none" w:pos="264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Eligible Employees</w:t>
      </w:r>
      <w:r>
        <w:rPr>
          <w:rFonts w:ascii="Arial" w:cs="Arial" w:eastAsia="Arial" w:hAnsi="Arial"/>
          <w:sz w:val="19"/>
          <w:szCs w:val="19"/>
          <w:color w:val="auto"/>
        </w:rPr>
        <w:t>. The term “Initial Election” means one or more written elections provided by the Administrator and filed with the Administrator in accordance with Article 3 pursuant to which an Eligible Employee may:</w:t>
      </w:r>
    </w:p>
    <w:p>
      <w:pPr>
        <w:spacing w:after="0" w:line="90" w:lineRule="exact"/>
        <w:rPr>
          <w:rFonts w:ascii="Arial" w:cs="Arial" w:eastAsia="Arial" w:hAnsi="Arial"/>
          <w:sz w:val="19"/>
          <w:szCs w:val="19"/>
          <w:color w:val="auto"/>
        </w:rPr>
      </w:pPr>
    </w:p>
    <w:p>
      <w:pPr>
        <w:ind w:firstLine="2600"/>
        <w:spacing w:after="0" w:line="301" w:lineRule="auto"/>
        <w:tabs>
          <w:tab w:leader="none" w:pos="2976" w:val="left"/>
        </w:tabs>
        <w:numPr>
          <w:ilvl w:val="1"/>
          <w:numId w:val="67"/>
        </w:numPr>
        <w:rPr>
          <w:rFonts w:ascii="Arial" w:cs="Arial" w:eastAsia="Arial" w:hAnsi="Arial"/>
          <w:sz w:val="21"/>
          <w:szCs w:val="21"/>
          <w:color w:val="auto"/>
        </w:rPr>
      </w:pPr>
      <w:r>
        <w:rPr>
          <w:rFonts w:ascii="Arial" w:cs="Arial" w:eastAsia="Arial" w:hAnsi="Arial"/>
          <w:sz w:val="21"/>
          <w:szCs w:val="21"/>
          <w:color w:val="auto"/>
        </w:rPr>
        <w:t>Subject to the limitations described in Section 2.37(b)(iii), elect to defer Compensation payable for the performance of services as an Eligible Employee following the time that such election is filed; and</w:t>
      </w:r>
    </w:p>
    <w:p>
      <w:pPr>
        <w:spacing w:after="0" w:line="136" w:lineRule="exact"/>
        <w:rPr>
          <w:rFonts w:ascii="Arial" w:cs="Arial" w:eastAsia="Arial" w:hAnsi="Arial"/>
          <w:sz w:val="21"/>
          <w:szCs w:val="21"/>
          <w:color w:val="auto"/>
        </w:rPr>
      </w:pPr>
    </w:p>
    <w:p>
      <w:pPr>
        <w:ind w:left="3040" w:hanging="440"/>
        <w:spacing w:after="0"/>
        <w:tabs>
          <w:tab w:leader="none" w:pos="3040" w:val="left"/>
        </w:tabs>
        <w:numPr>
          <w:ilvl w:val="1"/>
          <w:numId w:val="67"/>
        </w:numPr>
        <w:rPr>
          <w:rFonts w:ascii="Arial" w:cs="Arial" w:eastAsia="Arial" w:hAnsi="Arial"/>
          <w:sz w:val="19"/>
          <w:szCs w:val="19"/>
          <w:color w:val="auto"/>
        </w:rPr>
      </w:pPr>
      <w:r>
        <w:rPr>
          <w:rFonts w:ascii="Arial" w:cs="Arial" w:eastAsia="Arial" w:hAnsi="Arial"/>
          <w:sz w:val="19"/>
          <w:szCs w:val="19"/>
          <w:color w:val="auto"/>
        </w:rPr>
        <w:t>Designate the time of payment of the amount of deferred Compensation to which the Initial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Election relates.</w:t>
      </w:r>
    </w:p>
    <w:p>
      <w:pPr>
        <w:spacing w:after="0" w:line="215" w:lineRule="exact"/>
        <w:rPr>
          <w:rFonts w:ascii="Arial" w:cs="Arial" w:eastAsia="Arial" w:hAnsi="Arial"/>
          <w:sz w:val="19"/>
          <w:szCs w:val="19"/>
          <w:color w:val="auto"/>
        </w:rPr>
      </w:pPr>
    </w:p>
    <w:p>
      <w:pPr>
        <w:ind w:left="3100" w:hanging="500"/>
        <w:spacing w:after="0"/>
        <w:tabs>
          <w:tab w:leader="none" w:pos="3100"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following rules shall apply to Initial Elections:</w:t>
      </w:r>
    </w:p>
    <w:p>
      <w:pPr>
        <w:spacing w:after="0" w:line="233" w:lineRule="exact"/>
        <w:rPr>
          <w:rFonts w:ascii="Arial" w:cs="Arial" w:eastAsia="Arial" w:hAnsi="Arial"/>
          <w:sz w:val="22"/>
          <w:szCs w:val="22"/>
          <w:color w:val="auto"/>
        </w:rPr>
      </w:pPr>
    </w:p>
    <w:p>
      <w:pPr>
        <w:ind w:left="4380" w:hanging="484"/>
        <w:spacing w:after="0"/>
        <w:tabs>
          <w:tab w:leader="none" w:pos="4380" w:val="left"/>
        </w:tabs>
        <w:numPr>
          <w:ilvl w:val="2"/>
          <w:numId w:val="67"/>
        </w:numPr>
        <w:rPr>
          <w:rFonts w:ascii="Arial" w:cs="Arial" w:eastAsia="Arial" w:hAnsi="Arial"/>
          <w:sz w:val="19"/>
          <w:szCs w:val="19"/>
          <w:color w:val="auto"/>
        </w:rPr>
      </w:pPr>
      <w:r>
        <w:rPr>
          <w:rFonts w:ascii="Arial" w:cs="Arial" w:eastAsia="Arial" w:hAnsi="Arial"/>
          <w:sz w:val="19"/>
          <w:szCs w:val="19"/>
          <w:color w:val="auto"/>
        </w:rPr>
        <w:t>Subject to the limits on deferrals of Compensation described in Section 2.37(b)</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(iii)(B) and Section 2.37(b)(iii)(C):</w:t>
      </w:r>
    </w:p>
    <w:p>
      <w:pPr>
        <w:spacing w:after="0" w:line="215" w:lineRule="exact"/>
        <w:rPr>
          <w:rFonts w:ascii="Arial" w:cs="Arial" w:eastAsia="Arial" w:hAnsi="Arial"/>
          <w:sz w:val="19"/>
          <w:szCs w:val="19"/>
          <w:color w:val="auto"/>
        </w:rPr>
      </w:pPr>
    </w:p>
    <w:p>
      <w:pPr>
        <w:ind w:left="4980" w:hanging="436"/>
        <w:spacing w:after="0"/>
        <w:tabs>
          <w:tab w:leader="none" w:pos="4980" w:val="left"/>
        </w:tabs>
        <w:numPr>
          <w:ilvl w:val="3"/>
          <w:numId w:val="67"/>
        </w:numPr>
        <w:rPr>
          <w:rFonts w:ascii="Arial" w:cs="Arial" w:eastAsia="Arial" w:hAnsi="Arial"/>
          <w:sz w:val="21"/>
          <w:szCs w:val="21"/>
          <w:color w:val="auto"/>
        </w:rPr>
      </w:pPr>
      <w:r>
        <w:rPr>
          <w:rFonts w:ascii="Arial" w:cs="Arial" w:eastAsia="Arial" w:hAnsi="Arial"/>
          <w:sz w:val="21"/>
          <w:szCs w:val="21"/>
          <w:color w:val="auto"/>
        </w:rPr>
        <w:t>the maximum amount of base salary available for deferral shall be</w:t>
      </w:r>
    </w:p>
    <w:p>
      <w:pPr>
        <w:spacing w:after="0" w:line="32" w:lineRule="exact"/>
        <w:rPr>
          <w:rFonts w:ascii="Arial" w:cs="Arial" w:eastAsia="Arial" w:hAnsi="Arial"/>
          <w:sz w:val="21"/>
          <w:szCs w:val="21"/>
          <w:color w:val="auto"/>
        </w:rPr>
      </w:pPr>
    </w:p>
    <w:p>
      <w:pPr>
        <w:ind w:right="140"/>
        <w:spacing w:after="0" w:line="259" w:lineRule="auto"/>
        <w:rPr>
          <w:rFonts w:ascii="Arial" w:cs="Arial" w:eastAsia="Arial" w:hAnsi="Arial"/>
          <w:sz w:val="21"/>
          <w:szCs w:val="21"/>
          <w:color w:val="auto"/>
        </w:rPr>
      </w:pPr>
      <w:r>
        <w:rPr>
          <w:rFonts w:ascii="Arial" w:cs="Arial" w:eastAsia="Arial" w:hAnsi="Arial"/>
          <w:sz w:val="22"/>
          <w:szCs w:val="22"/>
          <w:color w:val="auto"/>
        </w:rPr>
        <w:t>determined net of required withholdings and deductions as determined by the Administrator in its sole discretion, but shall in no event be less than 85% of the Participant’s base salary and</w:t>
      </w:r>
    </w:p>
    <w:p>
      <w:pPr>
        <w:spacing w:after="0" w:line="178" w:lineRule="exact"/>
        <w:rPr>
          <w:rFonts w:ascii="Arial" w:cs="Arial" w:eastAsia="Arial" w:hAnsi="Arial"/>
          <w:sz w:val="21"/>
          <w:szCs w:val="21"/>
          <w:color w:val="auto"/>
        </w:rPr>
      </w:pPr>
    </w:p>
    <w:p>
      <w:pPr>
        <w:ind w:left="4980" w:hanging="436"/>
        <w:spacing w:after="0"/>
        <w:tabs>
          <w:tab w:leader="none" w:pos="4980" w:val="left"/>
        </w:tabs>
        <w:numPr>
          <w:ilvl w:val="3"/>
          <w:numId w:val="67"/>
        </w:numPr>
        <w:rPr>
          <w:rFonts w:ascii="Arial" w:cs="Arial" w:eastAsia="Arial" w:hAnsi="Arial"/>
          <w:sz w:val="22"/>
          <w:szCs w:val="22"/>
          <w:color w:val="auto"/>
        </w:rPr>
      </w:pPr>
      <w:r>
        <w:rPr>
          <w:rFonts w:ascii="Arial" w:cs="Arial" w:eastAsia="Arial" w:hAnsi="Arial"/>
          <w:sz w:val="22"/>
          <w:szCs w:val="22"/>
          <w:color w:val="auto"/>
        </w:rPr>
        <w:t>the maximum amount of a Signing Bonus available for deferral</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pursuant to an Initial Election shall not exceed 50%.</w:t>
      </w:r>
    </w:p>
    <w:p>
      <w:pPr>
        <w:spacing w:after="0" w:line="215" w:lineRule="exact"/>
        <w:rPr>
          <w:rFonts w:ascii="Arial" w:cs="Arial" w:eastAsia="Arial" w:hAnsi="Arial"/>
          <w:sz w:val="22"/>
          <w:szCs w:val="22"/>
          <w:color w:val="auto"/>
        </w:rPr>
      </w:pPr>
    </w:p>
    <w:p>
      <w:pPr>
        <w:ind w:left="4360" w:hanging="464"/>
        <w:spacing w:after="0"/>
        <w:tabs>
          <w:tab w:leader="none" w:pos="4360" w:val="left"/>
        </w:tabs>
        <w:numPr>
          <w:ilvl w:val="2"/>
          <w:numId w:val="67"/>
        </w:numPr>
        <w:rPr>
          <w:rFonts w:ascii="Arial" w:cs="Arial" w:eastAsia="Arial" w:hAnsi="Arial"/>
          <w:sz w:val="19"/>
          <w:szCs w:val="19"/>
          <w:color w:val="auto"/>
        </w:rPr>
      </w:pPr>
      <w:r>
        <w:rPr>
          <w:rFonts w:ascii="Arial" w:cs="Arial" w:eastAsia="Arial" w:hAnsi="Arial"/>
          <w:sz w:val="19"/>
          <w:szCs w:val="19"/>
          <w:color w:val="auto"/>
        </w:rPr>
        <w:t>The maximum amount subject to Initial Elections for any Plan Year shall not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exceed 35% of Total Compensation.</w:t>
      </w:r>
    </w:p>
    <w:p>
      <w:pPr>
        <w:spacing w:after="0" w:line="215" w:lineRule="exact"/>
        <w:rPr>
          <w:rFonts w:ascii="Arial" w:cs="Arial" w:eastAsia="Arial" w:hAnsi="Arial"/>
          <w:sz w:val="19"/>
          <w:szCs w:val="19"/>
          <w:color w:val="auto"/>
        </w:rPr>
      </w:pPr>
    </w:p>
    <w:p>
      <w:pPr>
        <w:jc w:val="both"/>
        <w:ind w:firstLine="3896"/>
        <w:spacing w:after="0" w:line="269" w:lineRule="auto"/>
        <w:tabs>
          <w:tab w:leader="none" w:pos="4356" w:val="left"/>
        </w:tabs>
        <w:numPr>
          <w:ilvl w:val="2"/>
          <w:numId w:val="67"/>
        </w:numPr>
        <w:rPr>
          <w:rFonts w:ascii="Arial" w:cs="Arial" w:eastAsia="Arial" w:hAnsi="Arial"/>
          <w:sz w:val="21"/>
          <w:szCs w:val="21"/>
          <w:color w:val="auto"/>
        </w:rPr>
      </w:pPr>
      <w:r>
        <w:rPr>
          <w:rFonts w:ascii="Arial" w:cs="Arial" w:eastAsia="Arial" w:hAnsi="Arial"/>
          <w:sz w:val="21"/>
          <w:szCs w:val="21"/>
          <w:color w:val="auto"/>
        </w:rPr>
        <w:t>No Initial Election with respect to Compensation expected to be earned in a Plan Year shall be effective if the sum of (x) the value of the Eligible Employee’s Account in the Plan, plus (y) the value of the Eligible Employee’s Account in the Prior Plan, plus (z) the value of the Eligible Employee’s Account in the Restricted Stock Plan to the extent such Account is credited to the “Income Fund” thereunder, exceeds the Contribution Limit with respect to such Plan Year, determined as of September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immediately preceding such Plan Year.</w:t>
      </w:r>
    </w:p>
    <w:p>
      <w:pPr>
        <w:spacing w:after="0" w:line="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19"/>
          <w:szCs w:val="19"/>
          <w:color w:val="auto"/>
        </w:rPr>
        <w:t>[RESERVED]</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NBCUniversal</w:t>
      </w:r>
      <w:r>
        <w:rPr>
          <w:rFonts w:ascii="Arial" w:cs="Arial" w:eastAsia="Arial" w:hAnsi="Arial"/>
          <w:sz w:val="19"/>
          <w:szCs w:val="19"/>
          <w:color w:val="auto"/>
        </w:rPr>
        <w:t>” means NBCUniversal, LLC and its subsidiaries.</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New Key Employee</w:t>
      </w:r>
      <w:r>
        <w:rPr>
          <w:rFonts w:ascii="Arial" w:cs="Arial" w:eastAsia="Arial" w:hAnsi="Arial"/>
          <w:sz w:val="19"/>
          <w:szCs w:val="19"/>
          <w:color w:val="auto"/>
        </w:rPr>
        <w:t>” means:</w:t>
      </w:r>
    </w:p>
    <w:p>
      <w:pPr>
        <w:spacing w:after="0" w:line="233" w:lineRule="exact"/>
        <w:rPr>
          <w:sz w:val="20"/>
          <w:szCs w:val="20"/>
          <w:color w:val="auto"/>
        </w:rPr>
      </w:pPr>
    </w:p>
    <w:p>
      <w:pPr>
        <w:ind w:left="2640" w:hanging="688"/>
        <w:spacing w:after="0"/>
        <w:tabs>
          <w:tab w:leader="none" w:pos="264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Employees of Comcast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520" w:firstLine="2600"/>
        <w:spacing w:after="0" w:line="259" w:lineRule="auto"/>
        <w:tabs>
          <w:tab w:leader="none" w:pos="2976" w:val="left"/>
        </w:tabs>
        <w:numPr>
          <w:ilvl w:val="1"/>
          <w:numId w:val="68"/>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 and except as provided in Section 2.37(d), each employee of a Participating Company other than NBCUniversal and Comcast Spectacor:</w:t>
      </w:r>
    </w:p>
    <w:p>
      <w:pPr>
        <w:sectPr>
          <w:pgSz w:w="11900" w:h="16838" w:orient="portrait"/>
          <w:cols w:equalWidth="0" w:num="1">
            <w:col w:w="11220"/>
          </w:cols>
          <w:pgMar w:left="320" w:top="348" w:right="359" w:bottom="1440" w:gutter="0" w:footer="0" w:header="0"/>
        </w:sectPr>
      </w:pPr>
    </w:p>
    <w:bookmarkStart w:id="64" w:name="page65"/>
    <w:bookmarkEnd w:id="64"/>
    <w:p>
      <w:pPr>
        <w:ind w:left="4380" w:hanging="484"/>
        <w:spacing w:after="0"/>
        <w:tabs>
          <w:tab w:leader="none" w:pos="4380" w:val="left"/>
        </w:tabs>
        <w:numPr>
          <w:ilvl w:val="3"/>
          <w:numId w:val="69"/>
        </w:numPr>
        <w:rPr>
          <w:rFonts w:ascii="Arial" w:cs="Arial" w:eastAsia="Arial" w:hAnsi="Arial"/>
          <w:sz w:val="19"/>
          <w:szCs w:val="19"/>
          <w:color w:val="auto"/>
        </w:rPr>
      </w:pPr>
      <w:r>
        <w:rPr>
          <w:rFonts w:ascii="Arial" w:cs="Arial" w:eastAsia="Arial" w:hAnsi="Arial"/>
          <w:sz w:val="19"/>
          <w:szCs w:val="19"/>
          <w:color w:val="auto"/>
        </w:rPr>
        <w:t>who (x) becomes an employee of a Participating Company and (y) has 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Annual Rate of Pay of $250,000 or more as of his employment commencement date, or</w:t>
      </w:r>
    </w:p>
    <w:p>
      <w:pPr>
        <w:spacing w:after="0" w:line="215" w:lineRule="exact"/>
        <w:rPr>
          <w:rFonts w:ascii="Arial" w:cs="Arial" w:eastAsia="Arial" w:hAnsi="Arial"/>
          <w:sz w:val="19"/>
          <w:szCs w:val="19"/>
          <w:color w:val="auto"/>
        </w:rPr>
      </w:pPr>
    </w:p>
    <w:p>
      <w:pPr>
        <w:ind w:left="4360" w:hanging="464"/>
        <w:spacing w:after="0"/>
        <w:tabs>
          <w:tab w:leader="none" w:pos="4360" w:val="left"/>
        </w:tabs>
        <w:numPr>
          <w:ilvl w:val="3"/>
          <w:numId w:val="69"/>
        </w:numPr>
        <w:rPr>
          <w:rFonts w:ascii="Arial" w:cs="Arial" w:eastAsia="Arial" w:hAnsi="Arial"/>
          <w:sz w:val="19"/>
          <w:szCs w:val="19"/>
          <w:color w:val="auto"/>
        </w:rPr>
      </w:pPr>
      <w:r>
        <w:rPr>
          <w:rFonts w:ascii="Arial" w:cs="Arial" w:eastAsia="Arial" w:hAnsi="Arial"/>
          <w:sz w:val="19"/>
          <w:szCs w:val="19"/>
          <w:color w:val="auto"/>
        </w:rPr>
        <w:t>who (x) has an Annual Rate of Pay that is increased to $250,000 or more and</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immediately preceding such increase, was not an Eligible Employee.</w:t>
      </w:r>
    </w:p>
    <w:p>
      <w:pPr>
        <w:spacing w:after="0" w:line="215" w:lineRule="exact"/>
        <w:rPr>
          <w:rFonts w:ascii="Arial" w:cs="Arial" w:eastAsia="Arial" w:hAnsi="Arial"/>
          <w:sz w:val="22"/>
          <w:szCs w:val="22"/>
          <w:color w:val="auto"/>
        </w:rPr>
      </w:pPr>
    </w:p>
    <w:p>
      <w:pPr>
        <w:ind w:left="3040" w:hanging="440"/>
        <w:spacing w:after="0"/>
        <w:tabs>
          <w:tab w:leader="none" w:pos="3040" w:val="left"/>
        </w:tabs>
        <w:numPr>
          <w:ilvl w:val="2"/>
          <w:numId w:val="70"/>
        </w:numPr>
        <w:rPr>
          <w:rFonts w:ascii="Arial" w:cs="Arial" w:eastAsia="Arial" w:hAnsi="Arial"/>
          <w:sz w:val="19"/>
          <w:szCs w:val="19"/>
          <w:color w:val="auto"/>
        </w:rPr>
      </w:pPr>
      <w:r>
        <w:rPr>
          <w:rFonts w:ascii="Arial" w:cs="Arial" w:eastAsia="Arial" w:hAnsi="Arial"/>
          <w:sz w:val="19"/>
          <w:szCs w:val="19"/>
          <w:color w:val="auto"/>
        </w:rPr>
        <w:t>Effective on and after January 1, 2019, and except as provided in Section 2.40(d), each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employee of a Participating Company other than NBCUniversal and Comcast Spectacor:</w:t>
      </w:r>
    </w:p>
    <w:p>
      <w:pPr>
        <w:spacing w:after="0" w:line="215" w:lineRule="exact"/>
        <w:rPr>
          <w:rFonts w:ascii="Arial" w:cs="Arial" w:eastAsia="Arial" w:hAnsi="Arial"/>
          <w:sz w:val="19"/>
          <w:szCs w:val="19"/>
          <w:color w:val="auto"/>
        </w:rPr>
      </w:pPr>
    </w:p>
    <w:p>
      <w:pPr>
        <w:ind w:left="4380" w:hanging="484"/>
        <w:spacing w:after="0"/>
        <w:tabs>
          <w:tab w:leader="none" w:pos="4380" w:val="left"/>
        </w:tabs>
        <w:numPr>
          <w:ilvl w:val="3"/>
          <w:numId w:val="70"/>
        </w:numPr>
        <w:rPr>
          <w:rFonts w:ascii="Arial" w:cs="Arial" w:eastAsia="Arial" w:hAnsi="Arial"/>
          <w:sz w:val="19"/>
          <w:szCs w:val="19"/>
          <w:color w:val="auto"/>
        </w:rPr>
      </w:pPr>
      <w:r>
        <w:rPr>
          <w:rFonts w:ascii="Arial" w:cs="Arial" w:eastAsia="Arial" w:hAnsi="Arial"/>
          <w:sz w:val="19"/>
          <w:szCs w:val="19"/>
          <w:color w:val="auto"/>
        </w:rPr>
        <w:t>who (x) becomes an employee of a Participating Company and (y) has 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Annual Rate of Pay of $350,000 or more as of his employment commencement date, or</w:t>
      </w:r>
    </w:p>
    <w:p>
      <w:pPr>
        <w:spacing w:after="0" w:line="215" w:lineRule="exact"/>
        <w:rPr>
          <w:rFonts w:ascii="Arial" w:cs="Arial" w:eastAsia="Arial" w:hAnsi="Arial"/>
          <w:sz w:val="19"/>
          <w:szCs w:val="19"/>
          <w:color w:val="auto"/>
        </w:rPr>
      </w:pPr>
    </w:p>
    <w:p>
      <w:pPr>
        <w:ind w:left="4360" w:hanging="464"/>
        <w:spacing w:after="0"/>
        <w:tabs>
          <w:tab w:leader="none" w:pos="4360" w:val="left"/>
        </w:tabs>
        <w:numPr>
          <w:ilvl w:val="3"/>
          <w:numId w:val="70"/>
        </w:numPr>
        <w:rPr>
          <w:rFonts w:ascii="Arial" w:cs="Arial" w:eastAsia="Arial" w:hAnsi="Arial"/>
          <w:sz w:val="19"/>
          <w:szCs w:val="19"/>
          <w:color w:val="auto"/>
        </w:rPr>
      </w:pPr>
      <w:r>
        <w:rPr>
          <w:rFonts w:ascii="Arial" w:cs="Arial" w:eastAsia="Arial" w:hAnsi="Arial"/>
          <w:sz w:val="19"/>
          <w:szCs w:val="19"/>
          <w:color w:val="auto"/>
        </w:rPr>
        <w:t>who (x) has an Annual Rate of Pay that is increased to $350,000 or more and</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immediately preceding such increase, was not an Eligible Employee.</w:t>
      </w:r>
    </w:p>
    <w:p>
      <w:pPr>
        <w:spacing w:after="0" w:line="215" w:lineRule="exact"/>
        <w:rPr>
          <w:rFonts w:ascii="Arial" w:cs="Arial" w:eastAsia="Arial" w:hAnsi="Arial"/>
          <w:sz w:val="22"/>
          <w:szCs w:val="22"/>
          <w:color w:val="auto"/>
        </w:rPr>
      </w:pPr>
    </w:p>
    <w:p>
      <w:pPr>
        <w:ind w:left="2660" w:hanging="708"/>
        <w:spacing w:after="0"/>
        <w:tabs>
          <w:tab w:leader="none" w:pos="2660"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Employees of NBCUniversal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0" w:firstLine="2600"/>
        <w:spacing w:after="0" w:line="307" w:lineRule="auto"/>
        <w:tabs>
          <w:tab w:leader="none" w:pos="2976" w:val="left"/>
        </w:tabs>
        <w:numPr>
          <w:ilvl w:val="2"/>
          <w:numId w:val="71"/>
        </w:numPr>
        <w:rPr>
          <w:rFonts w:ascii="Arial" w:cs="Arial" w:eastAsia="Arial" w:hAnsi="Arial"/>
          <w:sz w:val="19"/>
          <w:szCs w:val="19"/>
          <w:color w:val="auto"/>
        </w:rPr>
      </w:pPr>
      <w:r>
        <w:rPr>
          <w:rFonts w:ascii="Arial" w:cs="Arial" w:eastAsia="Arial" w:hAnsi="Arial"/>
          <w:sz w:val="19"/>
          <w:szCs w:val="19"/>
          <w:color w:val="auto"/>
        </w:rPr>
        <w:t>Effective for the period extending from January 1, 2013 through December 31, 2018, and except as provided in Section 2.39(d), each employee of NBCUniversal who (x) first becomes a member of the NBCUniversal Executive Committee, Management Committee or Operating Committee, and approved by the Administrator during a Plan Year and (y) immediately preceding the effective date of such membership, was not an Eligible Employee.</w:t>
      </w:r>
    </w:p>
    <w:p>
      <w:pPr>
        <w:spacing w:after="0" w:line="138" w:lineRule="exact"/>
        <w:rPr>
          <w:sz w:val="20"/>
          <w:szCs w:val="20"/>
          <w:color w:val="auto"/>
        </w:rPr>
      </w:pPr>
    </w:p>
    <w:p>
      <w:pPr>
        <w:ind w:firstLine="2600"/>
        <w:spacing w:after="0" w:line="254" w:lineRule="auto"/>
        <w:tabs>
          <w:tab w:leader="none" w:pos="3036" w:val="left"/>
        </w:tabs>
        <w:numPr>
          <w:ilvl w:val="1"/>
          <w:numId w:val="72"/>
        </w:numPr>
        <w:rPr>
          <w:rFonts w:ascii="Arial" w:cs="Arial" w:eastAsia="Arial" w:hAnsi="Arial"/>
          <w:sz w:val="22"/>
          <w:szCs w:val="22"/>
          <w:color w:val="auto"/>
        </w:rPr>
      </w:pPr>
      <w:r>
        <w:rPr>
          <w:rFonts w:ascii="Arial" w:cs="Arial" w:eastAsia="Arial" w:hAnsi="Arial"/>
          <w:sz w:val="22"/>
          <w:szCs w:val="22"/>
          <w:color w:val="auto"/>
        </w:rPr>
        <w:t>Effective on and after January 1, 2019, and except as provided in Section 2.39(d), each employee of NBCUniversal who (x) first becomes a member of the NBCUniversal Executive Committee or the NBCUniversal Management Committee and approved by the Administrator during a Plan Year and (y) immediately preceding the effective date of such membership, was not an Eligible Employee.</w:t>
      </w:r>
    </w:p>
    <w:p>
      <w:pPr>
        <w:spacing w:after="0" w:line="184" w:lineRule="exact"/>
        <w:rPr>
          <w:rFonts w:ascii="Arial" w:cs="Arial" w:eastAsia="Arial" w:hAnsi="Arial"/>
          <w:sz w:val="22"/>
          <w:szCs w:val="22"/>
          <w:color w:val="auto"/>
        </w:rPr>
      </w:pPr>
    </w:p>
    <w:p>
      <w:pPr>
        <w:ind w:left="2640" w:hanging="688"/>
        <w:spacing w:after="0"/>
        <w:tabs>
          <w:tab w:leader="none" w:pos="26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Effective on and after May 20, 2014, and except as provided in Section 2.40(d), each employee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Comcast Spectacor:</w:t>
      </w:r>
    </w:p>
    <w:p>
      <w:pPr>
        <w:spacing w:after="0" w:line="215" w:lineRule="exact"/>
        <w:rPr>
          <w:rFonts w:ascii="Arial" w:cs="Arial" w:eastAsia="Arial" w:hAnsi="Arial"/>
          <w:sz w:val="19"/>
          <w:szCs w:val="19"/>
          <w:color w:val="auto"/>
        </w:rPr>
      </w:pPr>
    </w:p>
    <w:p>
      <w:pPr>
        <w:ind w:left="2980" w:hanging="380"/>
        <w:spacing w:after="0"/>
        <w:tabs>
          <w:tab w:leader="none" w:pos="2980" w:val="left"/>
        </w:tabs>
        <w:numPr>
          <w:ilvl w:val="1"/>
          <w:numId w:val="73"/>
        </w:numPr>
        <w:rPr>
          <w:rFonts w:ascii="Arial" w:cs="Arial" w:eastAsia="Arial" w:hAnsi="Arial"/>
          <w:sz w:val="21"/>
          <w:szCs w:val="21"/>
          <w:color w:val="auto"/>
        </w:rPr>
      </w:pPr>
      <w:r>
        <w:rPr>
          <w:rFonts w:ascii="Arial" w:cs="Arial" w:eastAsia="Arial" w:hAnsi="Arial"/>
          <w:sz w:val="21"/>
          <w:szCs w:val="21"/>
          <w:color w:val="auto"/>
        </w:rPr>
        <w:t>who (x) becomes an employee of Comcast Spectacor, (y) has an Annual Rate of Pay of</w:t>
      </w:r>
    </w:p>
    <w:p>
      <w:pPr>
        <w:spacing w:after="0" w:line="33" w:lineRule="exact"/>
        <w:rPr>
          <w:sz w:val="20"/>
          <w:szCs w:val="20"/>
          <w:color w:val="auto"/>
        </w:rPr>
      </w:pPr>
    </w:p>
    <w:p>
      <w:pPr>
        <w:ind w:right="140"/>
        <w:spacing w:after="0" w:line="259" w:lineRule="auto"/>
        <w:rPr>
          <w:sz w:val="20"/>
          <w:szCs w:val="20"/>
          <w:color w:val="auto"/>
        </w:rPr>
      </w:pPr>
      <w:r>
        <w:rPr>
          <w:rFonts w:ascii="Arial" w:cs="Arial" w:eastAsia="Arial" w:hAnsi="Arial"/>
          <w:sz w:val="22"/>
          <w:szCs w:val="22"/>
          <w:color w:val="auto"/>
        </w:rPr>
        <w:t>$350,000 or more as of his employment commencement date and (z) is designated as an Eligible Comcast Spectacor Employee by the Administrator or its delegate, or</w:t>
      </w:r>
    </w:p>
    <w:p>
      <w:pPr>
        <w:spacing w:after="0" w:line="179" w:lineRule="exact"/>
        <w:rPr>
          <w:sz w:val="20"/>
          <w:szCs w:val="20"/>
          <w:color w:val="auto"/>
        </w:rPr>
      </w:pPr>
    </w:p>
    <w:p>
      <w:pPr>
        <w:jc w:val="both"/>
        <w:ind w:right="20" w:firstLine="2600"/>
        <w:spacing w:after="0" w:line="259" w:lineRule="auto"/>
        <w:tabs>
          <w:tab w:leader="none" w:pos="3036" w:val="left"/>
        </w:tabs>
        <w:numPr>
          <w:ilvl w:val="0"/>
          <w:numId w:val="74"/>
        </w:numPr>
        <w:rPr>
          <w:rFonts w:ascii="Arial" w:cs="Arial" w:eastAsia="Arial" w:hAnsi="Arial"/>
          <w:sz w:val="22"/>
          <w:szCs w:val="22"/>
          <w:color w:val="auto"/>
        </w:rPr>
      </w:pPr>
      <w:r>
        <w:rPr>
          <w:rFonts w:ascii="Arial" w:cs="Arial" w:eastAsia="Arial" w:hAnsi="Arial"/>
          <w:sz w:val="22"/>
          <w:szCs w:val="22"/>
          <w:color w:val="auto"/>
        </w:rPr>
        <w:t>who (x) is designated as an Eligible Comcast Spectacor Employee by the Administrator or its delegate, (y) has an Annual Rate of Pay that is increased to $350,000 or more and (z) immediately preceding such increase, was not an Eligible Employee.</w:t>
      </w:r>
    </w:p>
    <w:p>
      <w:pPr>
        <w:sectPr>
          <w:pgSz w:w="11900" w:h="16838" w:orient="portrait"/>
          <w:cols w:equalWidth="0" w:num="1">
            <w:col w:w="11140"/>
          </w:cols>
          <w:pgMar w:left="320" w:top="348" w:right="439" w:bottom="1440" w:gutter="0" w:footer="0" w:header="0"/>
        </w:sectPr>
      </w:pPr>
    </w:p>
    <w:bookmarkStart w:id="65" w:name="page66"/>
    <w:bookmarkEnd w:id="65"/>
    <w:p>
      <w:pPr>
        <w:ind w:right="20" w:firstLine="1952"/>
        <w:spacing w:after="0" w:line="276" w:lineRule="auto"/>
        <w:tabs>
          <w:tab w:leader="none" w:pos="2646" w:val="left"/>
        </w:tabs>
        <w:numPr>
          <w:ilvl w:val="1"/>
          <w:numId w:val="75"/>
        </w:numPr>
        <w:rPr>
          <w:rFonts w:ascii="Arial" w:cs="Arial" w:eastAsia="Arial" w:hAnsi="Arial"/>
          <w:sz w:val="22"/>
          <w:szCs w:val="22"/>
          <w:color w:val="auto"/>
        </w:rPr>
      </w:pPr>
      <w:r>
        <w:rPr>
          <w:rFonts w:ascii="Arial" w:cs="Arial" w:eastAsia="Arial" w:hAnsi="Arial"/>
          <w:sz w:val="22"/>
          <w:szCs w:val="22"/>
          <w:color w:val="auto"/>
        </w:rPr>
        <w:t>Notwithstanding Section 2.40(a), (b), or (c) to the contrary, no employee shall be treated as a New Key Employee with respect to any Plan Year under this Section 2.40 if:</w:t>
      </w:r>
    </w:p>
    <w:p>
      <w:pPr>
        <w:spacing w:after="0" w:line="160" w:lineRule="exact"/>
        <w:rPr>
          <w:rFonts w:ascii="Arial" w:cs="Arial" w:eastAsia="Arial" w:hAnsi="Arial"/>
          <w:sz w:val="22"/>
          <w:szCs w:val="22"/>
          <w:color w:val="auto"/>
        </w:rPr>
      </w:pPr>
    </w:p>
    <w:p>
      <w:pPr>
        <w:ind w:right="20" w:firstLine="2600"/>
        <w:spacing w:after="0" w:line="299" w:lineRule="auto"/>
        <w:tabs>
          <w:tab w:leader="none" w:pos="2976" w:val="left"/>
        </w:tabs>
        <w:numPr>
          <w:ilvl w:val="2"/>
          <w:numId w:val="75"/>
        </w:numPr>
        <w:rPr>
          <w:rFonts w:ascii="Arial" w:cs="Arial" w:eastAsia="Arial" w:hAnsi="Arial"/>
          <w:sz w:val="19"/>
          <w:szCs w:val="19"/>
          <w:color w:val="auto"/>
        </w:rPr>
      </w:pPr>
      <w:r>
        <w:rPr>
          <w:rFonts w:ascii="Arial" w:cs="Arial" w:eastAsia="Arial" w:hAnsi="Arial"/>
          <w:sz w:val="19"/>
          <w:szCs w:val="19"/>
          <w:color w:val="auto"/>
        </w:rPr>
        <w:t>Such employee was eligible to participate in another plan sponsored by the Company or an Affiliate of the Company which is considered to be of a similar type as defined in Treasury Regulation Section 1.409A-1(c)(2)(i)</w:t>
      </w:r>
    </w:p>
    <w:p>
      <w:pPr>
        <w:ind w:left="360" w:hanging="352"/>
        <w:spacing w:after="0"/>
        <w:tabs>
          <w:tab w:leader="none" w:pos="3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or (B) with respect to such Plan Year; or</w:t>
      </w:r>
    </w:p>
    <w:p>
      <w:pPr>
        <w:spacing w:after="0" w:line="201" w:lineRule="exact"/>
        <w:rPr>
          <w:rFonts w:ascii="Arial" w:cs="Arial" w:eastAsia="Arial" w:hAnsi="Arial"/>
          <w:sz w:val="22"/>
          <w:szCs w:val="22"/>
          <w:color w:val="auto"/>
        </w:rPr>
      </w:pPr>
    </w:p>
    <w:p>
      <w:pPr>
        <w:ind w:right="120" w:firstLine="2600"/>
        <w:spacing w:after="0" w:line="278" w:lineRule="auto"/>
        <w:tabs>
          <w:tab w:leader="none" w:pos="3036" w:val="left"/>
        </w:tabs>
        <w:numPr>
          <w:ilvl w:val="2"/>
          <w:numId w:val="76"/>
        </w:numPr>
        <w:rPr>
          <w:rFonts w:ascii="Arial" w:cs="Arial" w:eastAsia="Arial" w:hAnsi="Arial"/>
          <w:sz w:val="21"/>
          <w:szCs w:val="21"/>
          <w:color w:val="auto"/>
        </w:rPr>
      </w:pPr>
      <w:r>
        <w:rPr>
          <w:rFonts w:ascii="Arial" w:cs="Arial" w:eastAsia="Arial" w:hAnsi="Arial"/>
          <w:sz w:val="21"/>
          <w:szCs w:val="21"/>
          <w:color w:val="auto"/>
        </w:rPr>
        <w:t>Such employee has been eligible to participate in the Plan or any other plan referenced in Section 2.40(d)(i) (other than with respect to the accrual of earnings) at any time during the 24-month period ending on the date such employee would, but for this Section 2.40(d), otherwise become a New Key Employee.</w:t>
      </w:r>
    </w:p>
    <w:p>
      <w:pPr>
        <w:spacing w:after="0" w:line="16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Normal Retirement</w:t>
      </w:r>
      <w:r>
        <w:rPr>
          <w:rFonts w:ascii="Arial" w:cs="Arial" w:eastAsia="Arial" w:hAnsi="Arial"/>
          <w:sz w:val="19"/>
          <w:szCs w:val="19"/>
          <w:color w:val="auto"/>
        </w:rPr>
        <w:t>” means:</w:t>
      </w:r>
    </w:p>
    <w:p>
      <w:pPr>
        <w:spacing w:after="0" w:line="233" w:lineRule="exact"/>
        <w:rPr>
          <w:sz w:val="20"/>
          <w:szCs w:val="20"/>
          <w:color w:val="auto"/>
        </w:rPr>
      </w:pPr>
    </w:p>
    <w:p>
      <w:pPr>
        <w:ind w:right="180" w:firstLine="1952"/>
        <w:spacing w:after="0" w:line="259" w:lineRule="auto"/>
        <w:tabs>
          <w:tab w:leader="none" w:pos="2364" w:val="left"/>
        </w:tabs>
        <w:numPr>
          <w:ilvl w:val="0"/>
          <w:numId w:val="77"/>
        </w:numPr>
        <w:rPr>
          <w:rFonts w:ascii="Arial" w:cs="Arial" w:eastAsia="Arial" w:hAnsi="Arial"/>
          <w:sz w:val="22"/>
          <w:szCs w:val="22"/>
          <w:color w:val="auto"/>
        </w:rPr>
      </w:pPr>
      <w:r>
        <w:rPr>
          <w:rFonts w:ascii="Arial" w:cs="Arial" w:eastAsia="Arial" w:hAnsi="Arial"/>
          <w:sz w:val="22"/>
          <w:szCs w:val="22"/>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0" w:lineRule="exact"/>
        <w:rPr>
          <w:rFonts w:ascii="Arial" w:cs="Arial" w:eastAsia="Arial" w:hAnsi="Arial"/>
          <w:sz w:val="22"/>
          <w:szCs w:val="22"/>
          <w:color w:val="auto"/>
        </w:rPr>
      </w:pPr>
    </w:p>
    <w:p>
      <w:pPr>
        <w:ind w:right="760" w:firstLine="1952"/>
        <w:spacing w:after="0" w:line="276" w:lineRule="auto"/>
        <w:tabs>
          <w:tab w:leader="none" w:pos="2376" w:val="left"/>
        </w:tabs>
        <w:numPr>
          <w:ilvl w:val="0"/>
          <w:numId w:val="77"/>
        </w:numPr>
        <w:rPr>
          <w:rFonts w:ascii="Arial" w:cs="Arial" w:eastAsia="Arial" w:hAnsi="Arial"/>
          <w:sz w:val="22"/>
          <w:szCs w:val="22"/>
          <w:color w:val="auto"/>
        </w:rPr>
      </w:pPr>
      <w:r>
        <w:rPr>
          <w:rFonts w:ascii="Arial" w:cs="Arial" w:eastAsia="Arial" w:hAnsi="Arial"/>
          <w:sz w:val="22"/>
          <w:szCs w:val="22"/>
          <w:color w:val="auto"/>
        </w:rPr>
        <w:t>For a Participant who is an Outside Director or Director Emeritus immediately preceding his termination of service, the Participant’s normal retirement from the Board.</w:t>
      </w:r>
    </w:p>
    <w:p>
      <w:pPr>
        <w:spacing w:after="0" w:line="161" w:lineRule="exact"/>
        <w:rPr>
          <w:sz w:val="20"/>
          <w:szCs w:val="20"/>
          <w:color w:val="auto"/>
        </w:rPr>
      </w:pPr>
    </w:p>
    <w:p>
      <w:pPr>
        <w:ind w:firstLine="1296"/>
        <w:spacing w:after="0" w:line="249" w:lineRule="auto"/>
        <w:rPr>
          <w:sz w:val="20"/>
          <w:szCs w:val="20"/>
          <w:color w:val="auto"/>
        </w:rPr>
      </w:pPr>
      <w:r>
        <w:rPr>
          <w:rFonts w:ascii="Arial" w:cs="Arial" w:eastAsia="Arial" w:hAnsi="Arial"/>
          <w:sz w:val="22"/>
          <w:szCs w:val="22"/>
          <w:color w:val="auto"/>
        </w:rPr>
        <w:t>2.42. “</w:t>
      </w:r>
      <w:r>
        <w:rPr>
          <w:rFonts w:ascii="Arial" w:cs="Arial" w:eastAsia="Arial" w:hAnsi="Arial"/>
          <w:sz w:val="22"/>
          <w:szCs w:val="22"/>
          <w:u w:val="single" w:color="auto"/>
          <w:color w:val="auto"/>
        </w:rPr>
        <w:t>Other Investment Fund</w:t>
      </w:r>
      <w:r>
        <w:rPr>
          <w:rFonts w:ascii="Arial" w:cs="Arial" w:eastAsia="Arial" w:hAnsi="Arial"/>
          <w:sz w:val="22"/>
          <w:szCs w:val="22"/>
          <w:color w:val="auto"/>
        </w:rPr>
        <w:t>” means the Company Stock Fund and such other hypothetical investment funds designated by the Administrator, pursuant to which income, gains, and losses are credited to a Participant’s Account as if the Account, to the extent deemed invested in such Other Investment Fund, were credited with income, gains, and losses as if actually invested in such Other Investment Fund. Unless otherwise specified by the Administrator, the Participant shall designate the Other Investment Funds in which the Participant’s Account shall be invested in accordance with rules established by the Administrator.</w:t>
      </w:r>
    </w:p>
    <w:p>
      <w:pPr>
        <w:spacing w:after="0" w:line="19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Outside Director</w:t>
      </w:r>
      <w:r>
        <w:rPr>
          <w:rFonts w:ascii="Arial" w:cs="Arial" w:eastAsia="Arial" w:hAnsi="Arial"/>
          <w:sz w:val="19"/>
          <w:szCs w:val="19"/>
          <w:color w:val="auto"/>
        </w:rPr>
        <w:t>” means a member of the Board who is not an Eligible Employee of a Participating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ind w:right="300" w:firstLine="1296"/>
        <w:spacing w:after="0" w:line="319" w:lineRule="auto"/>
        <w:rPr>
          <w:sz w:val="20"/>
          <w:szCs w:val="20"/>
          <w:color w:val="auto"/>
        </w:rPr>
      </w:pPr>
      <w:r>
        <w:rPr>
          <w:rFonts w:ascii="Arial" w:cs="Arial" w:eastAsia="Arial" w:hAnsi="Arial"/>
          <w:sz w:val="19"/>
          <w:szCs w:val="19"/>
          <w:color w:val="auto"/>
        </w:rPr>
        <w:t>2.44. “</w:t>
      </w:r>
      <w:r>
        <w:rPr>
          <w:rFonts w:ascii="Arial" w:cs="Arial" w:eastAsia="Arial" w:hAnsi="Arial"/>
          <w:sz w:val="19"/>
          <w:szCs w:val="19"/>
          <w:u w:val="single" w:color="auto"/>
          <w:color w:val="auto"/>
        </w:rPr>
        <w:t>Participant</w:t>
      </w:r>
      <w:r>
        <w:rPr>
          <w:rFonts w:ascii="Arial" w:cs="Arial" w:eastAsia="Arial" w:hAnsi="Arial"/>
          <w:sz w:val="19"/>
          <w:szCs w:val="19"/>
          <w:color w:val="auto"/>
        </w:rPr>
        <w:t>” means each individual who has made an Initial Election, or for whom an Account is established pursuant to Section 5.1, and who has an undistributed amount credited to an Account under the Plan, including an Active Participant, a Deceased Participant, a Retired Participant, a Disabled Participant, and an Inactive Participant.</w:t>
      </w:r>
    </w:p>
    <w:p>
      <w:pPr>
        <w:spacing w:after="0" w:line="128" w:lineRule="exact"/>
        <w:rPr>
          <w:sz w:val="20"/>
          <w:szCs w:val="20"/>
          <w:color w:val="auto"/>
        </w:rPr>
      </w:pPr>
    </w:p>
    <w:p>
      <w:pPr>
        <w:ind w:right="120" w:firstLine="1296"/>
        <w:spacing w:after="0" w:line="319" w:lineRule="auto"/>
        <w:rPr>
          <w:sz w:val="20"/>
          <w:szCs w:val="20"/>
          <w:color w:val="auto"/>
        </w:rPr>
      </w:pPr>
      <w:r>
        <w:rPr>
          <w:rFonts w:ascii="Arial" w:cs="Arial" w:eastAsia="Arial" w:hAnsi="Arial"/>
          <w:sz w:val="19"/>
          <w:szCs w:val="19"/>
          <w:color w:val="auto"/>
        </w:rPr>
        <w:t>2.45. “</w:t>
      </w:r>
      <w:r>
        <w:rPr>
          <w:rFonts w:ascii="Arial" w:cs="Arial" w:eastAsia="Arial" w:hAnsi="Arial"/>
          <w:sz w:val="19"/>
          <w:szCs w:val="19"/>
          <w:u w:val="single" w:color="auto"/>
          <w:color w:val="auto"/>
        </w:rPr>
        <w:t>Participating Company</w:t>
      </w:r>
      <w:r>
        <w:rPr>
          <w:rFonts w:ascii="Arial" w:cs="Arial" w:eastAsia="Arial" w:hAnsi="Arial"/>
          <w:sz w:val="19"/>
          <w:szCs w:val="19"/>
          <w:color w:val="auto"/>
        </w:rPr>
        <w:t>” means the Company and each Affiliate of the Company in which the Company owns, directly or indirectly, 50 percent or more of the voting interests or value, other than such an affiliate designated by the Administrator as an excluded Affiliate. Notwithstanding the foregoing, the Administrator may delegate its authority to</w:t>
      </w:r>
    </w:p>
    <w:p>
      <w:pPr>
        <w:sectPr>
          <w:pgSz w:w="11900" w:h="16838" w:orient="portrait"/>
          <w:cols w:equalWidth="0" w:num="1">
            <w:col w:w="11160"/>
          </w:cols>
          <w:pgMar w:left="320" w:top="348" w:right="419" w:bottom="1440" w:gutter="0" w:footer="0" w:header="0"/>
        </w:sectPr>
      </w:pPr>
    </w:p>
    <w:bookmarkStart w:id="66" w:name="page67"/>
    <w:bookmarkEnd w:id="66"/>
    <w:p>
      <w:pPr>
        <w:ind w:right="140"/>
        <w:spacing w:after="0" w:line="263" w:lineRule="auto"/>
        <w:rPr>
          <w:sz w:val="20"/>
          <w:szCs w:val="20"/>
          <w:color w:val="auto"/>
        </w:rPr>
      </w:pPr>
      <w:r>
        <w:rPr>
          <w:rFonts w:ascii="Arial" w:cs="Arial" w:eastAsia="Arial" w:hAnsi="Arial"/>
          <w:sz w:val="22"/>
          <w:szCs w:val="22"/>
          <w:color w:val="auto"/>
        </w:rPr>
        <w:t>designate an eligible Affiliate as an excluded Affiliate under this Section 2.45 to an officer of the Company or committee of two or more officers of the Company.</w:t>
      </w:r>
    </w:p>
    <w:p>
      <w:pPr>
        <w:spacing w:after="0" w:line="17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2.46.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Performance-Based Compensation</w:t>
      </w:r>
      <w:r>
        <w:rPr>
          <w:rFonts w:ascii="Arial" w:cs="Arial" w:eastAsia="Arial" w:hAnsi="Arial"/>
          <w:sz w:val="19"/>
          <w:szCs w:val="19"/>
          <w:color w:val="auto"/>
        </w:rPr>
        <w:t>” means “Performance-Based Compensation” within the meaning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Section 409A.</w:t>
      </w:r>
    </w:p>
    <w:p>
      <w:pPr>
        <w:spacing w:after="0" w:line="215" w:lineRule="exact"/>
        <w:rPr>
          <w:sz w:val="20"/>
          <w:szCs w:val="20"/>
          <w:color w:val="auto"/>
        </w:rPr>
      </w:pPr>
    </w:p>
    <w:p>
      <w:pPr>
        <w:ind w:firstLine="1296"/>
        <w:spacing w:after="0" w:line="254" w:lineRule="auto"/>
        <w:rPr>
          <w:sz w:val="20"/>
          <w:szCs w:val="20"/>
          <w:color w:val="auto"/>
        </w:rPr>
      </w:pPr>
      <w:r>
        <w:rPr>
          <w:rFonts w:ascii="Arial" w:cs="Arial" w:eastAsia="Arial" w:hAnsi="Arial"/>
          <w:sz w:val="22"/>
          <w:szCs w:val="22"/>
          <w:color w:val="auto"/>
        </w:rPr>
        <w:t>2.47. “</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a period of at least 12 months during which a Participant may earn Performance-Based Compensation. Effective for Comcast Spectacor’s fiscal years beginning on and after July 1, 2014, the Performance Period for annual incentive bonuses earned by Eligible Comcast Spectacor Employees shall be Comcast Spectacor’s fiscal year ending June 30.</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2.48.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organization.</w:t>
      </w:r>
    </w:p>
    <w:p>
      <w:pPr>
        <w:spacing w:after="0" w:line="215" w:lineRule="exact"/>
        <w:rPr>
          <w:sz w:val="20"/>
          <w:szCs w:val="20"/>
          <w:color w:val="auto"/>
        </w:rPr>
      </w:pPr>
    </w:p>
    <w:p>
      <w:pPr>
        <w:ind w:right="500" w:firstLine="1296"/>
        <w:spacing w:after="0" w:line="276" w:lineRule="auto"/>
        <w:rPr>
          <w:sz w:val="20"/>
          <w:szCs w:val="20"/>
          <w:color w:val="auto"/>
        </w:rPr>
      </w:pPr>
      <w:r>
        <w:rPr>
          <w:rFonts w:ascii="Arial" w:cs="Arial" w:eastAsia="Arial" w:hAnsi="Arial"/>
          <w:sz w:val="22"/>
          <w:szCs w:val="22"/>
          <w:color w:val="auto"/>
        </w:rPr>
        <w:t>2.49. “</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2005 Deferred Compensation Plan, as set forth herein, and as amended from time to time.</w:t>
      </w:r>
    </w:p>
    <w:p>
      <w:pPr>
        <w:spacing w:after="0" w:line="16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2.50.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 Year</w:t>
      </w:r>
      <w:r>
        <w:rPr>
          <w:rFonts w:ascii="Arial" w:cs="Arial" w:eastAsia="Arial" w:hAnsi="Arial"/>
          <w:sz w:val="19"/>
          <w:szCs w:val="19"/>
          <w:color w:val="auto"/>
        </w:rPr>
        <w:t>” means the calendar year.</w:t>
      </w:r>
    </w:p>
    <w:p>
      <w:pPr>
        <w:spacing w:after="0" w:line="233" w:lineRule="exact"/>
        <w:rPr>
          <w:sz w:val="20"/>
          <w:szCs w:val="20"/>
          <w:color w:val="auto"/>
        </w:rPr>
      </w:pPr>
    </w:p>
    <w:p>
      <w:pPr>
        <w:ind w:right="20" w:firstLine="1296"/>
        <w:spacing w:after="0" w:line="307" w:lineRule="auto"/>
        <w:rPr>
          <w:sz w:val="20"/>
          <w:szCs w:val="20"/>
          <w:color w:val="auto"/>
        </w:rPr>
      </w:pPr>
      <w:r>
        <w:rPr>
          <w:rFonts w:ascii="Arial" w:cs="Arial" w:eastAsia="Arial" w:hAnsi="Arial"/>
          <w:sz w:val="19"/>
          <w:szCs w:val="19"/>
          <w:color w:val="auto"/>
        </w:rPr>
        <w:t>2.51. “</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on the last business day preceding the first day of such calendar year, and as adjusted as of the last business day preceding the first day of each calendar year beginning thereafter.</w:t>
      </w:r>
    </w:p>
    <w:p>
      <w:pPr>
        <w:spacing w:after="0" w:line="13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2.52.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Prior Plan</w:t>
      </w:r>
      <w:r>
        <w:rPr>
          <w:rFonts w:ascii="Arial" w:cs="Arial" w:eastAsia="Arial" w:hAnsi="Arial"/>
          <w:sz w:val="19"/>
          <w:szCs w:val="19"/>
          <w:color w:val="auto"/>
        </w:rPr>
        <w:t>” means the Comcast Corporation 2002 Deferred Compensation Plan.</w:t>
      </w:r>
    </w:p>
    <w:p>
      <w:pPr>
        <w:spacing w:after="0" w:line="233"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Protected Account Balance</w:t>
      </w:r>
      <w:r>
        <w:rPr>
          <w:rFonts w:ascii="Arial" w:cs="Arial" w:eastAsia="Arial" w:hAnsi="Arial"/>
          <w:sz w:val="19"/>
          <w:szCs w:val="19"/>
          <w:color w:val="auto"/>
        </w:rPr>
        <w:t>” means:</w:t>
      </w:r>
    </w:p>
    <w:p>
      <w:pPr>
        <w:spacing w:after="0" w:line="233" w:lineRule="exact"/>
        <w:rPr>
          <w:sz w:val="20"/>
          <w:szCs w:val="20"/>
          <w:color w:val="auto"/>
        </w:rPr>
      </w:pPr>
    </w:p>
    <w:p>
      <w:pPr>
        <w:ind w:right="100" w:firstLine="1952"/>
        <w:spacing w:after="0" w:line="254" w:lineRule="auto"/>
        <w:tabs>
          <w:tab w:leader="none" w:pos="263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amount credited to the Account of an Eligible Comcast Employee, an Outside Director or a Director Emeritus pursuant to Initial Elections and Subsequent Elections with respect to Compensation earned before January 1, 2014 or pursuant to Company Credits described in Section 3.8 that are credited before January 1, 2014, including interest credits attributable to such amount.</w:t>
      </w:r>
    </w:p>
    <w:p>
      <w:pPr>
        <w:spacing w:after="0" w:line="184" w:lineRule="exact"/>
        <w:rPr>
          <w:rFonts w:ascii="Arial" w:cs="Arial" w:eastAsia="Arial" w:hAnsi="Arial"/>
          <w:sz w:val="22"/>
          <w:szCs w:val="22"/>
          <w:color w:val="auto"/>
        </w:rPr>
      </w:pPr>
    </w:p>
    <w:p>
      <w:pPr>
        <w:ind w:right="560" w:firstLine="1952"/>
        <w:spacing w:after="0" w:line="259" w:lineRule="auto"/>
        <w:tabs>
          <w:tab w:leader="none" w:pos="2642"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portion of an Eligible Comcast Employee’s Account attributable to Company Credits described in Section 3.8 that are made pursuant to an employment agreement entered into on or before December 31, 2013, including interest credits attributable to such amount.</w:t>
      </w:r>
    </w:p>
    <w:p>
      <w:pPr>
        <w:spacing w:after="0" w:line="180" w:lineRule="exact"/>
        <w:rPr>
          <w:rFonts w:ascii="Arial" w:cs="Arial" w:eastAsia="Arial" w:hAnsi="Arial"/>
          <w:sz w:val="22"/>
          <w:szCs w:val="22"/>
          <w:color w:val="auto"/>
        </w:rPr>
      </w:pPr>
    </w:p>
    <w:p>
      <w:pPr>
        <w:ind w:right="140" w:firstLine="1952"/>
        <w:spacing w:after="0" w:line="358" w:lineRule="auto"/>
        <w:tabs>
          <w:tab w:leader="none" w:pos="263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amount credited pursuant to Initial Elections with respect to Compensation earned in 2014 or 2015, if, as of the September 30th immediately preceding the Plan Year to which the Initial Election applies, the sum of:</w:t>
      </w:r>
    </w:p>
    <w:p>
      <w:pPr>
        <w:sectPr>
          <w:pgSz w:w="11900" w:h="16838" w:orient="portrait"/>
          <w:cols w:equalWidth="0" w:num="1">
            <w:col w:w="11220"/>
          </w:cols>
          <w:pgMar w:left="320" w:top="348" w:right="359" w:bottom="1440" w:gutter="0" w:footer="0" w:header="0"/>
        </w:sectPr>
      </w:pPr>
    </w:p>
    <w:bookmarkStart w:id="67" w:name="page68"/>
    <w:bookmarkEnd w:id="67"/>
    <w:p>
      <w:pPr>
        <w:ind w:left="2980" w:hanging="380"/>
        <w:spacing w:after="0"/>
        <w:tabs>
          <w:tab w:leader="none" w:pos="29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 Eligible Comcast Employee’s Account; plus</w:t>
      </w:r>
    </w:p>
    <w:p>
      <w:pPr>
        <w:spacing w:after="0" w:line="233" w:lineRule="exact"/>
        <w:rPr>
          <w:rFonts w:ascii="Arial" w:cs="Arial" w:eastAsia="Arial" w:hAnsi="Arial"/>
          <w:sz w:val="22"/>
          <w:szCs w:val="22"/>
          <w:color w:val="auto"/>
        </w:rPr>
      </w:pPr>
    </w:p>
    <w:p>
      <w:pPr>
        <w:ind w:left="3040" w:hanging="440"/>
        <w:spacing w:after="0"/>
        <w:tabs>
          <w:tab w:leader="none" w:pos="30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Such Eligible Comcast Employee’s Account in the Prior Plan; plus</w:t>
      </w:r>
    </w:p>
    <w:p>
      <w:pPr>
        <w:spacing w:after="0" w:line="233" w:lineRule="exact"/>
        <w:rPr>
          <w:rFonts w:ascii="Arial" w:cs="Arial" w:eastAsia="Arial" w:hAnsi="Arial"/>
          <w:sz w:val="22"/>
          <w:szCs w:val="22"/>
          <w:color w:val="auto"/>
        </w:rPr>
      </w:pPr>
    </w:p>
    <w:p>
      <w:pPr>
        <w:ind w:right="260" w:firstLine="2600"/>
        <w:spacing w:after="0" w:line="276" w:lineRule="auto"/>
        <w:tabs>
          <w:tab w:leader="none" w:pos="3096" w:val="left"/>
        </w:tabs>
        <w:numPr>
          <w:ilvl w:val="0"/>
          <w:numId w:val="79"/>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is less than the High-Water Mark.</w:t>
      </w:r>
    </w:p>
    <w:p>
      <w:pPr>
        <w:spacing w:after="0" w:line="220" w:lineRule="exact"/>
        <w:rPr>
          <w:sz w:val="20"/>
          <w:szCs w:val="20"/>
          <w:color w:val="auto"/>
        </w:rPr>
      </w:pPr>
    </w:p>
    <w:p>
      <w:pPr>
        <w:ind w:firstLine="1952"/>
        <w:spacing w:after="0" w:line="246" w:lineRule="auto"/>
        <w:tabs>
          <w:tab w:leader="none" w:pos="2642"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amount credited pursuant to Initial Elections with respect to Compensation earned on and after January 1, 2016 and the amount credited to an Eligible Comcast Employee’s Account attributable to Company Credits described in Section 3.8 after May 20, 2015 (other than Company Credits described in Section 2.53(b)), if, as of the September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immediately preceding the Plan Year in which such amounts are creditable, the sum of:</w:t>
      </w:r>
    </w:p>
    <w:p>
      <w:pPr>
        <w:spacing w:after="0" w:line="194" w:lineRule="exact"/>
        <w:rPr>
          <w:rFonts w:ascii="Arial" w:cs="Arial" w:eastAsia="Arial" w:hAnsi="Arial"/>
          <w:sz w:val="21"/>
          <w:szCs w:val="21"/>
          <w:color w:val="auto"/>
        </w:rPr>
      </w:pPr>
    </w:p>
    <w:p>
      <w:pPr>
        <w:ind w:left="2980" w:hanging="380"/>
        <w:spacing w:after="0"/>
        <w:tabs>
          <w:tab w:leader="none" w:pos="2980" w:val="left"/>
        </w:tabs>
        <w:numPr>
          <w:ilvl w:val="1"/>
          <w:numId w:val="80"/>
        </w:numPr>
        <w:rPr>
          <w:rFonts w:ascii="Arial" w:cs="Arial" w:eastAsia="Arial" w:hAnsi="Arial"/>
          <w:sz w:val="22"/>
          <w:szCs w:val="22"/>
          <w:color w:val="auto"/>
        </w:rPr>
      </w:pPr>
      <w:r>
        <w:rPr>
          <w:rFonts w:ascii="Arial" w:cs="Arial" w:eastAsia="Arial" w:hAnsi="Arial"/>
          <w:sz w:val="22"/>
          <w:szCs w:val="22"/>
          <w:color w:val="auto"/>
        </w:rPr>
        <w:t>An Eligible Comcast Employee’s Account; plus</w:t>
      </w:r>
    </w:p>
    <w:p>
      <w:pPr>
        <w:spacing w:after="0" w:line="233" w:lineRule="exact"/>
        <w:rPr>
          <w:rFonts w:ascii="Arial" w:cs="Arial" w:eastAsia="Arial" w:hAnsi="Arial"/>
          <w:sz w:val="22"/>
          <w:szCs w:val="22"/>
          <w:color w:val="auto"/>
        </w:rPr>
      </w:pPr>
    </w:p>
    <w:p>
      <w:pPr>
        <w:ind w:left="3040" w:hanging="440"/>
        <w:spacing w:after="0"/>
        <w:tabs>
          <w:tab w:leader="none" w:pos="30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Such Eligible Comcast Employee’s Account in the Prior Plan; plus</w:t>
      </w:r>
    </w:p>
    <w:p>
      <w:pPr>
        <w:spacing w:after="0" w:line="233" w:lineRule="exact"/>
        <w:rPr>
          <w:rFonts w:ascii="Arial" w:cs="Arial" w:eastAsia="Arial" w:hAnsi="Arial"/>
          <w:sz w:val="22"/>
          <w:szCs w:val="22"/>
          <w:color w:val="auto"/>
        </w:rPr>
      </w:pPr>
    </w:p>
    <w:p>
      <w:pPr>
        <w:ind w:right="260" w:firstLine="2600"/>
        <w:spacing w:after="0" w:line="276" w:lineRule="auto"/>
        <w:tabs>
          <w:tab w:leader="none" w:pos="3096" w:val="left"/>
        </w:tabs>
        <w:numPr>
          <w:ilvl w:val="1"/>
          <w:numId w:val="80"/>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is less than the High-Water Mark.</w:t>
      </w:r>
    </w:p>
    <w:p>
      <w:pPr>
        <w:spacing w:after="0" w:line="220" w:lineRule="exact"/>
        <w:rPr>
          <w:sz w:val="20"/>
          <w:szCs w:val="20"/>
          <w:color w:val="auto"/>
        </w:rPr>
      </w:pPr>
    </w:p>
    <w:p>
      <w:pPr>
        <w:ind w:right="580" w:firstLine="1952"/>
        <w:spacing w:after="0" w:line="301" w:lineRule="auto"/>
        <w:tabs>
          <w:tab w:leader="none" w:pos="2576"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amount credited pursuant to Subsequent Elections filed after December 31, 2013 that are attributable to any portion of an Eligible Comcast Employee’s Account described in this Section 2.53.</w:t>
      </w:r>
    </w:p>
    <w:p>
      <w:pPr>
        <w:spacing w:after="0" w:line="137"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Notwithstanding Sections 2.53(a), (b), (c), (d) and (e), except as otherwise provided by the Administrator, the Protected Account Balance of an Eligible Comcast Employee who is re-employed by a Participating Company following an employment termination date that occurs after December 31, 2013 shall be zero.</w:t>
      </w:r>
    </w:p>
    <w:p>
      <w:pPr>
        <w:spacing w:after="0" w:line="185"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22"/>
          <w:szCs w:val="22"/>
          <w:color w:val="auto"/>
        </w:rPr>
        <w:t>2.54.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Restricted Stock Plan</w:t>
      </w:r>
      <w:r>
        <w:rPr>
          <w:rFonts w:ascii="Arial" w:cs="Arial" w:eastAsia="Arial" w:hAnsi="Arial"/>
          <w:sz w:val="19"/>
          <w:szCs w:val="19"/>
          <w:color w:val="auto"/>
        </w:rPr>
        <w:t>” means the Comcast Corporation 2002 Restricted Stock Plan (or any successor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1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2.55.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Retired Participant</w:t>
      </w:r>
      <w:r>
        <w:rPr>
          <w:rFonts w:ascii="Arial" w:cs="Arial" w:eastAsia="Arial" w:hAnsi="Arial"/>
          <w:sz w:val="19"/>
          <w:szCs w:val="19"/>
          <w:color w:val="auto"/>
        </w:rPr>
        <w:t>” means a Participant who has terminated service pursuant to a Normal Retirement.</w:t>
      </w:r>
    </w:p>
    <w:p>
      <w:pPr>
        <w:spacing w:after="0" w:line="233" w:lineRule="exact"/>
        <w:rPr>
          <w:sz w:val="20"/>
          <w:szCs w:val="20"/>
          <w:color w:val="auto"/>
        </w:rPr>
      </w:pPr>
    </w:p>
    <w:p>
      <w:pPr>
        <w:ind w:right="260" w:firstLine="1296"/>
        <w:spacing w:after="0" w:line="276" w:lineRule="auto"/>
        <w:rPr>
          <w:sz w:val="20"/>
          <w:szCs w:val="20"/>
          <w:color w:val="auto"/>
        </w:rPr>
      </w:pPr>
      <w:r>
        <w:rPr>
          <w:rFonts w:ascii="Arial" w:cs="Arial" w:eastAsia="Arial" w:hAnsi="Arial"/>
          <w:sz w:val="22"/>
          <w:szCs w:val="22"/>
          <w:color w:val="auto"/>
        </w:rPr>
        <w:t>2.56. “</w:t>
      </w:r>
      <w:r>
        <w:rPr>
          <w:rFonts w:ascii="Arial" w:cs="Arial" w:eastAsia="Arial" w:hAnsi="Arial"/>
          <w:sz w:val="22"/>
          <w:szCs w:val="22"/>
          <w:u w:val="single" w:color="auto"/>
          <w:color w:val="auto"/>
        </w:rPr>
        <w:t>Section 16 Officer</w:t>
      </w:r>
      <w:r>
        <w:rPr>
          <w:rFonts w:ascii="Arial" w:cs="Arial" w:eastAsia="Arial" w:hAnsi="Arial"/>
          <w:sz w:val="22"/>
          <w:szCs w:val="22"/>
          <w:color w:val="auto"/>
        </w:rPr>
        <w:t>” means an “officer” of the Company, as defined pursuant to Rule 16a-1(f) under the Securities Exchange Act of 1934, as amended.</w:t>
      </w:r>
    </w:p>
    <w:p>
      <w:pPr>
        <w:spacing w:after="0" w:line="161" w:lineRule="exact"/>
        <w:rPr>
          <w:sz w:val="20"/>
          <w:szCs w:val="20"/>
          <w:color w:val="auto"/>
        </w:rPr>
      </w:pPr>
    </w:p>
    <w:p>
      <w:pPr>
        <w:ind w:firstLine="1296"/>
        <w:spacing w:after="0" w:line="276" w:lineRule="auto"/>
        <w:rPr>
          <w:sz w:val="20"/>
          <w:szCs w:val="20"/>
          <w:color w:val="auto"/>
        </w:rPr>
      </w:pPr>
      <w:r>
        <w:rPr>
          <w:rFonts w:ascii="Arial" w:cs="Arial" w:eastAsia="Arial" w:hAnsi="Arial"/>
          <w:sz w:val="22"/>
          <w:szCs w:val="22"/>
          <w:color w:val="auto"/>
        </w:rPr>
        <w:t>2.57. “</w:t>
      </w:r>
      <w:r>
        <w:rPr>
          <w:rFonts w:ascii="Arial" w:cs="Arial" w:eastAsia="Arial" w:hAnsi="Arial"/>
          <w:sz w:val="22"/>
          <w:szCs w:val="22"/>
          <w:u w:val="single" w:color="auto"/>
          <w:color w:val="auto"/>
        </w:rPr>
        <w:t>Severance Pay</w:t>
      </w:r>
      <w:r>
        <w:rPr>
          <w:rFonts w:ascii="Arial" w:cs="Arial" w:eastAsia="Arial" w:hAnsi="Arial"/>
          <w:sz w:val="22"/>
          <w:szCs w:val="22"/>
          <w:color w:val="auto"/>
        </w:rPr>
        <w:t>” means any amount that is payable in cash and is identified by a Participating Company as severance pay, or any amount which is payable on</w:t>
      </w:r>
    </w:p>
    <w:p>
      <w:pPr>
        <w:sectPr>
          <w:pgSz w:w="11900" w:h="16838" w:orient="portrait"/>
          <w:cols w:equalWidth="0" w:num="1">
            <w:col w:w="11220"/>
          </w:cols>
          <w:pgMar w:left="320" w:top="348" w:right="359" w:bottom="1440" w:gutter="0" w:footer="0" w:header="0"/>
        </w:sectPr>
      </w:pPr>
    </w:p>
    <w:bookmarkStart w:id="68" w:name="page69"/>
    <w:bookmarkEnd w:id="68"/>
    <w:p>
      <w:pPr>
        <w:ind w:right="180"/>
        <w:spacing w:after="0" w:line="263" w:lineRule="auto"/>
        <w:rPr>
          <w:sz w:val="20"/>
          <w:szCs w:val="20"/>
          <w:color w:val="auto"/>
        </w:rPr>
      </w:pPr>
      <w:r>
        <w:rPr>
          <w:rFonts w:ascii="Arial" w:cs="Arial" w:eastAsia="Arial" w:hAnsi="Arial"/>
          <w:sz w:val="22"/>
          <w:szCs w:val="22"/>
          <w:color w:val="auto"/>
        </w:rPr>
        <w:t>account of periods beginning after the last date on which an employee (or former employee) is required to report for work for a Participating Company.</w:t>
      </w:r>
    </w:p>
    <w:p>
      <w:pPr>
        <w:spacing w:after="0" w:line="175" w:lineRule="exact"/>
        <w:rPr>
          <w:sz w:val="20"/>
          <w:szCs w:val="20"/>
          <w:color w:val="auto"/>
        </w:rPr>
      </w:pPr>
    </w:p>
    <w:p>
      <w:pPr>
        <w:ind w:right="220" w:firstLine="1296"/>
        <w:spacing w:after="0" w:line="278" w:lineRule="auto"/>
        <w:rPr>
          <w:sz w:val="20"/>
          <w:szCs w:val="20"/>
          <w:color w:val="auto"/>
        </w:rPr>
      </w:pPr>
      <w:r>
        <w:rPr>
          <w:rFonts w:ascii="Arial" w:cs="Arial" w:eastAsia="Arial" w:hAnsi="Arial"/>
          <w:sz w:val="21"/>
          <w:szCs w:val="21"/>
          <w:color w:val="auto"/>
        </w:rPr>
        <w:t>2.58. “</w:t>
      </w:r>
      <w:r>
        <w:rPr>
          <w:rFonts w:ascii="Arial" w:cs="Arial" w:eastAsia="Arial" w:hAnsi="Arial"/>
          <w:sz w:val="21"/>
          <w:szCs w:val="21"/>
          <w:u w:val="single" w:color="auto"/>
          <w:color w:val="auto"/>
        </w:rPr>
        <w:t>Signing Bonus</w:t>
      </w:r>
      <w:r>
        <w:rPr>
          <w:rFonts w:ascii="Arial" w:cs="Arial" w:eastAsia="Arial" w:hAnsi="Arial"/>
          <w:sz w:val="21"/>
          <w:szCs w:val="21"/>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60" w:lineRule="exact"/>
        <w:rPr>
          <w:sz w:val="20"/>
          <w:szCs w:val="20"/>
          <w:color w:val="auto"/>
        </w:rPr>
      </w:pPr>
    </w:p>
    <w:p>
      <w:pPr>
        <w:ind w:firstLine="1296"/>
        <w:spacing w:after="0" w:line="254" w:lineRule="auto"/>
        <w:rPr>
          <w:sz w:val="20"/>
          <w:szCs w:val="20"/>
          <w:color w:val="auto"/>
        </w:rPr>
      </w:pPr>
      <w:r>
        <w:rPr>
          <w:rFonts w:ascii="Arial" w:cs="Arial" w:eastAsia="Arial" w:hAnsi="Arial"/>
          <w:sz w:val="22"/>
          <w:szCs w:val="22"/>
          <w:color w:val="auto"/>
        </w:rPr>
        <w:t>2.59. “</w:t>
      </w:r>
      <w:r>
        <w:rPr>
          <w:rFonts w:ascii="Arial" w:cs="Arial" w:eastAsia="Arial" w:hAnsi="Arial"/>
          <w:sz w:val="22"/>
          <w:szCs w:val="22"/>
          <w:u w:val="single" w:color="auto"/>
          <w:color w:val="auto"/>
        </w:rPr>
        <w:t>Subsequent Election</w:t>
      </w:r>
      <w:r>
        <w:rPr>
          <w:rFonts w:ascii="Arial" w:cs="Arial" w:eastAsia="Arial" w:hAnsi="Arial"/>
          <w:sz w:val="22"/>
          <w:szCs w:val="22"/>
          <w:color w:val="auto"/>
        </w:rPr>
        <w:t>” means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85" w:lineRule="exact"/>
        <w:rPr>
          <w:sz w:val="20"/>
          <w:szCs w:val="20"/>
          <w:color w:val="auto"/>
        </w:rPr>
      </w:pPr>
    </w:p>
    <w:p>
      <w:pPr>
        <w:ind w:right="480" w:firstLine="1296"/>
        <w:spacing w:after="0" w:line="276" w:lineRule="auto"/>
        <w:rPr>
          <w:sz w:val="20"/>
          <w:szCs w:val="20"/>
          <w:color w:val="auto"/>
        </w:rPr>
      </w:pPr>
      <w:r>
        <w:rPr>
          <w:rFonts w:ascii="Arial" w:cs="Arial" w:eastAsia="Arial" w:hAnsi="Arial"/>
          <w:sz w:val="22"/>
          <w:szCs w:val="22"/>
          <w:color w:val="auto"/>
        </w:rPr>
        <w:t>2.60. “</w:t>
      </w:r>
      <w:r>
        <w:rPr>
          <w:rFonts w:ascii="Arial" w:cs="Arial" w:eastAsia="Arial" w:hAnsi="Arial"/>
          <w:sz w:val="22"/>
          <w:szCs w:val="22"/>
          <w:u w:val="single" w:color="auto"/>
          <w:color w:val="auto"/>
        </w:rPr>
        <w:t>Surviving Spouse</w:t>
      </w:r>
      <w:r>
        <w:rPr>
          <w:rFonts w:ascii="Arial" w:cs="Arial" w:eastAsia="Arial" w:hAnsi="Arial"/>
          <w:sz w:val="22"/>
          <w:szCs w:val="22"/>
          <w:color w:val="auto"/>
        </w:rPr>
        <w:t>” means the widow or widower, as the case may be, of a Deceased Participant or a Deceased Beneficiary (as applicable).</w:t>
      </w:r>
    </w:p>
    <w:p>
      <w:pPr>
        <w:spacing w:after="0" w:line="161" w:lineRule="exact"/>
        <w:rPr>
          <w:sz w:val="20"/>
          <w:szCs w:val="20"/>
          <w:color w:val="auto"/>
        </w:rPr>
      </w:pPr>
    </w:p>
    <w:p>
      <w:pPr>
        <w:ind w:right="400" w:firstLine="1296"/>
        <w:spacing w:after="0" w:line="276" w:lineRule="auto"/>
        <w:rPr>
          <w:sz w:val="20"/>
          <w:szCs w:val="20"/>
          <w:color w:val="auto"/>
        </w:rPr>
      </w:pPr>
      <w:r>
        <w:rPr>
          <w:rFonts w:ascii="Arial" w:cs="Arial" w:eastAsia="Arial" w:hAnsi="Arial"/>
          <w:sz w:val="22"/>
          <w:szCs w:val="22"/>
          <w:color w:val="auto"/>
        </w:rPr>
        <w:t>2.61. “</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together with such Person’s Affiliates, provided that the term “Third Party” shall not include the Company or an Affiliate of the Company.</w:t>
      </w:r>
    </w:p>
    <w:p>
      <w:pPr>
        <w:spacing w:after="0" w:line="16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Total Compensation</w:t>
      </w:r>
      <w:r>
        <w:rPr>
          <w:rFonts w:ascii="Arial" w:cs="Arial" w:eastAsia="Arial" w:hAnsi="Arial"/>
          <w:sz w:val="19"/>
          <w:szCs w:val="19"/>
          <w:color w:val="auto"/>
        </w:rPr>
        <w:t>” means:</w:t>
      </w:r>
    </w:p>
    <w:p>
      <w:pPr>
        <w:spacing w:after="0" w:line="233" w:lineRule="exact"/>
        <w:rPr>
          <w:sz w:val="20"/>
          <w:szCs w:val="20"/>
          <w:color w:val="auto"/>
        </w:rPr>
      </w:pPr>
    </w:p>
    <w:p>
      <w:pPr>
        <w:ind w:right="320" w:firstLine="1952"/>
        <w:spacing w:after="0" w:line="307" w:lineRule="auto"/>
        <w:tabs>
          <w:tab w:leader="none" w:pos="263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sum of an Eligible Employee’s Annual Rate of Pay, plus Company Credits described in Section 3.8, plus any target bonus amount under a cash bonus award that is includible as “Compensation” under Section 2.16, plus the grant date value of any annual long-term incentive award granted in the immediately preceding Plan Year, all as determined by the Administrator in its sole discretion, as of the September 30th immediately preceding the Plan Year.</w:t>
      </w:r>
    </w:p>
    <w:p>
      <w:pPr>
        <w:spacing w:after="0" w:line="137" w:lineRule="exact"/>
        <w:rPr>
          <w:rFonts w:ascii="Arial" w:cs="Arial" w:eastAsia="Arial" w:hAnsi="Arial"/>
          <w:sz w:val="19"/>
          <w:szCs w:val="19"/>
          <w:color w:val="auto"/>
        </w:rPr>
      </w:pPr>
    </w:p>
    <w:p>
      <w:pPr>
        <w:ind w:firstLine="1952"/>
        <w:spacing w:after="0" w:line="254" w:lineRule="auto"/>
        <w:tabs>
          <w:tab w:leader="none" w:pos="2646" w:val="left"/>
        </w:tabs>
        <w:numPr>
          <w:ilvl w:val="0"/>
          <w:numId w:val="82"/>
        </w:numPr>
        <w:rPr>
          <w:rFonts w:ascii="Arial" w:cs="Arial" w:eastAsia="Arial" w:hAnsi="Arial"/>
          <w:sz w:val="22"/>
          <w:szCs w:val="22"/>
          <w:color w:val="auto"/>
        </w:rPr>
      </w:pPr>
      <w:r>
        <w:rPr>
          <w:rFonts w:ascii="Arial" w:cs="Arial" w:eastAsia="Arial" w:hAnsi="Arial"/>
          <w:sz w:val="22"/>
          <w:szCs w:val="22"/>
          <w:color w:val="auto"/>
        </w:rPr>
        <w:t>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3– INITIAL AND SUBSEQUENT ELECTIONS</w:t>
      </w:r>
    </w:p>
    <w:p>
      <w:pPr>
        <w:spacing w:after="0" w:line="226"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Elections</w:t>
      </w:r>
      <w:r>
        <w:rPr>
          <w:rFonts w:ascii="Arial" w:cs="Arial" w:eastAsia="Arial" w:hAnsi="Arial"/>
          <w:sz w:val="19"/>
          <w:szCs w:val="19"/>
          <w:color w:val="auto"/>
        </w:rPr>
        <w:t>.</w:t>
      </w:r>
    </w:p>
    <w:p>
      <w:pPr>
        <w:spacing w:after="0" w:line="233" w:lineRule="exact"/>
        <w:rPr>
          <w:sz w:val="20"/>
          <w:szCs w:val="20"/>
          <w:color w:val="auto"/>
        </w:rPr>
      </w:pPr>
    </w:p>
    <w:p>
      <w:pPr>
        <w:ind w:firstLine="1952"/>
        <w:spacing w:after="0" w:line="251" w:lineRule="auto"/>
        <w:tabs>
          <w:tab w:leader="none" w:pos="2364"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Initial Elections</w:t>
      </w:r>
      <w:r>
        <w:rPr>
          <w:rFonts w:ascii="Arial" w:cs="Arial" w:eastAsia="Arial" w:hAnsi="Arial"/>
          <w:sz w:val="22"/>
          <w:szCs w:val="22"/>
          <w:color w:val="auto"/>
        </w:rPr>
        <w:t>. Subject to any applicable limitations or restrictions on Initial Elections, each Outside Director, Director Emeritus and Eligible Employee shall have the right to defer Compensation by filing an Initial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w:t>
      </w:r>
    </w:p>
    <w:p>
      <w:pPr>
        <w:sectPr>
          <w:pgSz w:w="11900" w:h="16838" w:orient="portrait"/>
          <w:cols w:equalWidth="0" w:num="1">
            <w:col w:w="11180"/>
          </w:cols>
          <w:pgMar w:left="320" w:top="348" w:right="399" w:bottom="1440" w:gutter="0" w:footer="0" w:header="0"/>
        </w:sectPr>
      </w:pPr>
    </w:p>
    <w:bookmarkStart w:id="69" w:name="page70"/>
    <w:bookmarkEnd w:id="69"/>
    <w:p>
      <w:pPr>
        <w:spacing w:after="0" w:line="288" w:lineRule="auto"/>
        <w:rPr>
          <w:sz w:val="20"/>
          <w:szCs w:val="20"/>
          <w:color w:val="auto"/>
        </w:rPr>
      </w:pPr>
      <w:r>
        <w:rPr>
          <w:rFonts w:ascii="Arial" w:cs="Arial" w:eastAsia="Arial" w:hAnsi="Arial"/>
          <w:sz w:val="19"/>
          <w:szCs w:val="19"/>
          <w:color w:val="auto"/>
        </w:rPr>
        <w:t>shall be treated as an “Eligible Employee” for purposes of this Section 3.1(a) and may file an Initial Election before the date on which such individual becomes a New Key Employee. The Compensation of such Outside Director, Director Emeritus or Eligible Employee for a calendar year or other Performance Period shall be reduced in an amount equal to the portion of the Compensation deferred by such Outside Director, Director Emeritus or Eligible Employee for such period of time pursuant to such Outside Director’s, Director Emeritus’s or Eligible Employee’s Initial Election. Such reduction shall be effected on a pro rata basis from each periodic installment payment of such Outside Director’s, Director Emeritus’s or Eligible Employee’s Compensation for such period of time (in accordance with the general pay practices of the Participating Company), and credited, as a bookkeeping entry, to such Outside Director’s, Director Emeritus’s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59" w:lineRule="exact"/>
        <w:rPr>
          <w:sz w:val="20"/>
          <w:szCs w:val="20"/>
          <w:color w:val="auto"/>
        </w:rPr>
      </w:pPr>
    </w:p>
    <w:p>
      <w:pPr>
        <w:jc w:val="both"/>
        <w:ind w:right="80" w:firstLine="1952"/>
        <w:spacing w:after="0" w:line="254" w:lineRule="auto"/>
        <w:tabs>
          <w:tab w:leader="none" w:pos="237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Subsequent Elections</w:t>
      </w:r>
      <w:r>
        <w:rPr>
          <w:rFonts w:ascii="Arial" w:cs="Arial" w:eastAsia="Arial" w:hAnsi="Arial"/>
          <w:sz w:val="22"/>
          <w:szCs w:val="22"/>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8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Filing of Initial Election: General</w:t>
      </w:r>
      <w:r>
        <w:rPr>
          <w:rFonts w:ascii="Arial" w:cs="Arial" w:eastAsia="Arial" w:hAnsi="Arial"/>
          <w:sz w:val="19"/>
          <w:szCs w:val="19"/>
          <w:color w:val="auto"/>
        </w:rPr>
        <w:t>. An Initial Election shall be made on the form provided by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Administrator for this purpose. Except as provided in Section 3.3:</w:t>
      </w:r>
    </w:p>
    <w:p>
      <w:pPr>
        <w:spacing w:after="0" w:line="215" w:lineRule="exact"/>
        <w:rPr>
          <w:sz w:val="20"/>
          <w:szCs w:val="20"/>
          <w:color w:val="auto"/>
        </w:rPr>
      </w:pPr>
    </w:p>
    <w:p>
      <w:pPr>
        <w:ind w:right="100" w:firstLine="1952"/>
        <w:spacing w:after="0" w:line="259" w:lineRule="auto"/>
        <w:tabs>
          <w:tab w:leader="none" w:pos="2634"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Compensation other than Signing Bonuses or Performance-Based Compensation unless it is filed with the Administrator on or before December 31 of the calendar year preceding the calendar year to which the Initial Election applies.</w:t>
      </w:r>
    </w:p>
    <w:p>
      <w:pPr>
        <w:spacing w:after="0" w:line="180" w:lineRule="exact"/>
        <w:rPr>
          <w:rFonts w:ascii="Arial" w:cs="Arial" w:eastAsia="Arial" w:hAnsi="Arial"/>
          <w:sz w:val="22"/>
          <w:szCs w:val="22"/>
          <w:color w:val="auto"/>
        </w:rPr>
      </w:pPr>
    </w:p>
    <w:p>
      <w:pPr>
        <w:ind w:right="20" w:firstLine="1952"/>
        <w:spacing w:after="0" w:line="259" w:lineRule="auto"/>
        <w:tabs>
          <w:tab w:leader="none" w:pos="2646"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80" w:lineRule="exact"/>
        <w:rPr>
          <w:rFonts w:ascii="Arial" w:cs="Arial" w:eastAsia="Arial" w:hAnsi="Arial"/>
          <w:sz w:val="22"/>
          <w:szCs w:val="22"/>
          <w:color w:val="auto"/>
        </w:rPr>
      </w:pPr>
    </w:p>
    <w:p>
      <w:pPr>
        <w:ind w:right="120" w:firstLine="1952"/>
        <w:spacing w:after="0" w:line="237" w:lineRule="auto"/>
        <w:tabs>
          <w:tab w:leader="none" w:pos="2634"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a Signing Bonus for an Eligible Employee other than a New Key Employee unless (i) 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(ii) the Initial Election is filed with the Administrator on or before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the date of grant of such Signing Bonus and at least one year before such specified date.</w:t>
      </w:r>
    </w:p>
    <w:p>
      <w:pPr>
        <w:spacing w:after="0" w:line="20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Filing of Initial Election by New Key Employees and New Outside Directors</w:t>
      </w:r>
      <w:r>
        <w:rPr>
          <w:rFonts w:ascii="Arial" w:cs="Arial" w:eastAsia="Arial" w:hAnsi="Arial"/>
          <w:sz w:val="19"/>
          <w:szCs w:val="19"/>
          <w:color w:val="auto"/>
        </w:rPr>
        <w:t>.</w:t>
      </w:r>
    </w:p>
    <w:p>
      <w:pPr>
        <w:sectPr>
          <w:pgSz w:w="11900" w:h="16838" w:orient="portrait"/>
          <w:cols w:equalWidth="0" w:num="1">
            <w:col w:w="11240"/>
          </w:cols>
          <w:pgMar w:left="320" w:top="348" w:right="339" w:bottom="1440" w:gutter="0" w:footer="0" w:header="0"/>
        </w:sectPr>
      </w:pPr>
    </w:p>
    <w:bookmarkStart w:id="70" w:name="page71"/>
    <w:bookmarkEnd w:id="70"/>
    <w:p>
      <w:pPr>
        <w:ind w:left="1960"/>
        <w:spacing w:after="0"/>
        <w:tabs>
          <w:tab w:leader="none" w:pos="23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New Key Employees</w:t>
      </w:r>
      <w:r>
        <w:rPr>
          <w:rFonts w:ascii="Arial" w:cs="Arial" w:eastAsia="Arial" w:hAnsi="Arial"/>
          <w:sz w:val="19"/>
          <w:szCs w:val="19"/>
          <w:color w:val="auto"/>
        </w:rPr>
        <w:t>. Notwithstanding Section 3.1 and Section 3.2, a New Key Employee may file 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Initial Election:</w:t>
      </w:r>
    </w:p>
    <w:p>
      <w:pPr>
        <w:spacing w:after="0" w:line="215" w:lineRule="exact"/>
        <w:rPr>
          <w:sz w:val="20"/>
          <w:szCs w:val="20"/>
          <w:color w:val="auto"/>
        </w:rPr>
      </w:pPr>
    </w:p>
    <w:p>
      <w:pPr>
        <w:ind w:right="200" w:firstLine="2600"/>
        <w:spacing w:after="0" w:line="254" w:lineRule="auto"/>
        <w:tabs>
          <w:tab w:leader="none" w:pos="2976"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defer Compensation payable for services to be performed after the date of such Initial Election. An Initial Election to defer Compensation payable for services to be performed after the date of such Initial Election must be filed with the Administrator within 30 days of the date such New Key Employee first becomes eligible to participate in the Plan.</w:t>
      </w:r>
    </w:p>
    <w:p>
      <w:pPr>
        <w:spacing w:after="0" w:line="184" w:lineRule="exact"/>
        <w:rPr>
          <w:rFonts w:ascii="Arial" w:cs="Arial" w:eastAsia="Arial" w:hAnsi="Arial"/>
          <w:sz w:val="22"/>
          <w:szCs w:val="22"/>
          <w:color w:val="auto"/>
        </w:rPr>
      </w:pPr>
    </w:p>
    <w:p>
      <w:pPr>
        <w:ind w:right="380" w:firstLine="2600"/>
        <w:spacing w:after="0" w:line="259" w:lineRule="auto"/>
        <w:tabs>
          <w:tab w:leader="none" w:pos="3036"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defer Compensation payable as a Signing Bonus. An Initial Election to defer Compensation payable as a Signing Bonus must be filed with the Administrator before such New Key Employee commences service as an Eligible Employee.</w:t>
      </w:r>
    </w:p>
    <w:p>
      <w:pPr>
        <w:spacing w:after="0" w:line="180"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An Initial Election by such New Key Employee for succeeding calendar years or applicable Performance Periods shall be made in accordance with Section 3.1 and Section 3.2.</w:t>
      </w:r>
    </w:p>
    <w:p>
      <w:pPr>
        <w:spacing w:after="0" w:line="175" w:lineRule="exact"/>
        <w:rPr>
          <w:sz w:val="20"/>
          <w:szCs w:val="20"/>
          <w:color w:val="auto"/>
        </w:rPr>
      </w:pPr>
    </w:p>
    <w:p>
      <w:pPr>
        <w:ind w:firstLine="1952"/>
        <w:spacing w:after="0" w:line="248" w:lineRule="auto"/>
        <w:tabs>
          <w:tab w:leader="none" w:pos="237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New Outside Directors</w:t>
      </w:r>
      <w:r>
        <w:rPr>
          <w:rFonts w:ascii="Arial" w:cs="Arial" w:eastAsia="Arial" w:hAnsi="Arial"/>
          <w:sz w:val="22"/>
          <w:szCs w:val="22"/>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9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Years to which Initial Election May Apply</w:t>
      </w:r>
      <w:r>
        <w:rPr>
          <w:rFonts w:ascii="Arial" w:cs="Arial" w:eastAsia="Arial" w:hAnsi="Arial"/>
          <w:sz w:val="19"/>
          <w:szCs w:val="19"/>
          <w:color w:val="auto"/>
        </w:rPr>
        <w:t>.</w:t>
      </w:r>
    </w:p>
    <w:p>
      <w:pPr>
        <w:spacing w:after="0" w:line="233" w:lineRule="exact"/>
        <w:rPr>
          <w:sz w:val="20"/>
          <w:szCs w:val="20"/>
          <w:color w:val="auto"/>
        </w:rPr>
      </w:pPr>
    </w:p>
    <w:p>
      <w:pPr>
        <w:ind w:right="300" w:firstLine="1952"/>
        <w:spacing w:after="0" w:line="297" w:lineRule="auto"/>
        <w:tabs>
          <w:tab w:leader="none" w:pos="2634"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Separate Initial Elections for Each Calendar Year or Applicable Performance Period</w:t>
      </w:r>
      <w:r>
        <w:rPr>
          <w:rFonts w:ascii="Arial" w:cs="Arial" w:eastAsia="Arial" w:hAnsi="Arial"/>
          <w:sz w:val="19"/>
          <w:szCs w:val="19"/>
          <w:color w:val="auto"/>
        </w:rPr>
        <w:t>. A separate Initial Election may be made for each calendar year or other applicable Performance Period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or other applicable Performance Period shall not affect such Outside Director’s or Eligible Employee’s right to make an Initial Election for any other calendar year or other applicable Performance Period.</w:t>
      </w:r>
    </w:p>
    <w:p>
      <w:pPr>
        <w:spacing w:after="0" w:line="146" w:lineRule="exact"/>
        <w:rPr>
          <w:rFonts w:ascii="Arial" w:cs="Arial" w:eastAsia="Arial" w:hAnsi="Arial"/>
          <w:sz w:val="19"/>
          <w:szCs w:val="19"/>
          <w:color w:val="auto"/>
        </w:rPr>
      </w:pPr>
    </w:p>
    <w:p>
      <w:pPr>
        <w:ind w:right="40" w:firstLine="1952"/>
        <w:spacing w:after="0" w:line="297" w:lineRule="auto"/>
        <w:tabs>
          <w:tab w:leader="none" w:pos="2376"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Initial Election of Distribution Date</w:t>
      </w:r>
      <w:r>
        <w:rPr>
          <w:rFonts w:ascii="Arial" w:cs="Arial" w:eastAsia="Arial" w:hAnsi="Arial"/>
          <w:sz w:val="19"/>
          <w:szCs w:val="19"/>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compensation subject to the Initial Election would be paid but for the Initial Election. Further,</w:t>
      </w:r>
    </w:p>
    <w:p>
      <w:pPr>
        <w:sectPr>
          <w:pgSz w:w="11900" w:h="16838" w:orient="portrait"/>
          <w:cols w:equalWidth="0" w:num="1">
            <w:col w:w="11220"/>
          </w:cols>
          <w:pgMar w:left="320" w:top="348" w:right="359" w:bottom="1440" w:gutter="0" w:footer="0" w:header="0"/>
        </w:sectPr>
      </w:pPr>
    </w:p>
    <w:bookmarkStart w:id="71" w:name="page72"/>
    <w:bookmarkEnd w:id="71"/>
    <w:p>
      <w:pPr>
        <w:ind w:right="40"/>
        <w:spacing w:after="0" w:line="263" w:lineRule="auto"/>
        <w:rPr>
          <w:sz w:val="20"/>
          <w:szCs w:val="20"/>
          <w:color w:val="auto"/>
        </w:rPr>
      </w:pPr>
      <w:r>
        <w:rPr>
          <w:rFonts w:ascii="Arial" w:cs="Arial" w:eastAsia="Arial" w:hAnsi="Arial"/>
          <w:sz w:val="22"/>
          <w:szCs w:val="22"/>
          <w:color w:val="auto"/>
        </w:rPr>
        <w:t>each Outside Director, Director Emeritus or Eligible Employee may select with each Initial Election the manner of distribution in accordance with Article 4.</w:t>
      </w:r>
    </w:p>
    <w:p>
      <w:pPr>
        <w:spacing w:after="0" w:line="175" w:lineRule="exact"/>
        <w:rPr>
          <w:sz w:val="20"/>
          <w:szCs w:val="20"/>
          <w:color w:val="auto"/>
        </w:rPr>
      </w:pPr>
    </w:p>
    <w:p>
      <w:pPr>
        <w:ind w:right="340" w:firstLine="1296"/>
        <w:spacing w:after="0" w:line="276"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Subsequent Elections</w:t>
      </w:r>
      <w:r>
        <w:rPr>
          <w:rFonts w:ascii="Arial" w:cs="Arial" w:eastAsia="Arial" w:hAnsi="Arial"/>
          <w:sz w:val="22"/>
          <w:szCs w:val="22"/>
          <w:color w:val="auto"/>
        </w:rPr>
        <w:t>. No Subsequent Election shall be effective until 12 months after the date on which such Subsequent Election is made.</w:t>
      </w:r>
    </w:p>
    <w:p>
      <w:pPr>
        <w:spacing w:after="0" w:line="161" w:lineRule="exact"/>
        <w:rPr>
          <w:sz w:val="20"/>
          <w:szCs w:val="20"/>
          <w:color w:val="auto"/>
        </w:rPr>
      </w:pPr>
    </w:p>
    <w:p>
      <w:pPr>
        <w:ind w:right="160" w:firstLine="1952"/>
        <w:spacing w:after="0" w:line="260" w:lineRule="auto"/>
        <w:tabs>
          <w:tab w:leader="none" w:pos="2364"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Active Participants, Outside Directors, and Section 16 Officers</w:t>
      </w:r>
      <w:r>
        <w:rPr>
          <w:rFonts w:ascii="Arial" w:cs="Arial" w:eastAsia="Arial" w:hAnsi="Arial"/>
          <w:sz w:val="21"/>
          <w:szCs w:val="21"/>
          <w:color w:val="auto"/>
        </w:rPr>
        <w:t>. Each Active Participant, and each Participant designated by the Administrator who has served as an Outside Director or Section 16 Officer at any time on or after January 1, 2019 (whether or not such individual is an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 The Administrator may designate the specific Other Investment Fund or Funds to which the Account of any individual who has terminated service to the Company shall be deemed invested.</w:t>
      </w:r>
    </w:p>
    <w:p>
      <w:pPr>
        <w:spacing w:after="0" w:line="183" w:lineRule="exact"/>
        <w:rPr>
          <w:rFonts w:ascii="Arial" w:cs="Arial" w:eastAsia="Arial" w:hAnsi="Arial"/>
          <w:sz w:val="21"/>
          <w:szCs w:val="21"/>
          <w:color w:val="auto"/>
        </w:rPr>
      </w:pPr>
    </w:p>
    <w:p>
      <w:pPr>
        <w:ind w:right="20" w:firstLine="1952"/>
        <w:spacing w:after="0" w:line="264" w:lineRule="auto"/>
        <w:tabs>
          <w:tab w:leader="none" w:pos="2376"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Inactive Participants</w:t>
      </w:r>
      <w:r>
        <w:rPr>
          <w:rFonts w:ascii="Arial" w:cs="Arial" w:eastAsia="Arial" w:hAnsi="Arial"/>
          <w:sz w:val="21"/>
          <w:szCs w:val="21"/>
          <w:color w:val="auto"/>
        </w:rPr>
        <w:t>. Except as otherwise provided in Section 3.5(a),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174" w:lineRule="exact"/>
        <w:rPr>
          <w:rFonts w:ascii="Arial" w:cs="Arial" w:eastAsia="Arial" w:hAnsi="Arial"/>
          <w:sz w:val="21"/>
          <w:szCs w:val="21"/>
          <w:color w:val="auto"/>
        </w:rPr>
      </w:pPr>
    </w:p>
    <w:p>
      <w:pPr>
        <w:ind w:firstLine="1952"/>
        <w:spacing w:after="0" w:line="247" w:lineRule="auto"/>
        <w:tabs>
          <w:tab w:leader="none" w:pos="2364"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Surviving Spouses – Subsequent Election</w:t>
      </w:r>
      <w:r>
        <w:rPr>
          <w:rFonts w:ascii="Arial" w:cs="Arial" w:eastAsia="Arial" w:hAnsi="Arial"/>
          <w:sz w:val="22"/>
          <w:szCs w:val="22"/>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 with respect to all or any part of the Deceased Participant’s Account. Subsequent Elections pursuant to this Section 3.5(c) may specify different changes with respect to different parts of the Deceased Participant’s Account.</w:t>
      </w:r>
    </w:p>
    <w:p>
      <w:pPr>
        <w:spacing w:after="0" w:line="194" w:lineRule="exact"/>
        <w:rPr>
          <w:rFonts w:ascii="Arial" w:cs="Arial" w:eastAsia="Arial" w:hAnsi="Arial"/>
          <w:sz w:val="22"/>
          <w:szCs w:val="22"/>
          <w:color w:val="auto"/>
        </w:rPr>
      </w:pPr>
    </w:p>
    <w:p>
      <w:pPr>
        <w:ind w:right="120" w:firstLine="1952"/>
        <w:spacing w:after="0" w:line="249" w:lineRule="auto"/>
        <w:tabs>
          <w:tab w:leader="none" w:pos="237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Beneficiary of a Deceased Participant Other Than a Surviving Spouse – Subsequent Election</w:t>
      </w:r>
      <w:r>
        <w:rPr>
          <w:rFonts w:ascii="Arial" w:cs="Arial" w:eastAsia="Arial" w:hAnsi="Arial"/>
          <w:sz w:val="22"/>
          <w:szCs w:val="22"/>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w:t>
      </w:r>
    </w:p>
    <w:p>
      <w:pPr>
        <w:sectPr>
          <w:pgSz w:w="11900" w:h="16838" w:orient="portrait"/>
          <w:cols w:equalWidth="0" w:num="1">
            <w:col w:w="11220"/>
          </w:cols>
          <w:pgMar w:left="320" w:top="348" w:right="359" w:bottom="1440" w:gutter="0" w:footer="0" w:header="0"/>
        </w:sectPr>
      </w:pPr>
    </w:p>
    <w:bookmarkStart w:id="72" w:name="page73"/>
    <w:bookmarkEnd w:id="72"/>
    <w:p>
      <w:pPr>
        <w:ind w:right="480"/>
        <w:spacing w:after="0" w:line="253" w:lineRule="auto"/>
        <w:rPr>
          <w:sz w:val="20"/>
          <w:szCs w:val="20"/>
          <w:color w:val="auto"/>
        </w:rPr>
      </w:pPr>
      <w:r>
        <w:rPr>
          <w:rFonts w:ascii="Arial" w:cs="Arial" w:eastAsia="Arial" w:hAnsi="Arial"/>
          <w:sz w:val="22"/>
          <w:szCs w:val="22"/>
          <w:color w:val="auto"/>
        </w:rPr>
        <w:t>Beneficiary may make one (1) Subsequent Election under this Section 3.5(d), with respect to all or any part of the Deceased Participant’s Account. Subsequent Elections pursuant to this Section 3.5(d) may specify different changes with respect to different parts of the Deceased Participant’s Account.</w:t>
      </w:r>
    </w:p>
    <w:p>
      <w:pPr>
        <w:spacing w:after="0" w:line="200" w:lineRule="exact"/>
        <w:rPr>
          <w:sz w:val="20"/>
          <w:szCs w:val="20"/>
          <w:color w:val="auto"/>
        </w:rPr>
      </w:pPr>
    </w:p>
    <w:p>
      <w:pPr>
        <w:spacing w:after="0" w:line="242" w:lineRule="exact"/>
        <w:rPr>
          <w:sz w:val="20"/>
          <w:szCs w:val="20"/>
          <w:color w:val="auto"/>
        </w:rPr>
      </w:pPr>
    </w:p>
    <w:p>
      <w:pPr>
        <w:ind w:firstLine="1952"/>
        <w:spacing w:after="0" w:line="261" w:lineRule="auto"/>
        <w:tabs>
          <w:tab w:leader="none" w:pos="2364"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Retired Participants and Disabled Participants</w:t>
      </w:r>
      <w:r>
        <w:rPr>
          <w:rFonts w:ascii="Arial" w:cs="Arial" w:eastAsia="Arial" w:hAnsi="Arial"/>
          <w:sz w:val="21"/>
          <w:szCs w:val="21"/>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80" w:lineRule="exact"/>
        <w:rPr>
          <w:rFonts w:ascii="Arial" w:cs="Arial" w:eastAsia="Arial" w:hAnsi="Arial"/>
          <w:sz w:val="21"/>
          <w:szCs w:val="21"/>
          <w:color w:val="auto"/>
        </w:rPr>
      </w:pPr>
    </w:p>
    <w:p>
      <w:pPr>
        <w:ind w:right="80" w:firstLine="1952"/>
        <w:spacing w:after="0" w:line="254" w:lineRule="auto"/>
        <w:tabs>
          <w:tab w:leader="none" w:pos="234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Most Recently Filed Initial Election or Subsequent Election Controlling</w:t>
      </w:r>
      <w:r>
        <w:rPr>
          <w:rFonts w:ascii="Arial" w:cs="Arial" w:eastAsia="Arial" w:hAnsi="Arial"/>
          <w:sz w:val="22"/>
          <w:szCs w:val="22"/>
          <w:color w:val="auto"/>
        </w:rPr>
        <w:t>. Except as otherwise specifically provided by the Plan, no distribution of the amounts deferred by a Participant shall be made before the payment date designated by the Participant or Beneficiary on the most recently filed Initial Election or Subsequent Election with respect to each deferred amount.</w:t>
      </w:r>
    </w:p>
    <w:p>
      <w:pPr>
        <w:spacing w:after="0" w:line="185" w:lineRule="exact"/>
        <w:rPr>
          <w:sz w:val="20"/>
          <w:szCs w:val="20"/>
          <w:color w:val="auto"/>
        </w:rPr>
      </w:pPr>
    </w:p>
    <w:p>
      <w:pPr>
        <w:ind w:right="20" w:firstLine="1296"/>
        <w:spacing w:after="0" w:line="266"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Discretion to Provide for Distribution in Full Upon or Following a Change of Control</w:t>
      </w:r>
      <w:r>
        <w:rPr>
          <w:rFonts w:ascii="Arial" w:cs="Arial" w:eastAsia="Arial" w:hAnsi="Arial"/>
          <w:sz w:val="21"/>
          <w:szCs w:val="21"/>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17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u w:val="single" w:color="auto"/>
          <w:color w:val="auto"/>
        </w:rPr>
        <w:t>Withholding and Payment of Death Taxes</w:t>
      </w:r>
      <w:r>
        <w:rPr>
          <w:rFonts w:ascii="Arial" w:cs="Arial" w:eastAsia="Arial" w:hAnsi="Arial"/>
          <w:sz w:val="19"/>
          <w:szCs w:val="19"/>
          <w:color w:val="auto"/>
        </w:rPr>
        <w:t>.</w:t>
      </w:r>
    </w:p>
    <w:p>
      <w:pPr>
        <w:spacing w:after="0" w:line="233" w:lineRule="exact"/>
        <w:rPr>
          <w:sz w:val="20"/>
          <w:szCs w:val="20"/>
          <w:color w:val="auto"/>
        </w:rPr>
      </w:pPr>
    </w:p>
    <w:p>
      <w:pPr>
        <w:ind w:right="40" w:firstLine="1952"/>
        <w:spacing w:after="0" w:line="266" w:lineRule="auto"/>
        <w:tabs>
          <w:tab w:leader="none" w:pos="2364" w:val="left"/>
        </w:tabs>
        <w:numPr>
          <w:ilvl w:val="0"/>
          <w:numId w:val="91"/>
        </w:numPr>
        <w:rPr>
          <w:rFonts w:ascii="Arial" w:cs="Arial" w:eastAsia="Arial" w:hAnsi="Arial"/>
          <w:sz w:val="21"/>
          <w:szCs w:val="21"/>
          <w:color w:val="auto"/>
        </w:rPr>
      </w:pPr>
      <w:r>
        <w:rPr>
          <w:rFonts w:ascii="Arial" w:cs="Arial" w:eastAsia="Arial" w:hAnsi="Arial"/>
          <w:sz w:val="21"/>
          <w:szCs w:val="21"/>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173" w:lineRule="exact"/>
        <w:rPr>
          <w:rFonts w:ascii="Arial" w:cs="Arial" w:eastAsia="Arial" w:hAnsi="Arial"/>
          <w:sz w:val="21"/>
          <w:szCs w:val="21"/>
          <w:color w:val="auto"/>
        </w:rPr>
      </w:pPr>
    </w:p>
    <w:p>
      <w:pPr>
        <w:ind w:right="640" w:firstLine="1952"/>
        <w:spacing w:after="0" w:line="276" w:lineRule="auto"/>
        <w:tabs>
          <w:tab w:leader="none" w:pos="2376" w:val="left"/>
        </w:tabs>
        <w:numPr>
          <w:ilvl w:val="0"/>
          <w:numId w:val="91"/>
        </w:numPr>
        <w:rPr>
          <w:rFonts w:ascii="Arial" w:cs="Arial" w:eastAsia="Arial" w:hAnsi="Arial"/>
          <w:sz w:val="22"/>
          <w:szCs w:val="22"/>
          <w:color w:val="auto"/>
        </w:rPr>
      </w:pPr>
      <w:r>
        <w:rPr>
          <w:rFonts w:ascii="Arial" w:cs="Arial" w:eastAsia="Arial" w:hAnsi="Arial"/>
          <w:sz w:val="22"/>
          <w:szCs w:val="22"/>
          <w:color w:val="auto"/>
        </w:rPr>
        <w:t>Unless the Decedent affirmatively has elected, pursuant to Section 3.7(a), that the terms of this Section 3.7(b) not apply, but only to the extent permitted under Section 409A:</w:t>
      </w:r>
    </w:p>
    <w:p>
      <w:pPr>
        <w:sectPr>
          <w:pgSz w:w="11900" w:h="16838" w:orient="portrait"/>
          <w:cols w:equalWidth="0" w:num="1">
            <w:col w:w="11200"/>
          </w:cols>
          <w:pgMar w:left="320" w:top="348" w:right="379" w:bottom="1440" w:gutter="0" w:footer="0" w:header="0"/>
        </w:sectPr>
      </w:pPr>
    </w:p>
    <w:bookmarkStart w:id="73" w:name="page74"/>
    <w:bookmarkEnd w:id="73"/>
    <w:p>
      <w:pPr>
        <w:ind w:right="60" w:firstLine="2600"/>
        <w:spacing w:after="0" w:line="259" w:lineRule="auto"/>
        <w:tabs>
          <w:tab w:leader="none" w:pos="2976"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80" w:lineRule="exact"/>
        <w:rPr>
          <w:rFonts w:ascii="Arial" w:cs="Arial" w:eastAsia="Arial" w:hAnsi="Arial"/>
          <w:sz w:val="22"/>
          <w:szCs w:val="22"/>
          <w:color w:val="auto"/>
        </w:rPr>
      </w:pPr>
    </w:p>
    <w:p>
      <w:pPr>
        <w:ind w:right="160" w:firstLine="2600"/>
        <w:spacing w:after="0" w:line="301" w:lineRule="auto"/>
        <w:tabs>
          <w:tab w:leader="none" w:pos="3036"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Administrator shall defer payment of the Decedent’s Account until the later of the Death Tax Clearance Date and the payment date designated in the Decedent’s Initial Election or Subsequent Election;</w:t>
      </w:r>
    </w:p>
    <w:p>
      <w:pPr>
        <w:spacing w:after="0" w:line="136" w:lineRule="exact"/>
        <w:rPr>
          <w:rFonts w:ascii="Arial" w:cs="Arial" w:eastAsia="Arial" w:hAnsi="Arial"/>
          <w:sz w:val="21"/>
          <w:szCs w:val="21"/>
          <w:color w:val="auto"/>
        </w:rPr>
      </w:pPr>
    </w:p>
    <w:p>
      <w:pPr>
        <w:ind w:right="160" w:firstLine="2600"/>
        <w:spacing w:after="0" w:line="300" w:lineRule="auto"/>
        <w:tabs>
          <w:tab w:leader="none" w:pos="3096"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46" w:lineRule="exact"/>
        <w:rPr>
          <w:rFonts w:ascii="Arial" w:cs="Arial" w:eastAsia="Arial" w:hAnsi="Arial"/>
          <w:sz w:val="19"/>
          <w:szCs w:val="19"/>
          <w:color w:val="auto"/>
        </w:rPr>
      </w:pPr>
    </w:p>
    <w:p>
      <w:pPr>
        <w:ind w:firstLine="2600"/>
        <w:spacing w:after="0" w:line="294" w:lineRule="auto"/>
        <w:tabs>
          <w:tab w:leader="none" w:pos="3084"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51" w:lineRule="exact"/>
        <w:rPr>
          <w:rFonts w:ascii="Arial" w:cs="Arial" w:eastAsia="Arial" w:hAnsi="Arial"/>
          <w:sz w:val="19"/>
          <w:szCs w:val="19"/>
          <w:color w:val="auto"/>
        </w:rPr>
      </w:pPr>
    </w:p>
    <w:p>
      <w:pPr>
        <w:ind w:right="180" w:firstLine="2600"/>
        <w:spacing w:after="0" w:line="259" w:lineRule="auto"/>
        <w:tabs>
          <w:tab w:leader="none" w:pos="3024" w:val="left"/>
        </w:tabs>
        <w:numPr>
          <w:ilvl w:val="0"/>
          <w:numId w:val="92"/>
        </w:numPr>
        <w:rPr>
          <w:rFonts w:ascii="Arial" w:cs="Arial" w:eastAsia="Arial" w:hAnsi="Arial"/>
          <w:sz w:val="22"/>
          <w:szCs w:val="22"/>
          <w:color w:val="auto"/>
        </w:rPr>
      </w:pPr>
      <w:r>
        <w:rPr>
          <w:rFonts w:ascii="Arial" w:cs="Arial" w:eastAsia="Arial" w:hAnsi="Arial"/>
          <w:sz w:val="22"/>
          <w:szCs w:val="22"/>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80" w:lineRule="exact"/>
        <w:rPr>
          <w:rFonts w:ascii="Arial" w:cs="Arial" w:eastAsia="Arial" w:hAnsi="Arial"/>
          <w:sz w:val="22"/>
          <w:szCs w:val="22"/>
          <w:color w:val="auto"/>
        </w:rPr>
      </w:pPr>
    </w:p>
    <w:p>
      <w:pPr>
        <w:ind w:right="300" w:firstLine="2600"/>
        <w:spacing w:after="0" w:line="259" w:lineRule="auto"/>
        <w:tabs>
          <w:tab w:leader="none" w:pos="3084" w:val="left"/>
        </w:tabs>
        <w:numPr>
          <w:ilvl w:val="0"/>
          <w:numId w:val="92"/>
        </w:numPr>
        <w:rPr>
          <w:rFonts w:ascii="Arial" w:cs="Arial" w:eastAsia="Arial" w:hAnsi="Arial"/>
          <w:sz w:val="22"/>
          <w:szCs w:val="22"/>
          <w:color w:val="auto"/>
        </w:rPr>
      </w:pPr>
      <w:r>
        <w:rPr>
          <w:rFonts w:ascii="Arial" w:cs="Arial" w:eastAsia="Arial" w:hAnsi="Arial"/>
          <w:sz w:val="22"/>
          <w:szCs w:val="22"/>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80" w:lineRule="exact"/>
        <w:rPr>
          <w:sz w:val="20"/>
          <w:szCs w:val="20"/>
          <w:color w:val="auto"/>
        </w:rPr>
      </w:pPr>
    </w:p>
    <w:p>
      <w:pPr>
        <w:ind w:right="40" w:firstLine="1296"/>
        <w:spacing w:after="0" w:line="261" w:lineRule="auto"/>
        <w:rPr>
          <w:sz w:val="20"/>
          <w:szCs w:val="20"/>
          <w:color w:val="auto"/>
        </w:rPr>
      </w:pPr>
      <w:r>
        <w:rPr>
          <w:rFonts w:ascii="Arial" w:cs="Arial" w:eastAsia="Arial" w:hAnsi="Arial"/>
          <w:sz w:val="21"/>
          <w:szCs w:val="21"/>
          <w:color w:val="auto"/>
        </w:rPr>
        <w:t xml:space="preserve">3.8. </w:t>
      </w:r>
      <w:r>
        <w:rPr>
          <w:rFonts w:ascii="Arial" w:cs="Arial" w:eastAsia="Arial" w:hAnsi="Arial"/>
          <w:sz w:val="21"/>
          <w:szCs w:val="21"/>
          <w:u w:val="single" w:color="auto"/>
          <w:color w:val="auto"/>
        </w:rPr>
        <w:t>Company Credits</w:t>
      </w:r>
      <w:r>
        <w:rPr>
          <w:rFonts w:ascii="Arial" w:cs="Arial" w:eastAsia="Arial" w:hAnsi="Arial"/>
          <w:sz w:val="21"/>
          <w:szCs w:val="21"/>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Administrator, as a bookkeeping entry to such Eligible Employee’s Account in accordance with Section 5.1. From and after the date Company Credits are allocated as designated by the</w:t>
      </w:r>
    </w:p>
    <w:p>
      <w:pPr>
        <w:sectPr>
          <w:pgSz w:w="11900" w:h="16838" w:orient="portrait"/>
          <w:cols w:equalWidth="0" w:num="1">
            <w:col w:w="11240"/>
          </w:cols>
          <w:pgMar w:left="320" w:top="348" w:right="33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9"/>
          <w:szCs w:val="19"/>
          <w:color w:val="auto"/>
        </w:rPr>
        <w:t>Administrator,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25"/>
          <w:szCs w:val="25"/>
          <w:color w:val="auto"/>
          <w:vertAlign w:val="superscript"/>
        </w:rPr>
        <w:t>nd</w:t>
      </w:r>
      <w:r>
        <w:rPr>
          <w:rFonts w:ascii="Arial" w:cs="Arial" w:eastAsia="Arial" w:hAnsi="Arial"/>
          <w:sz w:val="19"/>
          <w:szCs w:val="19"/>
          <w:color w:val="auto"/>
        </w:rPr>
        <w:t xml:space="preserve"> of the third calendar year beginning after the later of Plan Year with respect to which the Company Credits were authorized or the Plan Year in which such Company Credits are free of a substantial risk of forfeiture, unless the Participant timely designates a later time and form of payment that is a permissible time and form of payment for amounts subject to an Initial Election under Section 3.4(b)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7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w:t>
      </w:r>
    </w:p>
    <w:p>
      <w:pPr>
        <w:spacing w:after="0" w:line="233" w:lineRule="exact"/>
        <w:rPr>
          <w:sz w:val="20"/>
          <w:szCs w:val="20"/>
          <w:color w:val="auto"/>
        </w:rPr>
      </w:pPr>
    </w:p>
    <w:p>
      <w:pPr>
        <w:ind w:firstLine="1952"/>
        <w:spacing w:after="0" w:line="300" w:lineRule="auto"/>
        <w:tabs>
          <w:tab w:leader="none" w:pos="2634"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Required Suspension of Payment of Benefits</w:t>
      </w:r>
      <w:r>
        <w:rPr>
          <w:rFonts w:ascii="Arial" w:cs="Arial" w:eastAsia="Arial" w:hAnsi="Arial"/>
          <w:sz w:val="19"/>
          <w:szCs w:val="19"/>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46" w:lineRule="exact"/>
        <w:rPr>
          <w:rFonts w:ascii="Arial" w:cs="Arial" w:eastAsia="Arial" w:hAnsi="Arial"/>
          <w:sz w:val="19"/>
          <w:szCs w:val="19"/>
          <w:color w:val="auto"/>
        </w:rPr>
      </w:pPr>
    </w:p>
    <w:p>
      <w:pPr>
        <w:ind w:right="40" w:firstLine="1952"/>
        <w:spacing w:after="0" w:line="249" w:lineRule="auto"/>
        <w:tabs>
          <w:tab w:leader="none" w:pos="2646"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For purposes of the Plan, a transfer of an employee between two employers, each of which is the Company or an Affiliate, shall not be deemed a termination of employment. A Participant who is an Outside Director shall be treated as having terminated employment on the Participant’s termination of service as an Outside Director, provided that if such a Participant is designated as a Director Emeritus upon termination of service as an Outside Director, such Participant shall not be treated as having terminated employment until the Participant’s termination of service as a Director Emeritus.</w:t>
      </w:r>
    </w:p>
    <w:p>
      <w:pPr>
        <w:spacing w:after="0" w:line="188" w:lineRule="exact"/>
        <w:rPr>
          <w:sz w:val="20"/>
          <w:szCs w:val="20"/>
          <w:color w:val="auto"/>
        </w:rPr>
      </w:pPr>
    </w:p>
    <w:p>
      <w:pPr>
        <w:ind w:left="1300" w:right="3440" w:firstLine="2155"/>
        <w:spacing w:after="0" w:line="457" w:lineRule="auto"/>
        <w:rPr>
          <w:sz w:val="20"/>
          <w:szCs w:val="20"/>
          <w:color w:val="auto"/>
        </w:rPr>
      </w:pPr>
      <w:r>
        <w:rPr>
          <w:rFonts w:ascii="Arial" w:cs="Arial" w:eastAsia="Arial" w:hAnsi="Arial"/>
          <w:sz w:val="22"/>
          <w:szCs w:val="22"/>
          <w:b w:val="1"/>
          <w:bCs w:val="1"/>
          <w:color w:val="auto"/>
        </w:rPr>
        <w:t xml:space="preserve">ARTICLE 4 – MANNER OF DISTRIBUTION </w:t>
      </w:r>
      <w:r>
        <w:rPr>
          <w:rFonts w:ascii="Arial" w:cs="Arial" w:eastAsia="Arial" w:hAnsi="Arial"/>
          <w:sz w:val="22"/>
          <w:szCs w:val="22"/>
          <w:color w:val="auto"/>
        </w:rPr>
        <w:t xml:space="preserve">4.1. </w:t>
      </w:r>
      <w:r>
        <w:rPr>
          <w:rFonts w:ascii="Arial" w:cs="Arial" w:eastAsia="Arial" w:hAnsi="Arial"/>
          <w:sz w:val="22"/>
          <w:szCs w:val="22"/>
          <w:u w:val="single" w:color="auto"/>
          <w:color w:val="auto"/>
        </w:rPr>
        <w:t>Manner of Distribution</w:t>
      </w:r>
      <w:r>
        <w:rPr>
          <w:rFonts w:ascii="Arial" w:cs="Arial" w:eastAsia="Arial" w:hAnsi="Arial"/>
          <w:sz w:val="22"/>
          <w:szCs w:val="22"/>
          <w:color w:val="auto"/>
        </w:rPr>
        <w:t>.</w:t>
      </w:r>
    </w:p>
    <w:p>
      <w:pPr>
        <w:spacing w:after="0" w:line="1" w:lineRule="exact"/>
        <w:rPr>
          <w:sz w:val="20"/>
          <w:szCs w:val="20"/>
          <w:color w:val="auto"/>
        </w:rPr>
      </w:pPr>
    </w:p>
    <w:p>
      <w:pPr>
        <w:jc w:val="both"/>
        <w:ind w:right="300" w:firstLine="1952"/>
        <w:spacing w:after="0" w:line="307" w:lineRule="auto"/>
        <w:tabs>
          <w:tab w:leader="none" w:pos="2364" w:val="left"/>
        </w:tabs>
        <w:numPr>
          <w:ilvl w:val="0"/>
          <w:numId w:val="94"/>
        </w:numPr>
        <w:rPr>
          <w:rFonts w:ascii="Arial" w:cs="Arial" w:eastAsia="Arial" w:hAnsi="Arial"/>
          <w:sz w:val="19"/>
          <w:szCs w:val="19"/>
          <w:color w:val="auto"/>
        </w:rPr>
      </w:pPr>
      <w:r>
        <w:rPr>
          <w:rFonts w:ascii="Arial" w:cs="Arial" w:eastAsia="Arial" w:hAnsi="Arial"/>
          <w:sz w:val="19"/>
          <w:szCs w:val="19"/>
          <w:color w:val="auto"/>
        </w:rPr>
        <w:t>Amounts credited to an Account shall be distributed, pursuant to an Initial Election or Subsequent Election in either (i) a lump sum payment or (ii) substantially equal monthly or annual installments over a five (5), ten (10) or fifteen (15) year period. Installment distributions payable in the form of shares of Company Stock shall be rounded to the next lower whole share. Except for amounts described in Section 5.2(c), all distributions shall be made in cash.</w:t>
      </w:r>
    </w:p>
    <w:p>
      <w:pPr>
        <w:spacing w:after="0" w:line="137" w:lineRule="exact"/>
        <w:rPr>
          <w:rFonts w:ascii="Arial" w:cs="Arial" w:eastAsia="Arial" w:hAnsi="Arial"/>
          <w:sz w:val="19"/>
          <w:szCs w:val="19"/>
          <w:color w:val="auto"/>
        </w:rPr>
      </w:pPr>
    </w:p>
    <w:p>
      <w:pPr>
        <w:ind w:firstLine="1952"/>
        <w:spacing w:after="0" w:line="276" w:lineRule="auto"/>
        <w:tabs>
          <w:tab w:leader="none" w:pos="2376"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the extent permitted by Section 409A, notwithstanding any Initial Election, Subsequent Election or any other provision of the Plan to the contrary:</w:t>
      </w:r>
    </w:p>
    <w:p>
      <w:pPr>
        <w:spacing w:after="0" w:line="160" w:lineRule="exact"/>
        <w:rPr>
          <w:rFonts w:ascii="Arial" w:cs="Arial" w:eastAsia="Arial" w:hAnsi="Arial"/>
          <w:sz w:val="22"/>
          <w:szCs w:val="22"/>
          <w:color w:val="auto"/>
        </w:rPr>
      </w:pPr>
    </w:p>
    <w:p>
      <w:pPr>
        <w:ind w:right="240" w:firstLine="2600"/>
        <w:spacing w:after="0" w:line="276" w:lineRule="auto"/>
        <w:tabs>
          <w:tab w:leader="none" w:pos="2976" w:val="left"/>
        </w:tabs>
        <w:numPr>
          <w:ilvl w:val="1"/>
          <w:numId w:val="94"/>
        </w:numPr>
        <w:rPr>
          <w:rFonts w:ascii="Arial" w:cs="Arial" w:eastAsia="Arial" w:hAnsi="Arial"/>
          <w:sz w:val="22"/>
          <w:szCs w:val="22"/>
          <w:color w:val="auto"/>
        </w:rPr>
      </w:pPr>
      <w:r>
        <w:rPr>
          <w:rFonts w:ascii="Arial" w:cs="Arial" w:eastAsia="Arial" w:hAnsi="Arial"/>
          <w:sz w:val="22"/>
          <w:szCs w:val="22"/>
          <w:color w:val="auto"/>
        </w:rPr>
        <w:t>distributions pursuant to Initial Elections or Subsequent Elections shall be made in one lump sum payment unless the portion of a Participant’s Account</w:t>
      </w:r>
    </w:p>
    <w:p>
      <w:pPr>
        <w:sectPr>
          <w:pgSz w:w="11900" w:h="16838" w:orient="portrait"/>
          <w:cols w:equalWidth="0" w:num="1">
            <w:col w:w="11220"/>
          </w:cols>
          <w:pgMar w:left="320" w:top="348" w:right="359" w:bottom="1440" w:gutter="0" w:footer="0" w:header="0"/>
        </w:sectPr>
      </w:pPr>
    </w:p>
    <w:bookmarkStart w:id="75" w:name="page76"/>
    <w:bookmarkEnd w:id="75"/>
    <w:p>
      <w:pPr>
        <w:ind w:right="120"/>
        <w:spacing w:after="0" w:line="263" w:lineRule="auto"/>
        <w:rPr>
          <w:sz w:val="20"/>
          <w:szCs w:val="20"/>
          <w:color w:val="auto"/>
        </w:rPr>
      </w:pPr>
      <w:r>
        <w:rPr>
          <w:rFonts w:ascii="Arial" w:cs="Arial" w:eastAsia="Arial" w:hAnsi="Arial"/>
          <w:sz w:val="22"/>
          <w:szCs w:val="22"/>
          <w:color w:val="auto"/>
        </w:rPr>
        <w:t>subject to distribution, as of both the date of the Initial Election or Subsequent Election and the benefit commencement date, has a value of more than $10,000;</w:t>
      </w:r>
    </w:p>
    <w:p>
      <w:pPr>
        <w:spacing w:after="0" w:line="175" w:lineRule="exact"/>
        <w:rPr>
          <w:sz w:val="20"/>
          <w:szCs w:val="20"/>
          <w:color w:val="auto"/>
        </w:rPr>
      </w:pPr>
    </w:p>
    <w:p>
      <w:pPr>
        <w:jc w:val="both"/>
        <w:ind w:right="120" w:firstLine="2600"/>
        <w:spacing w:after="0" w:line="266" w:lineRule="auto"/>
        <w:tabs>
          <w:tab w:leader="none" w:pos="3036" w:val="left"/>
        </w:tabs>
        <w:numPr>
          <w:ilvl w:val="0"/>
          <w:numId w:val="95"/>
        </w:numPr>
        <w:rPr>
          <w:rFonts w:ascii="Arial" w:cs="Arial" w:eastAsia="Arial" w:hAnsi="Arial"/>
          <w:sz w:val="21"/>
          <w:szCs w:val="21"/>
          <w:color w:val="auto"/>
        </w:rPr>
      </w:pPr>
      <w:r>
        <w:rPr>
          <w:rFonts w:ascii="Arial" w:cs="Arial" w:eastAsia="Arial" w:hAnsi="Arial"/>
          <w:sz w:val="21"/>
          <w:szCs w:val="21"/>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74" w:lineRule="exact"/>
        <w:rPr>
          <w:sz w:val="20"/>
          <w:szCs w:val="20"/>
          <w:color w:val="auto"/>
        </w:rPr>
      </w:pPr>
    </w:p>
    <w:p>
      <w:pPr>
        <w:ind w:right="120" w:firstLine="1296"/>
        <w:spacing w:after="0" w:line="29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Determination of Account Balances for Purposes of Distribution</w:t>
      </w:r>
      <w:r>
        <w:rPr>
          <w:rFonts w:ascii="Arial" w:cs="Arial" w:eastAsia="Arial" w:hAnsi="Arial"/>
          <w:sz w:val="19"/>
          <w:szCs w:val="19"/>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Other Investment Fund and Income Fund, as applicable, through the date immediately preceding the date on which the distribution request is transmitted from the recordkeeper.</w:t>
      </w:r>
    </w:p>
    <w:p>
      <w:pPr>
        <w:spacing w:after="0" w:line="151" w:lineRule="exact"/>
        <w:rPr>
          <w:sz w:val="20"/>
          <w:szCs w:val="20"/>
          <w:color w:val="auto"/>
        </w:rPr>
      </w:pPr>
    </w:p>
    <w:p>
      <w:pPr>
        <w:ind w:right="140" w:firstLine="1296"/>
        <w:spacing w:after="0" w:line="319"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Plan-to-Plan Transfers; Change in Time and Form of Election Pursuant to Special Section 409A Transition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Rules</w:t>
      </w:r>
      <w:r>
        <w:rPr>
          <w:rFonts w:ascii="Arial" w:cs="Arial" w:eastAsia="Arial" w:hAnsi="Arial"/>
          <w:sz w:val="19"/>
          <w:szCs w:val="19"/>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28" w:lineRule="exact"/>
        <w:rPr>
          <w:sz w:val="20"/>
          <w:szCs w:val="20"/>
          <w:color w:val="auto"/>
        </w:rPr>
      </w:pPr>
    </w:p>
    <w:p>
      <w:pPr>
        <w:ind w:firstLine="1952"/>
        <w:spacing w:after="0" w:line="249" w:lineRule="auto"/>
        <w:tabs>
          <w:tab w:leader="none" w:pos="2364"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93" w:lineRule="exact"/>
        <w:rPr>
          <w:rFonts w:ascii="Arial" w:cs="Arial" w:eastAsia="Arial" w:hAnsi="Arial"/>
          <w:sz w:val="22"/>
          <w:szCs w:val="22"/>
          <w:color w:val="auto"/>
        </w:rPr>
      </w:pPr>
    </w:p>
    <w:p>
      <w:pPr>
        <w:ind w:right="280" w:firstLine="1952"/>
        <w:spacing w:after="0" w:line="248" w:lineRule="auto"/>
        <w:tabs>
          <w:tab w:leader="none" w:pos="2376"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 – BOOK ACCOUNTS</w:t>
      </w:r>
    </w:p>
    <w:p>
      <w:pPr>
        <w:sectPr>
          <w:pgSz w:w="11900" w:h="16838" w:orient="portrait"/>
          <w:cols w:equalWidth="0" w:num="1">
            <w:col w:w="11220"/>
          </w:cols>
          <w:pgMar w:left="320" w:top="348" w:right="359" w:bottom="1440" w:gutter="0" w:footer="0" w:header="0"/>
        </w:sectPr>
      </w:pPr>
    </w:p>
    <w:bookmarkStart w:id="76" w:name="page77"/>
    <w:bookmarkEnd w:id="76"/>
    <w:p>
      <w:pPr>
        <w:ind w:right="100" w:firstLine="1296"/>
        <w:spacing w:after="0" w:line="254"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Deferred Compensation Account</w:t>
      </w:r>
      <w:r>
        <w:rPr>
          <w:rFonts w:ascii="Arial" w:cs="Arial" w:eastAsia="Arial" w:hAnsi="Arial"/>
          <w:sz w:val="22"/>
          <w:szCs w:val="22"/>
          <w:color w:val="auto"/>
        </w:rPr>
        <w:t>. A Deferred Compensation Account shall be established for each Outside Director, Director Emeritus and Eligible Employee when 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18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Crediting of Income, Gains, and Losses on Accounts</w:t>
      </w:r>
      <w:r>
        <w:rPr>
          <w:rFonts w:ascii="Arial" w:cs="Arial" w:eastAsia="Arial" w:hAnsi="Arial"/>
          <w:sz w:val="19"/>
          <w:szCs w:val="19"/>
          <w:color w:val="auto"/>
        </w:rPr>
        <w:t>.</w:t>
      </w:r>
    </w:p>
    <w:p>
      <w:pPr>
        <w:spacing w:after="0" w:line="233" w:lineRule="exact"/>
        <w:rPr>
          <w:sz w:val="20"/>
          <w:szCs w:val="20"/>
          <w:color w:val="auto"/>
        </w:rPr>
      </w:pPr>
    </w:p>
    <w:p>
      <w:pPr>
        <w:ind w:left="2380" w:hanging="428"/>
        <w:spacing w:after="0"/>
        <w:tabs>
          <w:tab w:leader="none" w:pos="238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for amounts credited to the Accounts of Participants who are:</w:t>
      </w:r>
    </w:p>
    <w:p>
      <w:pPr>
        <w:spacing w:after="0" w:line="233" w:lineRule="exact"/>
        <w:rPr>
          <w:rFonts w:ascii="Arial" w:cs="Arial" w:eastAsia="Arial" w:hAnsi="Arial"/>
          <w:sz w:val="22"/>
          <w:szCs w:val="22"/>
          <w:color w:val="auto"/>
        </w:rPr>
      </w:pPr>
    </w:p>
    <w:p>
      <w:pPr>
        <w:ind w:left="2980" w:hanging="380"/>
        <w:spacing w:after="0"/>
        <w:tabs>
          <w:tab w:leader="none" w:pos="2980" w:val="left"/>
        </w:tabs>
        <w:numPr>
          <w:ilvl w:val="1"/>
          <w:numId w:val="97"/>
        </w:numPr>
        <w:rPr>
          <w:rFonts w:ascii="Arial" w:cs="Arial" w:eastAsia="Arial" w:hAnsi="Arial"/>
          <w:sz w:val="19"/>
          <w:szCs w:val="19"/>
          <w:color w:val="auto"/>
        </w:rPr>
      </w:pPr>
      <w:r>
        <w:rPr>
          <w:rFonts w:ascii="Arial" w:cs="Arial" w:eastAsia="Arial" w:hAnsi="Arial"/>
          <w:sz w:val="19"/>
          <w:szCs w:val="19"/>
          <w:color w:val="auto"/>
        </w:rPr>
        <w:t>Outside Directors who have elected to defer the receipt of Compensation payable in the form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 Company Stock,</w:t>
      </w:r>
    </w:p>
    <w:p>
      <w:pPr>
        <w:spacing w:after="0" w:line="215" w:lineRule="exact"/>
        <w:rPr>
          <w:sz w:val="20"/>
          <w:szCs w:val="20"/>
          <w:color w:val="auto"/>
        </w:rPr>
      </w:pPr>
    </w:p>
    <w:p>
      <w:pPr>
        <w:ind w:left="3040" w:hanging="440"/>
        <w:spacing w:after="0"/>
        <w:tabs>
          <w:tab w:leader="none" w:pos="30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Participants subject to the Income Fund Limit;</w:t>
      </w:r>
    </w:p>
    <w:p>
      <w:pPr>
        <w:spacing w:after="0" w:line="233" w:lineRule="exact"/>
        <w:rPr>
          <w:rFonts w:ascii="Arial" w:cs="Arial" w:eastAsia="Arial" w:hAnsi="Arial"/>
          <w:sz w:val="22"/>
          <w:szCs w:val="22"/>
          <w:color w:val="auto"/>
        </w:rPr>
      </w:pPr>
    </w:p>
    <w:p>
      <w:pPr>
        <w:ind w:right="260" w:firstLine="2600"/>
        <w:spacing w:after="0" w:line="259" w:lineRule="auto"/>
        <w:tabs>
          <w:tab w:leader="none" w:pos="3096" w:val="left"/>
        </w:tabs>
        <w:numPr>
          <w:ilvl w:val="0"/>
          <w:numId w:val="98"/>
        </w:numPr>
        <w:rPr>
          <w:rFonts w:ascii="Arial" w:cs="Arial" w:eastAsia="Arial" w:hAnsi="Arial"/>
          <w:sz w:val="22"/>
          <w:szCs w:val="22"/>
          <w:color w:val="auto"/>
        </w:rPr>
      </w:pPr>
      <w:r>
        <w:rPr>
          <w:rFonts w:ascii="Arial" w:cs="Arial" w:eastAsia="Arial" w:hAnsi="Arial"/>
          <w:sz w:val="22"/>
          <w:szCs w:val="22"/>
          <w:color w:val="auto"/>
        </w:rPr>
        <w:t>Section 16 Officers who, pursuant to rules established by the Administrator or its delegate, have elected to transfer amounts credited to their Accounts that are deemed to be invested in the Income Fund to an Other Investment Fund; and</w:t>
      </w:r>
    </w:p>
    <w:p>
      <w:pPr>
        <w:spacing w:after="0" w:line="180" w:lineRule="exact"/>
        <w:rPr>
          <w:rFonts w:ascii="Arial" w:cs="Arial" w:eastAsia="Arial" w:hAnsi="Arial"/>
          <w:sz w:val="22"/>
          <w:szCs w:val="22"/>
          <w:color w:val="auto"/>
        </w:rPr>
      </w:pPr>
    </w:p>
    <w:p>
      <w:pPr>
        <w:ind w:right="380" w:firstLine="2600"/>
        <w:spacing w:after="0" w:line="276" w:lineRule="auto"/>
        <w:tabs>
          <w:tab w:leader="none" w:pos="3084" w:val="left"/>
        </w:tabs>
        <w:numPr>
          <w:ilvl w:val="0"/>
          <w:numId w:val="98"/>
        </w:numPr>
        <w:rPr>
          <w:rFonts w:ascii="Arial" w:cs="Arial" w:eastAsia="Arial" w:hAnsi="Arial"/>
          <w:sz w:val="22"/>
          <w:szCs w:val="22"/>
          <w:color w:val="auto"/>
        </w:rPr>
      </w:pPr>
      <w:r>
        <w:rPr>
          <w:rFonts w:ascii="Arial" w:cs="Arial" w:eastAsia="Arial" w:hAnsi="Arial"/>
          <w:sz w:val="22"/>
          <w:szCs w:val="22"/>
          <w:color w:val="auto"/>
        </w:rPr>
        <w:t>Outside Directors and Section 16 Officers, with respect to amounts subject to Subsequent Elections permitted to be made after their termination of service;</w:t>
      </w:r>
    </w:p>
    <w:p>
      <w:pPr>
        <w:spacing w:after="0" w:line="161"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all amounts credited to Participants’ Accounts shall be credited with income, gains and losses as if they were invested in the Income Fund.</w:t>
      </w:r>
    </w:p>
    <w:p>
      <w:pPr>
        <w:spacing w:after="0" w:line="175" w:lineRule="exact"/>
        <w:rPr>
          <w:sz w:val="20"/>
          <w:szCs w:val="20"/>
          <w:color w:val="auto"/>
        </w:rPr>
      </w:pPr>
    </w:p>
    <w:p>
      <w:pPr>
        <w:ind w:left="2660" w:hanging="708"/>
        <w:spacing w:after="0"/>
        <w:tabs>
          <w:tab w:leader="none" w:pos="2660"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Crediting of Income, Gains, and Losses on Accounts Subject to Investment Restrictions</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2980" w:hanging="380"/>
        <w:spacing w:after="0"/>
        <w:tabs>
          <w:tab w:leader="none" w:pos="2980"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Credits to Other Investment Funds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380" w:hanging="484"/>
        <w:spacing w:after="0"/>
        <w:tabs>
          <w:tab w:leader="none" w:pos="4380" w:val="left"/>
        </w:tabs>
        <w:numPr>
          <w:ilvl w:val="2"/>
          <w:numId w:val="99"/>
        </w:numPr>
        <w:rPr>
          <w:rFonts w:ascii="Arial" w:cs="Arial" w:eastAsia="Arial" w:hAnsi="Arial"/>
          <w:sz w:val="19"/>
          <w:szCs w:val="19"/>
          <w:color w:val="auto"/>
        </w:rPr>
      </w:pPr>
      <w:r>
        <w:rPr>
          <w:rFonts w:ascii="Arial" w:cs="Arial" w:eastAsia="Arial" w:hAnsi="Arial"/>
          <w:sz w:val="19"/>
          <w:szCs w:val="19"/>
          <w:u w:val="single" w:color="auto"/>
          <w:color w:val="auto"/>
        </w:rPr>
        <w:t>Post-Termination Elections</w:t>
      </w:r>
      <w:r>
        <w:rPr>
          <w:rFonts w:ascii="Arial" w:cs="Arial" w:eastAsia="Arial" w:hAnsi="Arial"/>
          <w:sz w:val="19"/>
          <w:szCs w:val="19"/>
          <w:color w:val="auto"/>
        </w:rPr>
        <w:t>. The Accounts of Outside Directors and Section 16</w:t>
      </w:r>
    </w:p>
    <w:p>
      <w:pPr>
        <w:spacing w:after="0" w:line="55" w:lineRule="exact"/>
        <w:rPr>
          <w:rFonts w:ascii="Arial" w:cs="Arial" w:eastAsia="Arial" w:hAnsi="Arial"/>
          <w:sz w:val="19"/>
          <w:szCs w:val="19"/>
          <w:color w:val="auto"/>
        </w:rPr>
      </w:pPr>
    </w:p>
    <w:p>
      <w:pPr>
        <w:ind w:right="620"/>
        <w:spacing w:after="0" w:line="259" w:lineRule="auto"/>
        <w:rPr>
          <w:rFonts w:ascii="Arial" w:cs="Arial" w:eastAsia="Arial" w:hAnsi="Arial"/>
          <w:sz w:val="19"/>
          <w:szCs w:val="19"/>
          <w:color w:val="auto"/>
        </w:rPr>
      </w:pPr>
      <w:r>
        <w:rPr>
          <w:rFonts w:ascii="Arial" w:cs="Arial" w:eastAsia="Arial" w:hAnsi="Arial"/>
          <w:sz w:val="22"/>
          <w:szCs w:val="22"/>
          <w:color w:val="auto"/>
        </w:rPr>
        <w:t>Officers whose Subsequent Elections are made after their termination of service in accordance with Section 3.5(a) shall be credited to an Other Investment Fund.</w:t>
      </w:r>
    </w:p>
    <w:p>
      <w:pPr>
        <w:spacing w:after="0" w:line="178" w:lineRule="exact"/>
        <w:rPr>
          <w:rFonts w:ascii="Arial" w:cs="Arial" w:eastAsia="Arial" w:hAnsi="Arial"/>
          <w:sz w:val="19"/>
          <w:szCs w:val="19"/>
          <w:color w:val="auto"/>
        </w:rPr>
      </w:pPr>
    </w:p>
    <w:p>
      <w:pPr>
        <w:ind w:left="4360" w:hanging="464"/>
        <w:spacing w:after="0"/>
        <w:tabs>
          <w:tab w:leader="none" w:pos="4360" w:val="left"/>
        </w:tabs>
        <w:numPr>
          <w:ilvl w:val="2"/>
          <w:numId w:val="99"/>
        </w:numPr>
        <w:rPr>
          <w:rFonts w:ascii="Arial" w:cs="Arial" w:eastAsia="Arial" w:hAnsi="Arial"/>
          <w:sz w:val="22"/>
          <w:szCs w:val="22"/>
          <w:color w:val="auto"/>
        </w:rPr>
      </w:pPr>
      <w:r>
        <w:rPr>
          <w:rFonts w:ascii="Arial" w:cs="Arial" w:eastAsia="Arial" w:hAnsi="Arial"/>
          <w:sz w:val="22"/>
          <w:szCs w:val="22"/>
          <w:u w:val="single" w:color="auto"/>
          <w:color w:val="auto"/>
        </w:rPr>
        <w:t>Participants Whose Income Fund Exceeds the Income Fund Limit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980" w:hanging="436"/>
        <w:spacing w:after="0"/>
        <w:tabs>
          <w:tab w:leader="none" w:pos="4980" w:val="left"/>
        </w:tabs>
        <w:numPr>
          <w:ilvl w:val="3"/>
          <w:numId w:val="99"/>
        </w:numPr>
        <w:rPr>
          <w:rFonts w:ascii="Arial" w:cs="Arial" w:eastAsia="Arial" w:hAnsi="Arial"/>
          <w:sz w:val="19"/>
          <w:szCs w:val="19"/>
          <w:color w:val="auto"/>
        </w:rPr>
      </w:pPr>
      <w:r>
        <w:rPr>
          <w:rFonts w:ascii="Arial" w:cs="Arial" w:eastAsia="Arial" w:hAnsi="Arial"/>
          <w:sz w:val="19"/>
          <w:szCs w:val="19"/>
          <w:u w:val="single" w:color="auto"/>
          <w:color w:val="auto"/>
        </w:rPr>
        <w:t>Subsequent Election</w:t>
      </w:r>
      <w:r>
        <w:rPr>
          <w:rFonts w:ascii="Arial" w:cs="Arial" w:eastAsia="Arial" w:hAnsi="Arial"/>
          <w:sz w:val="19"/>
          <w:szCs w:val="19"/>
          <w:color w:val="auto"/>
        </w:rPr>
        <w:t>. Amounts subject to a Subsequent Election that</w:t>
      </w:r>
    </w:p>
    <w:p>
      <w:pPr>
        <w:spacing w:after="0" w:line="55" w:lineRule="exact"/>
        <w:rPr>
          <w:rFonts w:ascii="Arial" w:cs="Arial" w:eastAsia="Arial" w:hAnsi="Arial"/>
          <w:sz w:val="19"/>
          <w:szCs w:val="19"/>
          <w:color w:val="auto"/>
        </w:rPr>
      </w:pPr>
    </w:p>
    <w:p>
      <w:pPr>
        <w:ind w:right="140"/>
        <w:spacing w:after="0" w:line="259" w:lineRule="auto"/>
        <w:rPr>
          <w:rFonts w:ascii="Arial" w:cs="Arial" w:eastAsia="Arial" w:hAnsi="Arial"/>
          <w:sz w:val="19"/>
          <w:szCs w:val="19"/>
          <w:color w:val="auto"/>
        </w:rPr>
      </w:pPr>
      <w:r>
        <w:rPr>
          <w:rFonts w:ascii="Arial" w:cs="Arial" w:eastAsia="Arial" w:hAnsi="Arial"/>
          <w:sz w:val="22"/>
          <w:szCs w:val="22"/>
          <w:color w:val="auto"/>
        </w:rPr>
        <w:t>takes effect while a Participant’s Income Fund exceeds the Income Fund Limit shall be deemed invested in an Other Investment Fund.</w:t>
      </w:r>
    </w:p>
    <w:p>
      <w:pPr>
        <w:spacing w:after="0" w:line="178" w:lineRule="exact"/>
        <w:rPr>
          <w:rFonts w:ascii="Arial" w:cs="Arial" w:eastAsia="Arial" w:hAnsi="Arial"/>
          <w:sz w:val="19"/>
          <w:szCs w:val="19"/>
          <w:color w:val="auto"/>
        </w:rPr>
      </w:pPr>
    </w:p>
    <w:p>
      <w:pPr>
        <w:ind w:left="4980" w:hanging="436"/>
        <w:spacing w:after="0"/>
        <w:tabs>
          <w:tab w:leader="none" w:pos="4980" w:val="left"/>
        </w:tabs>
        <w:numPr>
          <w:ilvl w:val="3"/>
          <w:numId w:val="99"/>
        </w:numPr>
        <w:rPr>
          <w:rFonts w:ascii="Arial" w:cs="Arial" w:eastAsia="Arial" w:hAnsi="Arial"/>
          <w:sz w:val="21"/>
          <w:szCs w:val="21"/>
          <w:color w:val="auto"/>
        </w:rPr>
      </w:pPr>
      <w:r>
        <w:rPr>
          <w:rFonts w:ascii="Arial" w:cs="Arial" w:eastAsia="Arial" w:hAnsi="Arial"/>
          <w:sz w:val="21"/>
          <w:szCs w:val="21"/>
          <w:u w:val="single" w:color="auto"/>
          <w:color w:val="auto"/>
        </w:rPr>
        <w:t>Year-End Adjustments</w:t>
      </w:r>
      <w:r>
        <w:rPr>
          <w:rFonts w:ascii="Arial" w:cs="Arial" w:eastAsia="Arial" w:hAnsi="Arial"/>
          <w:sz w:val="21"/>
          <w:szCs w:val="21"/>
          <w:color w:val="auto"/>
        </w:rPr>
        <w:t>. If a Participant’s Income Fund exceeds the</w:t>
      </w:r>
    </w:p>
    <w:p>
      <w:pPr>
        <w:spacing w:after="0" w:line="32" w:lineRule="exact"/>
        <w:rPr>
          <w:rFonts w:ascii="Arial" w:cs="Arial" w:eastAsia="Arial" w:hAnsi="Arial"/>
          <w:sz w:val="21"/>
          <w:szCs w:val="21"/>
          <w:color w:val="auto"/>
        </w:rPr>
      </w:pPr>
    </w:p>
    <w:p>
      <w:pPr>
        <w:ind w:right="260"/>
        <w:spacing w:after="0" w:line="259" w:lineRule="auto"/>
        <w:rPr>
          <w:rFonts w:ascii="Arial" w:cs="Arial" w:eastAsia="Arial" w:hAnsi="Arial"/>
          <w:sz w:val="21"/>
          <w:szCs w:val="21"/>
          <w:color w:val="auto"/>
        </w:rPr>
      </w:pPr>
      <w:r>
        <w:rPr>
          <w:rFonts w:ascii="Arial" w:cs="Arial" w:eastAsia="Arial" w:hAnsi="Arial"/>
          <w:sz w:val="22"/>
          <w:szCs w:val="22"/>
          <w:color w:val="auto"/>
        </w:rPr>
        <w:t xml:space="preserve">Income Fund Limit as of the last day of each Plan Year, the excess of (x) the amount credited to the Participant’s Income Fund </w:t>
      </w:r>
      <w:r>
        <w:rPr>
          <w:rFonts w:ascii="Arial" w:cs="Arial" w:eastAsia="Arial" w:hAnsi="Arial"/>
          <w:sz w:val="22"/>
          <w:szCs w:val="22"/>
          <w:i w:val="1"/>
          <w:iCs w:val="1"/>
          <w:color w:val="auto"/>
        </w:rPr>
        <w:t xml:space="preserve">over </w:t>
      </w:r>
      <w:r>
        <w:rPr>
          <w:rFonts w:ascii="Arial" w:cs="Arial" w:eastAsia="Arial" w:hAnsi="Arial"/>
          <w:sz w:val="22"/>
          <w:szCs w:val="22"/>
          <w:color w:val="auto"/>
        </w:rPr>
        <w:t>(y) the Income Fund Limit shall be transferred to an Other Investment Fund.</w:t>
      </w:r>
    </w:p>
    <w:p>
      <w:pPr>
        <w:sectPr>
          <w:pgSz w:w="11900" w:h="16838" w:orient="portrait"/>
          <w:cols w:equalWidth="0" w:num="1">
            <w:col w:w="11200"/>
          </w:cols>
          <w:pgMar w:left="320" w:top="348" w:right="379" w:bottom="1440" w:gutter="0" w:footer="0" w:header="0"/>
        </w:sectPr>
      </w:pPr>
    </w:p>
    <w:bookmarkStart w:id="77" w:name="page78"/>
    <w:bookmarkEnd w:id="77"/>
    <w:p>
      <w:pPr>
        <w:jc w:val="both"/>
        <w:ind w:left="-1120" w:right="40" w:firstLine="3896"/>
        <w:spacing w:after="0" w:line="266" w:lineRule="auto"/>
        <w:tabs>
          <w:tab w:leader="none" w:pos="3236" w:val="left"/>
        </w:tabs>
        <w:numPr>
          <w:ilvl w:val="2"/>
          <w:numId w:val="100"/>
        </w:numPr>
        <w:rPr>
          <w:rFonts w:ascii="Arial" w:cs="Arial" w:eastAsia="Arial" w:hAnsi="Arial"/>
          <w:sz w:val="21"/>
          <w:szCs w:val="21"/>
          <w:color w:val="auto"/>
        </w:rPr>
      </w:pPr>
      <w:r>
        <w:rPr>
          <w:rFonts w:ascii="Arial" w:cs="Arial" w:eastAsia="Arial" w:hAnsi="Arial"/>
          <w:sz w:val="21"/>
          <w:szCs w:val="21"/>
          <w:u w:val="single" w:color="auto"/>
          <w:color w:val="auto"/>
        </w:rPr>
        <w:t>Section 16 Officers</w:t>
      </w:r>
      <w:r>
        <w:rPr>
          <w:rFonts w:ascii="Arial" w:cs="Arial" w:eastAsia="Arial" w:hAnsi="Arial"/>
          <w:sz w:val="21"/>
          <w:szCs w:val="21"/>
          <w:color w:val="auto"/>
        </w:rPr>
        <w:t>. Pursuant to rules established by the Administrator or its delegate, a Section 16 Officer may elect to (x) transfer amounts credited to their Account that are deemed to be invested in the Income Fund to an Other Investment Fund, or (y) transfer amounts credited to their Account that are deemed to be invested in an Other Investment Fund to the Income Fund to the extent that immediately after such transfer, the amount credited to such Section 16 Officer’s Income Fund does not exceed the Income Fund Limit.</w:t>
      </w:r>
    </w:p>
    <w:p>
      <w:pPr>
        <w:spacing w:after="0" w:line="173" w:lineRule="exact"/>
        <w:rPr>
          <w:rFonts w:ascii="Arial" w:cs="Arial" w:eastAsia="Arial" w:hAnsi="Arial"/>
          <w:sz w:val="21"/>
          <w:szCs w:val="21"/>
          <w:color w:val="auto"/>
        </w:rPr>
      </w:pPr>
    </w:p>
    <w:p>
      <w:pPr>
        <w:ind w:left="-1120" w:right="40" w:firstLine="2600"/>
        <w:spacing w:after="0" w:line="259" w:lineRule="auto"/>
        <w:tabs>
          <w:tab w:leader="none" w:pos="1916"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Protocol for Deemed Transfers between Income Fund and an Other Investment Fund</w:t>
      </w:r>
      <w:r>
        <w:rPr>
          <w:rFonts w:ascii="Arial" w:cs="Arial" w:eastAsia="Arial" w:hAnsi="Arial"/>
          <w:sz w:val="21"/>
          <w:szCs w:val="21"/>
          <w:color w:val="auto"/>
        </w:rPr>
        <w:t>. As provided in Article III, the timing of distributions of amounts credited to a Participant’s Account is established pursuant to Initial Elections and Subsequent Elections, and a Participant may elect various distribution dates for amounts subject to Initial Elections and Subsequent Elections. Amounts deemed transferred from the Income Fund to Other Investment Funds as a result of the application of the Income Fund Limit or pursuant to elective transfers described in Section 5.2(b)(i)(C), and amounts deemed transferred from an Other Investment Fund to the Income Fund pursuant to elective transfers described in Section 5.2(b)(i)(C) shall be sourced and allocated on a uniform and consistent basis as determined by the 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 and provided further than no amounts shall be deemed transferred to or from the Income Fund under the Prior Plan.</w:t>
      </w:r>
    </w:p>
    <w:p>
      <w:pPr>
        <w:spacing w:after="0" w:line="184" w:lineRule="exact"/>
        <w:rPr>
          <w:rFonts w:ascii="Arial" w:cs="Arial" w:eastAsia="Arial" w:hAnsi="Arial"/>
          <w:sz w:val="21"/>
          <w:szCs w:val="21"/>
          <w:color w:val="auto"/>
        </w:rPr>
      </w:pPr>
    </w:p>
    <w:p>
      <w:pPr>
        <w:ind w:left="-1120" w:firstLine="1952"/>
        <w:spacing w:after="0" w:line="248" w:lineRule="auto"/>
        <w:tabs>
          <w:tab w:leader="none" w:pos="1514"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Stock Fund Credits</w:t>
      </w:r>
      <w:r>
        <w:rPr>
          <w:rFonts w:ascii="Arial" w:cs="Arial" w:eastAsia="Arial" w:hAnsi="Arial"/>
          <w:sz w:val="22"/>
          <w:szCs w:val="22"/>
          <w:color w:val="auto"/>
        </w:rPr>
        <w:t>. Amounts credited to the Accounts of Outside Directors and High Balance Participants in the form of Company Stock shall be credited with income, gains, and losses as if they were invested in the Company Stock Fund. Except as otherwise provided with respect to Section 16 Officers pursuant to Section 5.2(b)(i)(C) or by the Administrator with respect to Participants who are not Section 16 Officers, no portion of such Participant’s Account may be deemed transferred from the Company Stock Fund to the Income Fund or to an Other Investment Fund. Amounts credited in the form of Company Stock at the time of distribution to the Accounts of (i) Outside Directors and (ii) Participants under circumstances described in Section 5.2(a)(iv) shall be distributed in the form of Company Stock, rounded to the nearest lower whole share.</w:t>
      </w:r>
    </w:p>
    <w:p>
      <w:pPr>
        <w:spacing w:after="0" w:line="190" w:lineRule="exact"/>
        <w:rPr>
          <w:rFonts w:ascii="Arial" w:cs="Arial" w:eastAsia="Arial" w:hAnsi="Arial"/>
          <w:sz w:val="22"/>
          <w:szCs w:val="22"/>
          <w:color w:val="auto"/>
        </w:rPr>
      </w:pPr>
    </w:p>
    <w:p>
      <w:pPr>
        <w:ind w:left="-1120" w:right="20" w:firstLine="1952"/>
        <w:spacing w:after="0" w:line="260" w:lineRule="auto"/>
        <w:tabs>
          <w:tab w:leader="none" w:pos="1256"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Timing of Credits</w:t>
      </w:r>
      <w:r>
        <w:rPr>
          <w:rFonts w:ascii="Arial" w:cs="Arial" w:eastAsia="Arial" w:hAnsi="Arial"/>
          <w:sz w:val="21"/>
          <w:szCs w:val="21"/>
          <w:color w:val="auto"/>
        </w:rPr>
        <w:t>. Except as otherwise provided in this Section 5.2,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w:t>
      </w:r>
    </w:p>
    <w:p>
      <w:pPr>
        <w:sectPr>
          <w:pgSz w:w="11900" w:h="16838" w:orient="portrait"/>
          <w:cols w:equalWidth="0" w:num="1">
            <w:col w:w="10100"/>
          </w:cols>
          <w:pgMar w:left="1440" w:top="348" w:right="359" w:bottom="1440" w:gutter="0" w:footer="0" w:header="0"/>
        </w:sectPr>
      </w:pPr>
    </w:p>
    <w:bookmarkStart w:id="78" w:name="page79"/>
    <w:bookmarkEnd w:id="78"/>
    <w:p>
      <w:pPr>
        <w:ind w:right="220"/>
        <w:spacing w:after="0" w:line="343" w:lineRule="auto"/>
        <w:rPr>
          <w:sz w:val="20"/>
          <w:szCs w:val="20"/>
          <w:color w:val="auto"/>
        </w:rPr>
      </w:pPr>
      <w:r>
        <w:rPr>
          <w:rFonts w:ascii="Arial" w:cs="Arial" w:eastAsia="Arial" w:hAnsi="Arial"/>
          <w:sz w:val="19"/>
          <w:szCs w:val="19"/>
          <w:color w:val="auto"/>
        </w:rPr>
        <w:t>The value of amounts deemed invested in an Other Investment Fund shall be based on hypothetical purchases and sales of such Other Investment Fund at Fair Market Value as of the effective date of the applicable investment election.</w:t>
      </w:r>
    </w:p>
    <w:p>
      <w:pPr>
        <w:spacing w:after="0" w:line="104" w:lineRule="exact"/>
        <w:rPr>
          <w:sz w:val="20"/>
          <w:szCs w:val="20"/>
          <w:color w:val="auto"/>
        </w:rPr>
      </w:pPr>
    </w:p>
    <w:p>
      <w:pPr>
        <w:ind w:right="460" w:firstLine="1296"/>
        <w:spacing w:after="0" w:line="3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Status of Deferred Amounts</w:t>
      </w:r>
      <w:r>
        <w:rPr>
          <w:rFonts w:ascii="Arial" w:cs="Arial" w:eastAsia="Arial" w:hAnsi="Arial"/>
          <w:sz w:val="19"/>
          <w:szCs w:val="19"/>
          <w:color w:val="auto"/>
        </w:rPr>
        <w:t>. Regardless of whether or not the Company is a Participant’s employer, all Compensation deferred under this Plan shall continue for all purposes to be a part of the general funds of the Company.</w:t>
      </w:r>
    </w:p>
    <w:p>
      <w:pPr>
        <w:spacing w:after="0" w:line="91" w:lineRule="exact"/>
        <w:rPr>
          <w:sz w:val="20"/>
          <w:szCs w:val="20"/>
          <w:color w:val="auto"/>
        </w:rPr>
      </w:pPr>
    </w:p>
    <w:p>
      <w:pPr>
        <w:ind w:right="80" w:firstLine="1296"/>
        <w:spacing w:after="0" w:line="264"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Participants’ Status as General Creditors</w:t>
      </w:r>
      <w:r>
        <w:rPr>
          <w:rFonts w:ascii="Arial" w:cs="Arial" w:eastAsia="Arial" w:hAnsi="Arial"/>
          <w:sz w:val="21"/>
          <w:szCs w:val="21"/>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 – NO ALIENATION OF BENEFITS; PAYEE DESIGNATION</w:t>
      </w:r>
    </w:p>
    <w:p>
      <w:pPr>
        <w:spacing w:after="0" w:line="226" w:lineRule="exact"/>
        <w:rPr>
          <w:sz w:val="20"/>
          <w:szCs w:val="20"/>
          <w:color w:val="auto"/>
        </w:rPr>
      </w:pPr>
    </w:p>
    <w:p>
      <w:pPr>
        <w:ind w:right="140" w:firstLine="1296"/>
        <w:spacing w:after="0" w:line="266"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Non-Alienation</w:t>
      </w:r>
      <w:r>
        <w:rPr>
          <w:rFonts w:ascii="Arial" w:cs="Arial" w:eastAsia="Arial" w:hAnsi="Arial"/>
          <w:sz w:val="21"/>
          <w:szCs w:val="21"/>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74" w:lineRule="exact"/>
        <w:rPr>
          <w:sz w:val="20"/>
          <w:szCs w:val="20"/>
          <w:color w:val="auto"/>
        </w:rPr>
      </w:pPr>
    </w:p>
    <w:p>
      <w:pPr>
        <w:ind w:firstLine="1296"/>
        <w:spacing w:after="0" w:line="262"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Domestic Relations Orders</w:t>
      </w:r>
      <w:r>
        <w:rPr>
          <w:rFonts w:ascii="Arial" w:cs="Arial" w:eastAsia="Arial" w:hAnsi="Arial"/>
          <w:sz w:val="21"/>
          <w:szCs w:val="21"/>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80" w:lineRule="exact"/>
        <w:rPr>
          <w:sz w:val="20"/>
          <w:szCs w:val="20"/>
          <w:color w:val="auto"/>
        </w:rPr>
      </w:pPr>
    </w:p>
    <w:p>
      <w:pPr>
        <w:ind w:right="100" w:firstLine="1296"/>
        <w:spacing w:after="0" w:line="294"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Payee Designation</w:t>
      </w:r>
      <w:r>
        <w:rPr>
          <w:rFonts w:ascii="Arial" w:cs="Arial" w:eastAsia="Arial" w:hAnsi="Arial"/>
          <w:sz w:val="19"/>
          <w:szCs w:val="19"/>
          <w:color w:val="auto"/>
        </w:rPr>
        <w:t>.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ectPr>
          <w:pgSz w:w="11900" w:h="16838" w:orient="portrait"/>
          <w:cols w:equalWidth="0" w:num="1">
            <w:col w:w="11240"/>
          </w:cols>
          <w:pgMar w:left="320" w:top="348"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2"/>
          <w:szCs w:val="22"/>
          <w:b w:val="1"/>
          <w:bCs w:val="1"/>
          <w:color w:val="auto"/>
        </w:rPr>
        <w:t>ARTICLE 7– DEATH OF PARTICIPANT</w:t>
      </w:r>
    </w:p>
    <w:p>
      <w:pPr>
        <w:spacing w:after="0" w:line="226" w:lineRule="exact"/>
        <w:rPr>
          <w:sz w:val="20"/>
          <w:szCs w:val="20"/>
          <w:color w:val="auto"/>
        </w:rPr>
      </w:pPr>
    </w:p>
    <w:p>
      <w:pPr>
        <w:ind w:firstLine="1296"/>
        <w:spacing w:after="0" w:line="259"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Death of Participant</w:t>
      </w:r>
      <w:r>
        <w:rPr>
          <w:rFonts w:ascii="Arial" w:cs="Arial" w:eastAsia="Arial" w:hAnsi="Arial"/>
          <w:sz w:val="22"/>
          <w:szCs w:val="22"/>
          <w:color w:val="auto"/>
        </w:rPr>
        <w:t>. Except as otherwise provided in Section 3.5, a Deceased Participant’s Account shall be distributed in accordance with the last Initial Election or Subsequent Election made by the Deceased Participant before the Deceased Participant’s death.</w:t>
      </w:r>
    </w:p>
    <w:p>
      <w:pPr>
        <w:spacing w:after="0" w:line="180" w:lineRule="exact"/>
        <w:rPr>
          <w:sz w:val="20"/>
          <w:szCs w:val="20"/>
          <w:color w:val="auto"/>
        </w:rPr>
      </w:pPr>
    </w:p>
    <w:p>
      <w:pPr>
        <w:ind w:right="20" w:firstLine="1296"/>
        <w:spacing w:after="0" w:line="260"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Designation of Beneficiaries</w:t>
      </w:r>
      <w:r>
        <w:rPr>
          <w:rFonts w:ascii="Arial" w:cs="Arial" w:eastAsia="Arial" w:hAnsi="Arial"/>
          <w:sz w:val="21"/>
          <w:szCs w:val="21"/>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8 – HARDSHIP AND OTHER ACCELERATION EVENTS</w:t>
      </w:r>
    </w:p>
    <w:p>
      <w:pPr>
        <w:spacing w:after="0" w:line="226" w:lineRule="exact"/>
        <w:rPr>
          <w:sz w:val="20"/>
          <w:szCs w:val="20"/>
          <w:color w:val="auto"/>
        </w:rPr>
      </w:pPr>
    </w:p>
    <w:p>
      <w:pPr>
        <w:jc w:val="both"/>
        <w:ind w:right="340" w:firstLine="1296"/>
        <w:spacing w:after="0" w:line="259"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Hardship</w:t>
      </w:r>
      <w:r>
        <w:rPr>
          <w:rFonts w:ascii="Arial" w:cs="Arial" w:eastAsia="Arial" w:hAnsi="Arial"/>
          <w:sz w:val="22"/>
          <w:szCs w:val="22"/>
          <w:color w:val="auto"/>
        </w:rPr>
        <w:t>. Notwithstanding the terms of an Initial Election or Subsequent Election, if, at the Participant’s request, the Committee determines that the Participant has incurred a Hardship, the Board may, in its discretion, authorize the immediate distribution of all or any portion of the Participant’s Account.</w:t>
      </w:r>
    </w:p>
    <w:p>
      <w:pPr>
        <w:spacing w:after="0" w:line="180" w:lineRule="exact"/>
        <w:rPr>
          <w:sz w:val="20"/>
          <w:szCs w:val="20"/>
          <w:color w:val="auto"/>
        </w:rPr>
      </w:pPr>
    </w:p>
    <w:p>
      <w:pPr>
        <w:ind w:right="60" w:firstLine="1296"/>
        <w:spacing w:after="0" w:line="276"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Other Acceleration Events</w:t>
      </w:r>
      <w:r>
        <w:rPr>
          <w:rFonts w:ascii="Arial" w:cs="Arial" w:eastAsia="Arial" w:hAnsi="Arial"/>
          <w:sz w:val="22"/>
          <w:szCs w:val="22"/>
          <w:color w:val="auto"/>
        </w:rPr>
        <w:t>. To the extent permitted by Section 409A, notwithstanding the terms of an Initial Election or Subsequent Election, distribution of all or part of a Participant’s Account may be made:</w:t>
      </w:r>
    </w:p>
    <w:p>
      <w:pPr>
        <w:spacing w:after="0" w:line="161" w:lineRule="exact"/>
        <w:rPr>
          <w:sz w:val="20"/>
          <w:szCs w:val="20"/>
          <w:color w:val="auto"/>
        </w:rPr>
      </w:pPr>
    </w:p>
    <w:p>
      <w:pPr>
        <w:ind w:right="220" w:firstLine="1952"/>
        <w:spacing w:after="0" w:line="276" w:lineRule="auto"/>
        <w:tabs>
          <w:tab w:leader="none" w:pos="263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To fulfill a domestic relations order (as defined in section 414(p)(1)(B) of the Code) to the extent permitted by Treasury Regulations section 1.409A-3(j)(4)(ii) or any successor provision of law).</w:t>
      </w:r>
    </w:p>
    <w:p>
      <w:pPr>
        <w:spacing w:after="0" w:line="160" w:lineRule="exact"/>
        <w:rPr>
          <w:rFonts w:ascii="Arial" w:cs="Arial" w:eastAsia="Arial" w:hAnsi="Arial"/>
          <w:sz w:val="22"/>
          <w:szCs w:val="22"/>
          <w:color w:val="auto"/>
        </w:rPr>
      </w:pPr>
    </w:p>
    <w:p>
      <w:pPr>
        <w:ind w:right="660" w:firstLine="1952"/>
        <w:spacing w:after="0" w:line="276" w:lineRule="auto"/>
        <w:tabs>
          <w:tab w:leader="none" w:pos="2642"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To the extent necessary to comply with laws relating to avoidance of conflicts of interest, as provided in Treasury Regulation section 1.409A-3(j)(4)(iii) (or any successor provision of law).</w:t>
      </w:r>
    </w:p>
    <w:p>
      <w:pPr>
        <w:spacing w:after="0" w:line="160" w:lineRule="exact"/>
        <w:rPr>
          <w:rFonts w:ascii="Arial" w:cs="Arial" w:eastAsia="Arial" w:hAnsi="Arial"/>
          <w:sz w:val="22"/>
          <w:szCs w:val="22"/>
          <w:color w:val="auto"/>
        </w:rPr>
      </w:pPr>
    </w:p>
    <w:p>
      <w:pPr>
        <w:ind w:left="2640" w:hanging="688"/>
        <w:spacing w:after="0"/>
        <w:tabs>
          <w:tab w:leader="none" w:pos="264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To pay employment taxes to the extent permitted by Treasury Regulation section 1.409A-3(j)(4)</w:t>
      </w:r>
    </w:p>
    <w:p>
      <w:pPr>
        <w:spacing w:after="0" w:line="55" w:lineRule="exact"/>
        <w:rPr>
          <w:rFonts w:ascii="Arial" w:cs="Arial" w:eastAsia="Arial" w:hAnsi="Arial"/>
          <w:sz w:val="19"/>
          <w:szCs w:val="19"/>
          <w:color w:val="auto"/>
        </w:rPr>
      </w:pPr>
    </w:p>
    <w:p>
      <w:pPr>
        <w:ind w:left="380" w:hanging="372"/>
        <w:spacing w:after="0"/>
        <w:tabs>
          <w:tab w:leader="none" w:pos="3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(or any successor provision of law).</w:t>
      </w:r>
    </w:p>
    <w:p>
      <w:pPr>
        <w:spacing w:after="0" w:line="215" w:lineRule="exact"/>
        <w:rPr>
          <w:rFonts w:ascii="Arial" w:cs="Arial" w:eastAsia="Arial" w:hAnsi="Arial"/>
          <w:sz w:val="22"/>
          <w:szCs w:val="22"/>
          <w:color w:val="auto"/>
        </w:rPr>
      </w:pPr>
    </w:p>
    <w:p>
      <w:pPr>
        <w:ind w:right="540" w:firstLine="1952"/>
        <w:spacing w:after="0" w:line="358" w:lineRule="auto"/>
        <w:tabs>
          <w:tab w:leader="none" w:pos="264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In connection with the recognition of income as the result of a failure to comply with Section 409A, to the extent permitted by Treasury Regulation section 1.409A-3(j)(4)(vii) (or any successor provision of law).</w:t>
      </w:r>
    </w:p>
    <w:p>
      <w:pPr>
        <w:sectPr>
          <w:pgSz w:w="11900" w:h="16838" w:orient="portrait"/>
          <w:cols w:equalWidth="0" w:num="1">
            <w:col w:w="11240"/>
          </w:cols>
          <w:pgMar w:left="320" w:top="342" w:right="339" w:bottom="1440" w:gutter="0" w:footer="0" w:header="0"/>
        </w:sectPr>
      </w:pPr>
    </w:p>
    <w:bookmarkStart w:id="80" w:name="page81"/>
    <w:bookmarkEnd w:id="80"/>
    <w:p>
      <w:pPr>
        <w:ind w:right="100" w:firstLine="1952"/>
        <w:spacing w:after="0" w:line="276" w:lineRule="auto"/>
        <w:tabs>
          <w:tab w:leader="none" w:pos="263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To pay state, local or foreign taxes to the extent permitted by Treasury Regulation section 1.409A-3(j)(4)(xi) (or any successor provision of law).</w:t>
      </w:r>
    </w:p>
    <w:p>
      <w:pPr>
        <w:spacing w:after="0" w:line="160" w:lineRule="exact"/>
        <w:rPr>
          <w:rFonts w:ascii="Arial" w:cs="Arial" w:eastAsia="Arial" w:hAnsi="Arial"/>
          <w:sz w:val="22"/>
          <w:szCs w:val="22"/>
          <w:color w:val="auto"/>
        </w:rPr>
      </w:pPr>
    </w:p>
    <w:p>
      <w:pPr>
        <w:jc w:val="both"/>
        <w:ind w:right="140" w:firstLine="1952"/>
        <w:spacing w:after="0" w:line="259" w:lineRule="auto"/>
        <w:tabs>
          <w:tab w:leader="none" w:pos="261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80" w:lineRule="exact"/>
        <w:rPr>
          <w:rFonts w:ascii="Arial" w:cs="Arial" w:eastAsia="Arial" w:hAnsi="Arial"/>
          <w:sz w:val="22"/>
          <w:szCs w:val="22"/>
          <w:color w:val="auto"/>
        </w:rPr>
      </w:pPr>
    </w:p>
    <w:p>
      <w:pPr>
        <w:ind w:right="880" w:firstLine="1952"/>
        <w:spacing w:after="0" w:line="301" w:lineRule="auto"/>
        <w:tabs>
          <w:tab w:leader="none" w:pos="2646"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In connection with a bona fide dispute as to a Participant’s right to payment, to the extent permitted by Treasury Regulation section 1.409A-3(j)(4)(xiv) (or any successor provision of law).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9 </w:t>
      </w:r>
      <w:r>
        <w:rPr>
          <w:rFonts w:ascii="Arial" w:cs="Arial" w:eastAsia="Arial" w:hAnsi="Arial"/>
          <w:sz w:val="22"/>
          <w:szCs w:val="22"/>
          <w:color w:val="auto"/>
        </w:rPr>
        <w:t>–</w:t>
      </w:r>
      <w:r>
        <w:rPr>
          <w:rFonts w:ascii="Arial" w:cs="Arial" w:eastAsia="Arial" w:hAnsi="Arial"/>
          <w:sz w:val="22"/>
          <w:szCs w:val="22"/>
          <w:b w:val="1"/>
          <w:bCs w:val="1"/>
          <w:color w:val="auto"/>
        </w:rPr>
        <w:t xml:space="preserve"> INTERPRETATION</w:t>
      </w:r>
    </w:p>
    <w:p>
      <w:pPr>
        <w:spacing w:after="0" w:line="226" w:lineRule="exact"/>
        <w:rPr>
          <w:sz w:val="20"/>
          <w:szCs w:val="20"/>
          <w:color w:val="auto"/>
        </w:rPr>
      </w:pPr>
    </w:p>
    <w:p>
      <w:pPr>
        <w:jc w:val="both"/>
        <w:ind w:right="280" w:firstLine="1296"/>
        <w:spacing w:after="0" w:line="259"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Authority of Committee</w:t>
      </w:r>
      <w:r>
        <w:rPr>
          <w:rFonts w:ascii="Arial" w:cs="Arial" w:eastAsia="Arial" w:hAnsi="Arial"/>
          <w:sz w:val="22"/>
          <w:szCs w:val="22"/>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80" w:lineRule="exact"/>
        <w:rPr>
          <w:sz w:val="20"/>
          <w:szCs w:val="20"/>
          <w:color w:val="auto"/>
        </w:rPr>
      </w:pPr>
    </w:p>
    <w:p>
      <w:pPr>
        <w:jc w:val="both"/>
        <w:ind w:right="80" w:firstLine="1296"/>
        <w:spacing w:after="0" w:line="319"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Claims Procedure</w:t>
      </w:r>
      <w:r>
        <w:rPr>
          <w:rFonts w:ascii="Arial" w:cs="Arial" w:eastAsia="Arial" w:hAnsi="Arial"/>
          <w:sz w:val="19"/>
          <w:szCs w:val="19"/>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An Applicant may file a claim for benefits with the Administrator on a form supplied by the Administrator. If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Administrator wholly or partially denies a claim, the Administrator shall provide the Applicant with a written notice stating:</w:t>
      </w:r>
    </w:p>
    <w:p>
      <w:pPr>
        <w:spacing w:after="0" w:line="213" w:lineRule="exact"/>
        <w:rPr>
          <w:sz w:val="20"/>
          <w:szCs w:val="20"/>
          <w:color w:val="auto"/>
        </w:rPr>
      </w:pPr>
    </w:p>
    <w:p>
      <w:pPr>
        <w:ind w:left="2380" w:hanging="428"/>
        <w:spacing w:after="0"/>
        <w:tabs>
          <w:tab w:leader="none" w:pos="23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33" w:lineRule="exact"/>
        <w:rPr>
          <w:rFonts w:ascii="Arial" w:cs="Arial" w:eastAsia="Arial" w:hAnsi="Arial"/>
          <w:sz w:val="22"/>
          <w:szCs w:val="22"/>
          <w:color w:val="auto"/>
        </w:rPr>
      </w:pPr>
    </w:p>
    <w:p>
      <w:pPr>
        <w:ind w:left="2380" w:hanging="428"/>
        <w:spacing w:after="0"/>
        <w:tabs>
          <w:tab w:leader="none" w:pos="23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33" w:lineRule="exact"/>
        <w:rPr>
          <w:rFonts w:ascii="Arial" w:cs="Arial" w:eastAsia="Arial" w:hAnsi="Arial"/>
          <w:sz w:val="22"/>
          <w:szCs w:val="22"/>
          <w:color w:val="auto"/>
        </w:rPr>
      </w:pPr>
    </w:p>
    <w:p>
      <w:pPr>
        <w:ind w:right="500" w:firstLine="1952"/>
        <w:spacing w:after="0" w:line="276" w:lineRule="auto"/>
        <w:tabs>
          <w:tab w:leader="none" w:pos="236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Applicant to perfect the claim and an explanation of why such material or information is necessary; and</w:t>
      </w:r>
    </w:p>
    <w:p>
      <w:pPr>
        <w:spacing w:after="0" w:line="160" w:lineRule="exact"/>
        <w:rPr>
          <w:rFonts w:ascii="Arial" w:cs="Arial" w:eastAsia="Arial" w:hAnsi="Arial"/>
          <w:sz w:val="22"/>
          <w:szCs w:val="22"/>
          <w:color w:val="auto"/>
        </w:rPr>
      </w:pPr>
    </w:p>
    <w:p>
      <w:pPr>
        <w:ind w:left="2380" w:hanging="428"/>
        <w:spacing w:after="0"/>
        <w:tabs>
          <w:tab w:leader="none" w:pos="23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Appropriate information as to the steps to be taken in order to submit a claim for review.</w:t>
      </w:r>
    </w:p>
    <w:p>
      <w:pPr>
        <w:spacing w:after="0" w:line="233"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5"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w:t>
      </w:r>
    </w:p>
    <w:p>
      <w:pPr>
        <w:sectPr>
          <w:pgSz w:w="11900" w:h="16838" w:orient="portrait"/>
          <w:cols w:equalWidth="0" w:num="1">
            <w:col w:w="11240"/>
          </w:cols>
          <w:pgMar w:left="320" w:top="348" w:right="339" w:bottom="1440" w:gutter="0" w:footer="0" w:header="0"/>
        </w:sectPr>
      </w:pPr>
    </w:p>
    <w:bookmarkStart w:id="81" w:name="page82"/>
    <w:bookmarkEnd w:id="81"/>
    <w:p>
      <w:pPr>
        <w:ind w:right="80"/>
        <w:spacing w:after="0" w:line="248" w:lineRule="auto"/>
        <w:rPr>
          <w:sz w:val="20"/>
          <w:szCs w:val="20"/>
          <w:color w:val="auto"/>
        </w:rPr>
      </w:pPr>
      <w:r>
        <w:rPr>
          <w:rFonts w:ascii="Arial" w:cs="Arial" w:eastAsia="Arial" w:hAnsi="Arial"/>
          <w:sz w:val="22"/>
          <w:szCs w:val="22"/>
          <w:color w:val="auto"/>
        </w:rPr>
        <w:t>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92" w:lineRule="exact"/>
        <w:rPr>
          <w:sz w:val="20"/>
          <w:szCs w:val="20"/>
          <w:color w:val="auto"/>
        </w:rPr>
      </w:pPr>
    </w:p>
    <w:p>
      <w:pPr>
        <w:ind w:right="380" w:firstLine="1296"/>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Claims for benefits under the Plan must be filed with the Administrator at the following address: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Comcast Corporation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1701 John F. Kennedy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PA 19103</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10 – AMENDMENT OR TERMINATION</w:t>
      </w:r>
    </w:p>
    <w:p>
      <w:pPr>
        <w:spacing w:after="0" w:line="226" w:lineRule="exact"/>
        <w:rPr>
          <w:sz w:val="20"/>
          <w:szCs w:val="20"/>
          <w:color w:val="auto"/>
        </w:rPr>
      </w:pPr>
    </w:p>
    <w:p>
      <w:pPr>
        <w:ind w:firstLine="1296"/>
        <w:spacing w:after="0" w:line="259"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Amendment or Termination</w:t>
      </w:r>
      <w:r>
        <w:rPr>
          <w:rFonts w:ascii="Arial" w:cs="Arial" w:eastAsia="Arial" w:hAnsi="Arial"/>
          <w:sz w:val="22"/>
          <w:szCs w:val="22"/>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80" w:lineRule="exact"/>
        <w:rPr>
          <w:sz w:val="20"/>
          <w:szCs w:val="20"/>
          <w:color w:val="auto"/>
        </w:rPr>
      </w:pPr>
    </w:p>
    <w:p>
      <w:pPr>
        <w:ind w:right="100" w:firstLine="1296"/>
        <w:spacing w:after="0" w:line="297"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Amendment of Rate of Credited Earnings</w:t>
      </w:r>
      <w:r>
        <w:rPr>
          <w:rFonts w:ascii="Arial" w:cs="Arial" w:eastAsia="Arial" w:hAnsi="Arial"/>
          <w:sz w:val="19"/>
          <w:szCs w:val="19"/>
          <w:color w:val="auto"/>
        </w:rPr>
        <w:t>. No amendment shall change the Applicable Interest Rate with respect to the portion of a Participant’s Account that is attributable to an Initial Election or Subsequent Election made with respect to Compensation and filed with the Administrator before the date of adoption of such amendment by the Board or the Committee.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11 – WITHHOLDING OF TAXES</w:t>
      </w:r>
    </w:p>
    <w:p>
      <w:pPr>
        <w:spacing w:after="0" w:line="226"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w:t>
      </w:r>
    </w:p>
    <w:p>
      <w:pPr>
        <w:sectPr>
          <w:pgSz w:w="11900" w:h="16838" w:orient="portrait"/>
          <w:cols w:equalWidth="0" w:num="1">
            <w:col w:w="11140"/>
          </w:cols>
          <w:pgMar w:left="320" w:top="348" w:right="439" w:bottom="1440" w:gutter="0" w:footer="0" w:header="0"/>
        </w:sectPr>
      </w:pPr>
    </w:p>
    <w:bookmarkStart w:id="82" w:name="page83"/>
    <w:bookmarkEnd w:id="82"/>
    <w:p>
      <w:pPr>
        <w:ind w:right="800"/>
        <w:spacing w:after="0" w:line="250" w:lineRule="auto"/>
        <w:rPr>
          <w:sz w:val="20"/>
          <w:szCs w:val="20"/>
          <w:color w:val="auto"/>
        </w:rPr>
      </w:pPr>
      <w:r>
        <w:rPr>
          <w:rFonts w:ascii="Arial" w:cs="Arial" w:eastAsia="Arial" w:hAnsi="Arial"/>
          <w:sz w:val="22"/>
          <w:szCs w:val="22"/>
          <w:color w:val="auto"/>
        </w:rPr>
        <w:t>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12 – MISCELLANEOUS PROVISIONS</w:t>
      </w:r>
    </w:p>
    <w:p>
      <w:pPr>
        <w:spacing w:after="0" w:line="226" w:lineRule="exact"/>
        <w:rPr>
          <w:sz w:val="20"/>
          <w:szCs w:val="20"/>
          <w:color w:val="auto"/>
        </w:rPr>
      </w:pPr>
    </w:p>
    <w:p>
      <w:pPr>
        <w:ind w:right="140" w:firstLine="1296"/>
        <w:spacing w:after="0" w:line="259"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Expenses of Plan</w:t>
      </w:r>
      <w:r>
        <w:rPr>
          <w:rFonts w:ascii="Arial" w:cs="Arial" w:eastAsia="Arial" w:hAnsi="Arial"/>
          <w:sz w:val="19"/>
          <w:szCs w:val="19"/>
          <w:color w:val="auto"/>
        </w:rPr>
        <w:t>. All expenses of the Plan shall be paid by the Participating Companies.</w:t>
      </w:r>
    </w:p>
    <w:p>
      <w:pPr>
        <w:spacing w:after="0" w:line="233" w:lineRule="exact"/>
        <w:rPr>
          <w:sz w:val="20"/>
          <w:szCs w:val="20"/>
          <w:color w:val="auto"/>
        </w:rPr>
      </w:pPr>
    </w:p>
    <w:p>
      <w:pPr>
        <w:ind w:right="40" w:firstLine="1296"/>
        <w:spacing w:after="0" w:line="259"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Gender and Number</w:t>
      </w:r>
      <w:r>
        <w:rPr>
          <w:rFonts w:ascii="Arial" w:cs="Arial" w:eastAsia="Arial" w:hAnsi="Arial"/>
          <w:sz w:val="22"/>
          <w:szCs w:val="22"/>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22"/>
          <w:szCs w:val="22"/>
          <w:i w:val="1"/>
          <w:iCs w:val="1"/>
          <w:color w:val="auto"/>
        </w:rPr>
        <w:t>vice versa</w:t>
      </w:r>
      <w:r>
        <w:rPr>
          <w:rFonts w:ascii="Arial" w:cs="Arial" w:eastAsia="Arial" w:hAnsi="Arial"/>
          <w:sz w:val="22"/>
          <w:szCs w:val="22"/>
          <w:color w:val="auto"/>
        </w:rPr>
        <w:t>, as the context may require.</w:t>
      </w:r>
    </w:p>
    <w:p>
      <w:pPr>
        <w:spacing w:after="0" w:line="180" w:lineRule="exact"/>
        <w:rPr>
          <w:sz w:val="20"/>
          <w:szCs w:val="20"/>
          <w:color w:val="auto"/>
        </w:rPr>
      </w:pPr>
    </w:p>
    <w:p>
      <w:pPr>
        <w:ind w:right="60" w:firstLine="1296"/>
        <w:spacing w:after="0" w:line="319"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Law Governing Construction</w:t>
      </w:r>
      <w:r>
        <w:rPr>
          <w:rFonts w:ascii="Arial" w:cs="Arial" w:eastAsia="Arial" w:hAnsi="Arial"/>
          <w:sz w:val="19"/>
          <w:szCs w:val="19"/>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28" w:lineRule="exact"/>
        <w:rPr>
          <w:sz w:val="20"/>
          <w:szCs w:val="20"/>
          <w:color w:val="auto"/>
        </w:rPr>
      </w:pPr>
    </w:p>
    <w:p>
      <w:pPr>
        <w:ind w:firstLine="1296"/>
        <w:spacing w:after="0" w:line="259"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Headings Not a Part Hereof</w:t>
      </w:r>
      <w:r>
        <w:rPr>
          <w:rFonts w:ascii="Arial" w:cs="Arial" w:eastAsia="Arial" w:hAnsi="Arial"/>
          <w:sz w:val="22"/>
          <w:szCs w:val="22"/>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80" w:lineRule="exact"/>
        <w:rPr>
          <w:sz w:val="20"/>
          <w:szCs w:val="20"/>
          <w:color w:val="auto"/>
        </w:rPr>
      </w:pPr>
    </w:p>
    <w:p>
      <w:pPr>
        <w:ind w:right="20" w:firstLine="1296"/>
        <w:spacing w:after="0" w:line="259"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Severability of Provisions</w:t>
      </w:r>
      <w:r>
        <w:rPr>
          <w:rFonts w:ascii="Arial" w:cs="Arial" w:eastAsia="Arial" w:hAnsi="Arial"/>
          <w:sz w:val="22"/>
          <w:szCs w:val="22"/>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13 – EFFECTIVE DATE</w:t>
      </w:r>
    </w:p>
    <w:p>
      <w:pPr>
        <w:spacing w:after="0" w:line="226"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color w:val="auto"/>
        </w:rPr>
        <w:t>The original effective date of the Plan is January 1, 2005. The amended and restated Plan document approved and adopted on February 19, 2020 shall be effective February 20, 2020.</w:t>
      </w:r>
    </w:p>
    <w:p>
      <w:pPr>
        <w:sectPr>
          <w:pgSz w:w="11900" w:h="16838" w:orient="portrait"/>
          <w:cols w:equalWidth="0" w:num="1">
            <w:col w:w="11220"/>
          </w:cols>
          <w:pgMar w:left="320" w:top="348" w:right="359" w:bottom="1440" w:gutter="0" w:footer="0" w:header="0"/>
        </w:sectPr>
      </w:pPr>
    </w:p>
    <w:bookmarkStart w:id="83" w:name="page84"/>
    <w:bookmarkEnd w:id="83"/>
    <w:p>
      <w:pPr>
        <w:ind w:firstLine="1296"/>
        <w:spacing w:after="0" w:line="292" w:lineRule="auto"/>
        <w:rPr>
          <w:sz w:val="20"/>
          <w:szCs w:val="20"/>
          <w:color w:val="auto"/>
        </w:rPr>
      </w:pPr>
      <w:r>
        <w:rPr>
          <w:rFonts w:ascii="Arial" w:cs="Arial" w:eastAsia="Arial" w:hAnsi="Arial"/>
          <w:sz w:val="21"/>
          <w:szCs w:val="21"/>
          <w:color w:val="auto"/>
        </w:rPr>
        <w:t>IN WITNESS WHEREOF, COMCAST CORPORATION has caused this Plan to be executed by its officers thereunto duly authorized, and its corporate seal to be affixed hereto, on the 19</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February, 2020.</w:t>
      </w:r>
    </w:p>
    <w:p>
      <w:pPr>
        <w:spacing w:after="0" w:line="5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COMCAST CORPORATION</w:t>
      </w:r>
    </w:p>
    <w:p>
      <w:pPr>
        <w:spacing w:after="0" w:line="274"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J. Cavanagh</w:t>
      </w:r>
    </w:p>
    <w:p>
      <w:pPr>
        <w:spacing w:after="0" w:line="200" w:lineRule="exact"/>
        <w:rPr>
          <w:sz w:val="20"/>
          <w:szCs w:val="20"/>
          <w:color w:val="auto"/>
        </w:rPr>
      </w:pPr>
    </w:p>
    <w:p>
      <w:pPr>
        <w:spacing w:after="0" w:line="317"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Thomas J. Reid</w:t>
      </w:r>
    </w:p>
    <w:p>
      <w:pPr>
        <w:sectPr>
          <w:pgSz w:w="11900" w:h="16838" w:orient="portrait"/>
          <w:cols w:equalWidth="0" w:num="1">
            <w:col w:w="10640"/>
          </w:cols>
          <w:pgMar w:left="320" w:top="604" w:right="9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ind w:left="3904"/>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3624"/>
        <w:spacing w:after="0"/>
        <w:rPr>
          <w:sz w:val="20"/>
          <w:szCs w:val="20"/>
          <w:color w:val="auto"/>
        </w:rPr>
      </w:pPr>
      <w:r>
        <w:rPr>
          <w:rFonts w:ascii="Arial" w:cs="Arial" w:eastAsia="Arial" w:hAnsi="Arial"/>
          <w:sz w:val="22"/>
          <w:szCs w:val="22"/>
          <w:b w:val="1"/>
          <w:bCs w:val="1"/>
          <w:color w:val="auto"/>
        </w:rPr>
        <w:t>2002 RESTRICTED STOCK PLAN</w:t>
      </w:r>
    </w:p>
    <w:p>
      <w:pPr>
        <w:spacing w:after="0" w:line="220" w:lineRule="exact"/>
        <w:rPr>
          <w:sz w:val="20"/>
          <w:szCs w:val="20"/>
          <w:color w:val="auto"/>
        </w:rPr>
      </w:pPr>
    </w:p>
    <w:p>
      <w:pPr>
        <w:ind w:left="3184"/>
        <w:spacing w:after="0"/>
        <w:rPr>
          <w:sz w:val="20"/>
          <w:szCs w:val="20"/>
          <w:color w:val="auto"/>
        </w:rPr>
      </w:pPr>
      <w:r>
        <w:rPr>
          <w:rFonts w:ascii="Arial" w:cs="Arial" w:eastAsia="Arial" w:hAnsi="Arial"/>
          <w:sz w:val="22"/>
          <w:szCs w:val="22"/>
          <w:b w:val="1"/>
          <w:bCs w:val="1"/>
          <w:color w:val="auto"/>
        </w:rPr>
        <w:t>(As Amended and Restated, Effective April 10, 2020)</w:t>
      </w:r>
    </w:p>
    <w:p>
      <w:pPr>
        <w:spacing w:after="0" w:line="199" w:lineRule="exact"/>
        <w:rPr>
          <w:sz w:val="20"/>
          <w:szCs w:val="20"/>
          <w:color w:val="auto"/>
        </w:rPr>
      </w:pPr>
    </w:p>
    <w:p>
      <w:pPr>
        <w:ind w:left="804" w:hanging="804"/>
        <w:spacing w:after="0"/>
        <w:tabs>
          <w:tab w:leader="none" w:pos="80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BACKGROUND AND PURPOSE</w:t>
      </w:r>
    </w:p>
    <w:p>
      <w:pPr>
        <w:spacing w:after="0" w:line="206" w:lineRule="exact"/>
        <w:rPr>
          <w:rFonts w:ascii="Arial" w:cs="Arial" w:eastAsia="Arial" w:hAnsi="Arial"/>
          <w:sz w:val="22"/>
          <w:szCs w:val="22"/>
          <w:color w:val="auto"/>
        </w:rPr>
      </w:pPr>
    </w:p>
    <w:p>
      <w:pPr>
        <w:ind w:left="4" w:right="480" w:firstLine="644"/>
        <w:spacing w:after="0" w:line="276" w:lineRule="auto"/>
        <w:tabs>
          <w:tab w:leader="none" w:pos="1072"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Background</w:t>
      </w:r>
      <w:r>
        <w:rPr>
          <w:rFonts w:ascii="Arial" w:cs="Arial" w:eastAsia="Arial" w:hAnsi="Arial"/>
          <w:sz w:val="22"/>
          <w:szCs w:val="22"/>
          <w:color w:val="auto"/>
        </w:rPr>
        <w:t>. COMCAST CORPORATION, a Pennsylvania corporation, hereby amends and restates the Comcast Corporation 2002 Restricted Stock Plan (the “Plan”) effective April 10, 2020.</w:t>
      </w:r>
    </w:p>
    <w:p>
      <w:pPr>
        <w:spacing w:after="0" w:line="160" w:lineRule="exact"/>
        <w:rPr>
          <w:rFonts w:ascii="Arial" w:cs="Arial" w:eastAsia="Arial" w:hAnsi="Arial"/>
          <w:sz w:val="22"/>
          <w:szCs w:val="22"/>
          <w:color w:val="auto"/>
        </w:rPr>
      </w:pPr>
    </w:p>
    <w:p>
      <w:pPr>
        <w:ind w:left="4" w:right="480" w:firstLine="644"/>
        <w:spacing w:after="0" w:line="259" w:lineRule="auto"/>
        <w:tabs>
          <w:tab w:leader="none" w:pos="1084"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80" w:lineRule="exact"/>
        <w:rPr>
          <w:rFonts w:ascii="Arial" w:cs="Arial" w:eastAsia="Arial" w:hAnsi="Arial"/>
          <w:sz w:val="22"/>
          <w:szCs w:val="22"/>
          <w:color w:val="auto"/>
        </w:rPr>
      </w:pPr>
    </w:p>
    <w:p>
      <w:pPr>
        <w:ind w:left="4" w:right="120" w:firstLine="644"/>
        <w:spacing w:after="0" w:line="260" w:lineRule="auto"/>
        <w:tabs>
          <w:tab w:leader="none" w:pos="1072" w:val="left"/>
        </w:tabs>
        <w:numPr>
          <w:ilvl w:val="1"/>
          <w:numId w:val="107"/>
        </w:numPr>
        <w:rPr>
          <w:rFonts w:ascii="Arial" w:cs="Arial" w:eastAsia="Arial" w:hAnsi="Arial"/>
          <w:sz w:val="21"/>
          <w:szCs w:val="21"/>
          <w:color w:val="auto"/>
        </w:rPr>
      </w:pPr>
      <w:r>
        <w:rPr>
          <w:rFonts w:ascii="Arial" w:cs="Arial" w:eastAsia="Arial" w:hAnsi="Arial"/>
          <w:sz w:val="21"/>
          <w:szCs w:val="21"/>
          <w:u w:val="single" w:color="auto"/>
          <w:color w:val="auto"/>
        </w:rPr>
        <w:t>Purpose of the Amendment; Credits Affected</w:t>
      </w:r>
      <w:r>
        <w:rPr>
          <w:rFonts w:ascii="Arial" w:cs="Arial" w:eastAsia="Arial" w:hAnsi="Arial"/>
          <w:sz w:val="21"/>
          <w:szCs w:val="21"/>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78" w:lineRule="exact"/>
        <w:rPr>
          <w:rFonts w:ascii="Arial" w:cs="Arial" w:eastAsia="Arial" w:hAnsi="Arial"/>
          <w:sz w:val="21"/>
          <w:szCs w:val="21"/>
          <w:color w:val="auto"/>
        </w:rPr>
      </w:pPr>
    </w:p>
    <w:p>
      <w:pPr>
        <w:ind w:left="4" w:right="340" w:firstLine="644"/>
        <w:spacing w:after="0" w:line="254" w:lineRule="auto"/>
        <w:tabs>
          <w:tab w:leader="none" w:pos="1084"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Reservation of Right to Amend to Comply with Section 409A</w:t>
      </w:r>
      <w:r>
        <w:rPr>
          <w:rFonts w:ascii="Arial" w:cs="Arial" w:eastAsia="Arial" w:hAnsi="Arial"/>
          <w:sz w:val="22"/>
          <w:szCs w:val="22"/>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84" w:lineRule="exact"/>
        <w:rPr>
          <w:rFonts w:ascii="Arial" w:cs="Arial" w:eastAsia="Arial" w:hAnsi="Arial"/>
          <w:sz w:val="22"/>
          <w:szCs w:val="22"/>
          <w:color w:val="auto"/>
        </w:rPr>
      </w:pPr>
    </w:p>
    <w:p>
      <w:pPr>
        <w:ind w:left="4" w:right="80" w:firstLine="644"/>
        <w:spacing w:after="0" w:line="300" w:lineRule="auto"/>
        <w:tabs>
          <w:tab w:leader="none" w:pos="1072"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Deferral Provisions of Plan Unfunded and Limited to Select Group of Management or Highly Compensated Employees</w:t>
      </w:r>
      <w:r>
        <w:rPr>
          <w:rFonts w:ascii="Arial" w:cs="Arial" w:eastAsia="Arial" w:hAnsi="Arial"/>
          <w:sz w:val="19"/>
          <w:szCs w:val="19"/>
          <w:b w:val="1"/>
          <w:bCs w:val="1"/>
          <w:color w:val="auto"/>
        </w:rPr>
        <w:t>.</w:t>
      </w:r>
      <w:r>
        <w:rPr>
          <w:rFonts w:ascii="Arial" w:cs="Arial" w:eastAsia="Arial" w:hAnsi="Arial"/>
          <w:sz w:val="19"/>
          <w:szCs w:val="19"/>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w:t>
      </w:r>
    </w:p>
    <w:p>
      <w:pPr>
        <w:sectPr>
          <w:pgSz w:w="11900" w:h="16838" w:orient="portrait"/>
          <w:cols w:equalWidth="0" w:num="1">
            <w:col w:w="10584"/>
          </w:cols>
          <w:pgMar w:left="976" w:top="594" w:right="339" w:bottom="1440" w:gutter="0" w:footer="0" w:header="0"/>
        </w:sectPr>
      </w:pPr>
    </w:p>
    <w:bookmarkStart w:id="85" w:name="page86"/>
    <w:bookmarkEnd w:id="85"/>
    <w:p>
      <w:pPr>
        <w:ind w:left="4"/>
        <w:spacing w:after="0"/>
        <w:rPr>
          <w:sz w:val="20"/>
          <w:szCs w:val="20"/>
          <w:color w:val="auto"/>
        </w:rPr>
      </w:pPr>
      <w:r>
        <w:rPr>
          <w:rFonts w:ascii="Arial" w:cs="Arial" w:eastAsia="Arial" w:hAnsi="Arial"/>
          <w:sz w:val="21"/>
          <w:szCs w:val="21"/>
          <w:color w:val="auto"/>
        </w:rPr>
        <w:t>receipt of compensation otherwise payable to such eligible employees in accordance with the terms of the Plan.</w:t>
      </w:r>
    </w:p>
    <w:p>
      <w:pPr>
        <w:spacing w:after="0" w:line="231" w:lineRule="exact"/>
        <w:rPr>
          <w:sz w:val="20"/>
          <w:szCs w:val="20"/>
          <w:color w:val="auto"/>
        </w:rPr>
      </w:pPr>
    </w:p>
    <w:p>
      <w:pPr>
        <w:jc w:val="both"/>
        <w:ind w:left="4" w:right="400" w:firstLine="644"/>
        <w:spacing w:after="0" w:line="259" w:lineRule="auto"/>
        <w:tabs>
          <w:tab w:leader="none" w:pos="1318"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Committee.</w:t>
      </w:r>
    </w:p>
    <w:p>
      <w:pPr>
        <w:spacing w:after="0" w:line="174" w:lineRule="exact"/>
        <w:rPr>
          <w:rFonts w:ascii="Arial" w:cs="Arial" w:eastAsia="Arial" w:hAnsi="Arial"/>
          <w:sz w:val="22"/>
          <w:szCs w:val="22"/>
          <w:color w:val="auto"/>
        </w:rPr>
      </w:pPr>
    </w:p>
    <w:p>
      <w:pPr>
        <w:ind w:left="344" w:hanging="344"/>
        <w:spacing w:after="0"/>
        <w:tabs>
          <w:tab w:leader="none" w:pos="344"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39" w:lineRule="exact"/>
        <w:rPr>
          <w:rFonts w:ascii="Arial" w:cs="Arial" w:eastAsia="Arial" w:hAnsi="Arial"/>
          <w:sz w:val="22"/>
          <w:szCs w:val="22"/>
          <w:b w:val="1"/>
          <w:bCs w:val="1"/>
          <w:color w:val="auto"/>
        </w:rPr>
      </w:pPr>
    </w:p>
    <w:p>
      <w:pPr>
        <w:ind w:left="1064" w:hanging="416"/>
        <w:spacing w:after="0"/>
        <w:tabs>
          <w:tab w:leader="none" w:pos="1064" w:val="left"/>
        </w:tabs>
        <w:numPr>
          <w:ilvl w:val="1"/>
          <w:numId w:val="109"/>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4" w:right="20" w:firstLine="644"/>
        <w:spacing w:after="0" w:line="300" w:lineRule="auto"/>
        <w:tabs>
          <w:tab w:leader="none" w:pos="1084" w:val="left"/>
        </w:tabs>
        <w:numPr>
          <w:ilvl w:val="1"/>
          <w:numId w:val="1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w:t>
      </w:r>
      <w:r>
        <w:rPr>
          <w:rFonts w:ascii="Arial" w:cs="Arial" w:eastAsia="Arial" w:hAnsi="Arial"/>
          <w:sz w:val="19"/>
          <w:szCs w:val="19"/>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amounts credited to the Income Fund or an Other Investment Fund are credited with income, gains, and losses as provided in Article 8, reduced by distributions in accordance with the Plan.</w:t>
      </w:r>
    </w:p>
    <w:p>
      <w:pPr>
        <w:spacing w:after="0" w:line="146" w:lineRule="exact"/>
        <w:rPr>
          <w:rFonts w:ascii="Arial" w:cs="Arial" w:eastAsia="Arial" w:hAnsi="Arial"/>
          <w:sz w:val="19"/>
          <w:szCs w:val="19"/>
          <w:color w:val="auto"/>
        </w:rPr>
      </w:pPr>
    </w:p>
    <w:p>
      <w:pPr>
        <w:ind w:left="1064" w:hanging="416"/>
        <w:spacing w:after="0"/>
        <w:tabs>
          <w:tab w:leader="none" w:pos="1064" w:val="left"/>
        </w:tabs>
        <w:numPr>
          <w:ilvl w:val="1"/>
          <w:numId w:val="10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Active Grantee</w:t>
      </w:r>
      <w:r>
        <w:rPr>
          <w:rFonts w:ascii="Arial" w:cs="Arial" w:eastAsia="Arial" w:hAnsi="Arial"/>
          <w:sz w:val="22"/>
          <w:szCs w:val="22"/>
          <w:color w:val="auto"/>
        </w:rPr>
        <w:t>” means each Grantee who is actively employed by a Participating Company.</w:t>
      </w:r>
    </w:p>
    <w:p>
      <w:pPr>
        <w:spacing w:after="0" w:line="233" w:lineRule="exact"/>
        <w:rPr>
          <w:rFonts w:ascii="Arial" w:cs="Arial" w:eastAsia="Arial" w:hAnsi="Arial"/>
          <w:sz w:val="22"/>
          <w:szCs w:val="22"/>
          <w:color w:val="auto"/>
        </w:rPr>
      </w:pPr>
    </w:p>
    <w:p>
      <w:pPr>
        <w:ind w:left="4" w:firstLine="644"/>
        <w:spacing w:after="0" w:line="266" w:lineRule="auto"/>
        <w:tabs>
          <w:tab w:leader="none" w:pos="1084" w:val="left"/>
        </w:tabs>
        <w:numPr>
          <w:ilvl w:val="1"/>
          <w:numId w:val="10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3" w:lineRule="exact"/>
        <w:rPr>
          <w:rFonts w:ascii="Arial" w:cs="Arial" w:eastAsia="Arial" w:hAnsi="Arial"/>
          <w:sz w:val="21"/>
          <w:szCs w:val="21"/>
          <w:color w:val="auto"/>
        </w:rPr>
      </w:pPr>
    </w:p>
    <w:p>
      <w:pPr>
        <w:ind w:left="4" w:right="80" w:firstLine="644"/>
        <w:spacing w:after="0" w:line="276" w:lineRule="auto"/>
        <w:tabs>
          <w:tab w:leader="none" w:pos="1072" w:val="left"/>
        </w:tabs>
        <w:numPr>
          <w:ilvl w:val="1"/>
          <w:numId w:val="10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Rate of Pay</w:t>
      </w:r>
      <w:r>
        <w:rPr>
          <w:rFonts w:ascii="Arial" w:cs="Arial" w:eastAsia="Arial" w:hAnsi="Arial"/>
          <w:sz w:val="22"/>
          <w:szCs w:val="22"/>
          <w:color w:val="auto"/>
        </w:rPr>
        <w:t>” means, as of any date, an employee’s annualized base pay rate. An employee’s Annual Rate of Pay shall not include sales commissions or other similar payments or awards.</w:t>
      </w:r>
    </w:p>
    <w:p>
      <w:pPr>
        <w:spacing w:after="0" w:line="160" w:lineRule="exact"/>
        <w:rPr>
          <w:rFonts w:ascii="Arial" w:cs="Arial" w:eastAsia="Arial" w:hAnsi="Arial"/>
          <w:sz w:val="22"/>
          <w:szCs w:val="22"/>
          <w:color w:val="auto"/>
        </w:rPr>
      </w:pPr>
    </w:p>
    <w:p>
      <w:pPr>
        <w:ind w:left="1044" w:hanging="396"/>
        <w:spacing w:after="0"/>
        <w:tabs>
          <w:tab w:leader="none" w:pos="1044" w:val="left"/>
        </w:tabs>
        <w:numPr>
          <w:ilvl w:val="1"/>
          <w:numId w:val="10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Interest Rate</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1944" w:hanging="648"/>
        <w:spacing w:after="0"/>
        <w:tabs>
          <w:tab w:leader="none" w:pos="1944" w:val="left"/>
        </w:tabs>
        <w:numPr>
          <w:ilvl w:val="2"/>
          <w:numId w:val="109"/>
        </w:numPr>
        <w:rPr>
          <w:rFonts w:ascii="Arial" w:cs="Arial" w:eastAsia="Arial" w:hAnsi="Arial"/>
          <w:sz w:val="22"/>
          <w:szCs w:val="22"/>
          <w:color w:val="auto"/>
        </w:rPr>
      </w:pPr>
      <w:r>
        <w:rPr>
          <w:rFonts w:ascii="Arial" w:cs="Arial" w:eastAsia="Arial" w:hAnsi="Arial"/>
          <w:sz w:val="22"/>
          <w:szCs w:val="22"/>
          <w:color w:val="auto"/>
        </w:rPr>
        <w:t>Except as otherwise provided in Paragraph 2(f)(ii):</w:t>
      </w:r>
    </w:p>
    <w:p>
      <w:pPr>
        <w:spacing w:after="0" w:line="219" w:lineRule="exact"/>
        <w:rPr>
          <w:rFonts w:ascii="Arial" w:cs="Arial" w:eastAsia="Arial" w:hAnsi="Arial"/>
          <w:sz w:val="22"/>
          <w:szCs w:val="22"/>
          <w:color w:val="auto"/>
        </w:rPr>
      </w:pPr>
    </w:p>
    <w:p>
      <w:pPr>
        <w:ind w:left="2584" w:right="20" w:hanging="640"/>
        <w:spacing w:after="0" w:line="263" w:lineRule="auto"/>
        <w:tabs>
          <w:tab w:leader="none" w:pos="2584" w:val="left"/>
        </w:tabs>
        <w:numPr>
          <w:ilvl w:val="3"/>
          <w:numId w:val="109"/>
        </w:numPr>
        <w:rPr>
          <w:rFonts w:ascii="Arial" w:cs="Arial" w:eastAsia="Arial" w:hAnsi="Arial"/>
          <w:sz w:val="21"/>
          <w:szCs w:val="21"/>
          <w:color w:val="auto"/>
        </w:rPr>
      </w:pPr>
      <w:r>
        <w:rPr>
          <w:rFonts w:ascii="Arial" w:cs="Arial" w:eastAsia="Arial" w:hAnsi="Arial"/>
          <w:sz w:val="21"/>
          <w:szCs w:val="21"/>
          <w:color w:val="auto"/>
        </w:rPr>
        <w:t>The Applicable Interest Rate with respect to amounts credited to the Income Fund that are attributable to (1) dividends and other distributions credited with respect to Deferred Stock Units that are deferred pursuant to Initial Deferral Elections made before January 1, 2010 and (2) Diversification Elections and Special Diversification Elections made before January 1, 2010 shall be the interest</w:t>
      </w:r>
    </w:p>
    <w:p>
      <w:pPr>
        <w:sectPr>
          <w:pgSz w:w="11900" w:h="16838" w:orient="portrait"/>
          <w:cols w:equalWidth="0" w:num="1">
            <w:col w:w="10564"/>
          </w:cols>
          <w:pgMar w:left="976" w:top="604" w:right="359" w:bottom="1440" w:gutter="0" w:footer="0" w:header="0"/>
        </w:sectPr>
      </w:pPr>
    </w:p>
    <w:bookmarkStart w:id="86" w:name="page87"/>
    <w:bookmarkEnd w:id="86"/>
    <w:p>
      <w:pPr>
        <w:ind w:left="2120" w:right="140"/>
        <w:spacing w:after="0" w:line="234" w:lineRule="auto"/>
        <w:rPr>
          <w:sz w:val="20"/>
          <w:szCs w:val="20"/>
          <w:color w:val="auto"/>
        </w:rPr>
      </w:pPr>
      <w:r>
        <w:rPr>
          <w:rFonts w:ascii="Arial" w:cs="Arial" w:eastAsia="Arial" w:hAnsi="Arial"/>
          <w:sz w:val="21"/>
          <w:szCs w:val="21"/>
          <w:color w:val="auto"/>
        </w:rPr>
        <w:t>rate that, when compounded annually pursuant to rules established by the Committee from time to time, is mathematically equivalent to 8% (0.08) per annum, or such other interest rate established by the Committee from time to time.</w:t>
      </w:r>
    </w:p>
    <w:p>
      <w:pPr>
        <w:spacing w:after="0" w:line="185" w:lineRule="exact"/>
        <w:rPr>
          <w:sz w:val="20"/>
          <w:szCs w:val="20"/>
          <w:color w:val="auto"/>
        </w:rPr>
      </w:pPr>
    </w:p>
    <w:p>
      <w:pPr>
        <w:ind w:left="2120" w:hanging="640"/>
        <w:spacing w:after="0" w:line="290" w:lineRule="auto"/>
        <w:tabs>
          <w:tab w:leader="none" w:pos="212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Applicable Interest Rate with respect to amounts credited to the Income Fund that are attributable to (1) dividends and other distributions credited with respect to Deferred Stock Units that are deferred pursuant to Initial Deferral Elections made on or after January 1, 2010 and before January 1, 2014 and (2) Diversification Elections and Special Diversification Elections made on or after January 1, 2010 and before January 1, 2014, shall be the interest rate that, when compounded annually pursuant to rules established by the Committee from time to time, is mathematically equivalent to 12% per annum, or such other interest rate established by the Committee from time to time.</w:t>
      </w:r>
    </w:p>
    <w:p>
      <w:pPr>
        <w:spacing w:after="0" w:line="155" w:lineRule="exact"/>
        <w:rPr>
          <w:rFonts w:ascii="Arial" w:cs="Arial" w:eastAsia="Arial" w:hAnsi="Arial"/>
          <w:sz w:val="19"/>
          <w:szCs w:val="19"/>
          <w:color w:val="auto"/>
        </w:rPr>
      </w:pPr>
    </w:p>
    <w:p>
      <w:pPr>
        <w:ind w:left="2120" w:hanging="640"/>
        <w:spacing w:after="0" w:line="279" w:lineRule="auto"/>
        <w:tabs>
          <w:tab w:leader="none" w:pos="212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Effective with respect to amounts credited to the Income Fund that are attributable to (1) dividends and other distributions credited with respect to Deferred Stock Units that are deferred pursuant to Initial Deferral Elections made on or after January 1, 2014, (2) dividends and other distributions credited with respect to Deferred Stock Units that are deferred pursuant to Regular Deferral Elections, and (3) Diversification Elections and Special Diversification Elections made on or after January 1, 2014, the “Applicable Interest Rate” shall be the Applicable Interest Rate that applies to “Protected Account Balances” under the Comcast Corporation 2005 Deferred Compensation Plan (the “2005 Deferred Compensation Plan”) if, as of the September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immediately preceding the Plan Year to which the Initial Deferral Election, Regular Deferral Election or Diversification Election applies, the sum of (x) the Grantee’s Account under the 2005 Deferred Compensation Plan to the extent such Account is credited to the Income Fund, plus (y) the Grantee’s Account under the Comcast Corporation 2002 Deferred Compensation Plan (the “2002 Deferred Compensation Plan”) to the extent such Account is credited to the Income Fund, plus (z) the portion of the Grantee’s Account under this Plan credited to the Income Fund, is less than the High-Water Mark. If the conditions described in the preceding sentence</w:t>
      </w:r>
    </w:p>
    <w:p>
      <w:pPr>
        <w:sectPr>
          <w:pgSz w:w="11900" w:h="16838" w:orient="portrait"/>
          <w:cols w:equalWidth="0" w:num="1">
            <w:col w:w="10100"/>
          </w:cols>
          <w:pgMar w:left="1440" w:top="577" w:right="359" w:bottom="1440" w:gutter="0" w:footer="0" w:header="0"/>
        </w:sectPr>
      </w:pPr>
    </w:p>
    <w:bookmarkStart w:id="87" w:name="page88"/>
    <w:bookmarkEnd w:id="87"/>
    <w:p>
      <w:pPr>
        <w:ind w:left="2120" w:right="60"/>
        <w:spacing w:after="0" w:line="218" w:lineRule="auto"/>
        <w:rPr>
          <w:sz w:val="20"/>
          <w:szCs w:val="20"/>
          <w:color w:val="auto"/>
        </w:rPr>
      </w:pPr>
      <w:r>
        <w:rPr>
          <w:rFonts w:ascii="Arial" w:cs="Arial" w:eastAsia="Arial" w:hAnsi="Arial"/>
          <w:sz w:val="22"/>
          <w:szCs w:val="22"/>
          <w:color w:val="auto"/>
        </w:rPr>
        <w:t>do not apply, the “Applicable Interest Rate” shall be the Applicable Interest Rate that applies under the 2005 Deferred Compensation Plan to amounts credited pursuant to Initial Deferral Elections with respect to compensation earned after December 31, 2013, that are not Protected Account Balances.</w:t>
      </w:r>
    </w:p>
    <w:p>
      <w:pPr>
        <w:spacing w:after="0" w:line="188" w:lineRule="exact"/>
        <w:rPr>
          <w:sz w:val="20"/>
          <w:szCs w:val="20"/>
          <w:color w:val="auto"/>
        </w:rPr>
      </w:pPr>
    </w:p>
    <w:p>
      <w:pPr>
        <w:ind w:left="1480" w:hanging="648"/>
        <w:spacing w:after="0" w:line="286" w:lineRule="auto"/>
        <w:tabs>
          <w:tab w:leader="none" w:pos="148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Effective for the period beginning as soon as administratively practicable following (A) a significant reduction in a Grantee’s compensation and services to the Company, as determined by the Committee in its sole discretion, and (B) a Grantee’s employment termination date, in each case,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 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460" w:right="660" w:firstLine="644"/>
        <w:spacing w:after="0" w:line="276" w:lineRule="auto"/>
        <w:tabs>
          <w:tab w:leader="none" w:pos="89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AT&amp;T Broadband Transaction</w:t>
      </w:r>
      <w:r>
        <w:rPr>
          <w:rFonts w:ascii="Arial" w:cs="Arial" w:eastAsia="Arial" w:hAnsi="Arial"/>
          <w:sz w:val="22"/>
          <w:szCs w:val="22"/>
          <w:color w:val="auto"/>
        </w:rPr>
        <w:t>” means the acquisition of AT&amp;T Broadband Corp. (now known as Comcast Cable Communications, LLC) by the Company.</w:t>
      </w:r>
    </w:p>
    <w:p>
      <w:pPr>
        <w:spacing w:after="0" w:line="160" w:lineRule="exact"/>
        <w:rPr>
          <w:rFonts w:ascii="Arial" w:cs="Arial" w:eastAsia="Arial" w:hAnsi="Arial"/>
          <w:sz w:val="22"/>
          <w:szCs w:val="22"/>
          <w:color w:val="auto"/>
        </w:rPr>
      </w:pPr>
    </w:p>
    <w:p>
      <w:pPr>
        <w:ind w:left="620" w:hanging="436"/>
        <w:spacing w:after="0"/>
        <w:tabs>
          <w:tab w:leader="none" w:pos="6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an award of Restricted Stock or Restricted Stock Units granted under the Plan.</w:t>
      </w:r>
    </w:p>
    <w:p>
      <w:pPr>
        <w:spacing w:after="0" w:line="233" w:lineRule="exact"/>
        <w:rPr>
          <w:rFonts w:ascii="Arial" w:cs="Arial" w:eastAsia="Arial" w:hAnsi="Arial"/>
          <w:sz w:val="22"/>
          <w:szCs w:val="22"/>
          <w:color w:val="auto"/>
        </w:rPr>
      </w:pPr>
    </w:p>
    <w:p>
      <w:pPr>
        <w:ind w:left="560" w:hanging="376"/>
        <w:spacing w:after="0"/>
        <w:tabs>
          <w:tab w:leader="none" w:pos="5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color w:val="auto"/>
        </w:rPr>
      </w:pPr>
    </w:p>
    <w:p>
      <w:pPr>
        <w:ind w:left="560" w:hanging="376"/>
        <w:spacing w:after="0"/>
        <w:tabs>
          <w:tab w:leader="none" w:pos="5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1480" w:right="120" w:hanging="648"/>
        <w:spacing w:after="0" w:line="263" w:lineRule="auto"/>
        <w:tabs>
          <w:tab w:leader="none" w:pos="148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Except as provided in Paragraph 2(j)(ii), “Change in Control” means the occurrence of any one or more of the following events:</w:t>
      </w:r>
    </w:p>
    <w:p>
      <w:pPr>
        <w:spacing w:after="0" w:line="174" w:lineRule="exact"/>
        <w:rPr>
          <w:rFonts w:ascii="Arial" w:cs="Arial" w:eastAsia="Arial" w:hAnsi="Arial"/>
          <w:sz w:val="22"/>
          <w:szCs w:val="22"/>
          <w:color w:val="auto"/>
        </w:rPr>
      </w:pPr>
    </w:p>
    <w:p>
      <w:pPr>
        <w:ind w:left="2120" w:right="400" w:hanging="640"/>
        <w:spacing w:after="0" w:line="263" w:lineRule="auto"/>
        <w:tabs>
          <w:tab w:leader="none" w:pos="2120" w:val="left"/>
        </w:tabs>
        <w:numPr>
          <w:ilvl w:val="2"/>
          <w:numId w:val="112"/>
        </w:numPr>
        <w:rPr>
          <w:rFonts w:ascii="Arial" w:cs="Arial" w:eastAsia="Arial" w:hAnsi="Arial"/>
          <w:sz w:val="22"/>
          <w:szCs w:val="22"/>
          <w:color w:val="auto"/>
        </w:rPr>
      </w:pPr>
      <w:r>
        <w:rPr>
          <w:rFonts w:ascii="Arial" w:cs="Arial" w:eastAsia="Arial" w:hAnsi="Arial"/>
          <w:sz w:val="22"/>
          <w:szCs w:val="22"/>
          <w:color w:val="auto"/>
        </w:rPr>
        <w:t>following February 22, 2016, any person or “group” (as defined in Section 13(d) of the Exchange Act) (each, a</w:t>
      </w:r>
    </w:p>
    <w:p>
      <w:pPr>
        <w:sectPr>
          <w:pgSz w:w="11900" w:h="16838" w:orient="portrait"/>
          <w:cols w:equalWidth="0" w:num="1">
            <w:col w:w="10060"/>
          </w:cols>
          <w:pgMar w:left="1440" w:top="577" w:right="399" w:bottom="1440" w:gutter="0" w:footer="0" w:header="0"/>
        </w:sectPr>
      </w:pPr>
    </w:p>
    <w:bookmarkStart w:id="88" w:name="page89"/>
    <w:bookmarkEnd w:id="88"/>
    <w:p>
      <w:pPr>
        <w:ind w:left="2120"/>
        <w:spacing w:after="0" w:line="247" w:lineRule="auto"/>
        <w:rPr>
          <w:sz w:val="20"/>
          <w:szCs w:val="20"/>
          <w:color w:val="auto"/>
        </w:rPr>
      </w:pPr>
      <w:r>
        <w:rPr>
          <w:rFonts w:ascii="Arial" w:cs="Arial" w:eastAsia="Arial" w:hAnsi="Arial"/>
          <w:sz w:val="19"/>
          <w:szCs w:val="19"/>
          <w:color w:val="auto"/>
        </w:rPr>
        <w:t>“Person”),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19" w:lineRule="exact"/>
        <w:rPr>
          <w:sz w:val="20"/>
          <w:szCs w:val="20"/>
          <w:color w:val="auto"/>
        </w:rPr>
      </w:pPr>
    </w:p>
    <w:p>
      <w:pPr>
        <w:ind w:left="2120" w:right="80" w:hanging="640"/>
        <w:spacing w:after="0" w:line="247" w:lineRule="auto"/>
        <w:tabs>
          <w:tab w:leader="none" w:pos="212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30" w:lineRule="exact"/>
        <w:rPr>
          <w:rFonts w:ascii="Arial" w:cs="Arial" w:eastAsia="Arial" w:hAnsi="Arial"/>
          <w:sz w:val="22"/>
          <w:szCs w:val="22"/>
          <w:color w:val="auto"/>
        </w:rPr>
      </w:pPr>
    </w:p>
    <w:p>
      <w:pPr>
        <w:ind w:left="2120" w:hanging="640"/>
        <w:spacing w:after="0" w:line="287" w:lineRule="auto"/>
        <w:tabs>
          <w:tab w:leader="none" w:pos="212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consummation of (x) a merger, consolidation, reorganization or similar corporate transaction involving the Company or any of its subsidiaries with any other corporation or entity, which would result in the combined voting power of the Company’s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merger, consolidation, reorganization or other similar transaction, or (y) any sale, lease, exchange or other transfer to any Person of all or substantially all of the assets of the Company, in one transaction or a series of related transactions; or</w:t>
      </w:r>
    </w:p>
    <w:p>
      <w:pPr>
        <w:spacing w:after="0" w:line="1" w:lineRule="exact"/>
        <w:rPr>
          <w:rFonts w:ascii="Arial" w:cs="Arial" w:eastAsia="Arial" w:hAnsi="Arial"/>
          <w:sz w:val="19"/>
          <w:szCs w:val="19"/>
          <w:color w:val="auto"/>
        </w:rPr>
      </w:pPr>
    </w:p>
    <w:p>
      <w:pPr>
        <w:ind w:left="2120" w:right="580" w:hanging="640"/>
        <w:spacing w:after="0" w:line="263" w:lineRule="auto"/>
        <w:tabs>
          <w:tab w:leader="none" w:pos="212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approval by the shareholders of the Company of a liquidation or dissolution of the Company.</w:t>
      </w:r>
    </w:p>
    <w:p>
      <w:pPr>
        <w:spacing w:after="0" w:line="174" w:lineRule="exact"/>
        <w:rPr>
          <w:rFonts w:ascii="Arial" w:cs="Arial" w:eastAsia="Arial" w:hAnsi="Arial"/>
          <w:sz w:val="22"/>
          <w:szCs w:val="22"/>
          <w:color w:val="auto"/>
        </w:rPr>
      </w:pPr>
    </w:p>
    <w:p>
      <w:pPr>
        <w:ind w:left="1480" w:right="300" w:hanging="648"/>
        <w:spacing w:after="0" w:line="343" w:lineRule="auto"/>
        <w:tabs>
          <w:tab w:leader="none" w:pos="14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For purposes of Paragraph 8, and with respect to the distribution of amounts subject to an Award that constitute “deferred compensation” (within the meaning of Section 409A), the term</w:t>
      </w:r>
    </w:p>
    <w:p>
      <w:pPr>
        <w:sectPr>
          <w:pgSz w:w="11900" w:h="16838" w:orient="portrait"/>
          <w:cols w:equalWidth="0" w:num="1">
            <w:col w:w="10120"/>
          </w:cols>
          <w:pgMar w:left="1440" w:top="577" w:right="339" w:bottom="1440" w:gutter="0" w:footer="0" w:header="0"/>
        </w:sectPr>
      </w:pPr>
    </w:p>
    <w:bookmarkStart w:id="89" w:name="page90"/>
    <w:bookmarkEnd w:id="89"/>
    <w:p>
      <w:pPr>
        <w:jc w:val="both"/>
        <w:ind w:left="1480"/>
        <w:spacing w:after="0" w:line="223" w:lineRule="auto"/>
        <w:rPr>
          <w:sz w:val="20"/>
          <w:szCs w:val="20"/>
          <w:color w:val="auto"/>
        </w:rPr>
      </w:pPr>
      <w:r>
        <w:rPr>
          <w:rFonts w:ascii="Arial" w:cs="Arial" w:eastAsia="Arial" w:hAnsi="Arial"/>
          <w:sz w:val="22"/>
          <w:szCs w:val="22"/>
          <w:color w:val="auto"/>
        </w:rPr>
        <w:t>“Change in Control” shall mean any transaction or series of transactions that constitutes a change in the ownership or effective control or a change in the ownership of a substantial portion of the assets of the Company, within the meaning of Section 409A.</w:t>
      </w:r>
    </w:p>
    <w:p>
      <w:pPr>
        <w:spacing w:after="0" w:line="186" w:lineRule="exact"/>
        <w:rPr>
          <w:sz w:val="20"/>
          <w:szCs w:val="20"/>
          <w:color w:val="auto"/>
        </w:rPr>
      </w:pPr>
    </w:p>
    <w:p>
      <w:pPr>
        <w:ind w:left="620" w:hanging="436"/>
        <w:spacing w:after="0"/>
        <w:tabs>
          <w:tab w:leader="none" w:pos="6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color w:val="auto"/>
        </w:rPr>
      </w:pPr>
    </w:p>
    <w:p>
      <w:pPr>
        <w:ind w:left="-460" w:right="80" w:firstLine="644"/>
        <w:spacing w:after="0" w:line="251" w:lineRule="auto"/>
        <w:tabs>
          <w:tab w:leader="none" w:pos="57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Plan</w:t>
      </w:r>
      <w:r>
        <w:rPr>
          <w:rFonts w:ascii="Arial" w:cs="Arial" w:eastAsia="Arial" w:hAnsi="Arial"/>
          <w:sz w:val="22"/>
          <w:szCs w:val="22"/>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89" w:lineRule="exact"/>
        <w:rPr>
          <w:rFonts w:ascii="Arial" w:cs="Arial" w:eastAsia="Arial" w:hAnsi="Arial"/>
          <w:sz w:val="22"/>
          <w:szCs w:val="22"/>
          <w:color w:val="auto"/>
        </w:rPr>
      </w:pPr>
    </w:p>
    <w:p>
      <w:pPr>
        <w:ind w:left="-460" w:right="140" w:firstLine="644"/>
        <w:spacing w:after="0" w:line="259" w:lineRule="auto"/>
        <w:tabs>
          <w:tab w:leader="none" w:pos="6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180" w:lineRule="exact"/>
        <w:rPr>
          <w:rFonts w:ascii="Arial" w:cs="Arial" w:eastAsia="Arial" w:hAnsi="Arial"/>
          <w:sz w:val="22"/>
          <w:szCs w:val="22"/>
          <w:color w:val="auto"/>
        </w:rPr>
      </w:pPr>
    </w:p>
    <w:p>
      <w:pPr>
        <w:ind w:left="620" w:hanging="436"/>
        <w:spacing w:after="0"/>
        <w:tabs>
          <w:tab w:leader="none" w:pos="6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Class A Common Stock, par value $0.01, of the Company.</w:t>
      </w:r>
    </w:p>
    <w:p>
      <w:pPr>
        <w:spacing w:after="0" w:line="233" w:lineRule="exact"/>
        <w:rPr>
          <w:rFonts w:ascii="Arial" w:cs="Arial" w:eastAsia="Arial" w:hAnsi="Arial"/>
          <w:sz w:val="22"/>
          <w:szCs w:val="22"/>
          <w:color w:val="auto"/>
        </w:rPr>
      </w:pPr>
    </w:p>
    <w:p>
      <w:pPr>
        <w:ind w:left="-460" w:right="400" w:firstLine="644"/>
        <w:spacing w:after="0" w:line="301" w:lineRule="auto"/>
        <w:tabs>
          <w:tab w:leader="none" w:pos="62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Comcast Corporation, a Pennsylvania corporation, including any successor thereto by merger, consolidation, acquisition of all or substantially all the assets thereof, or otherwise.</w:t>
      </w:r>
    </w:p>
    <w:p>
      <w:pPr>
        <w:spacing w:after="0" w:line="136" w:lineRule="exact"/>
        <w:rPr>
          <w:rFonts w:ascii="Arial" w:cs="Arial" w:eastAsia="Arial" w:hAnsi="Arial"/>
          <w:sz w:val="21"/>
          <w:szCs w:val="21"/>
          <w:color w:val="auto"/>
        </w:rPr>
      </w:pPr>
    </w:p>
    <w:p>
      <w:pPr>
        <w:ind w:left="-460" w:firstLine="644"/>
        <w:spacing w:after="0" w:line="287" w:lineRule="auto"/>
        <w:tabs>
          <w:tab w:leader="none" w:pos="6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Stock Fund</w:t>
      </w:r>
      <w:r>
        <w:rPr>
          <w:rFonts w:ascii="Arial" w:cs="Arial" w:eastAsia="Arial" w:hAnsi="Arial"/>
          <w:sz w:val="19"/>
          <w:szCs w:val="19"/>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otherwise deliverable as Shares upon the Vesting Date associated with Restricted Stock or Restricted Stock Units, and all dividends and other distributions paid with respect to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shall be credited with interest at the Applicable Interest Rate commencing as of the date on which dividends or other distributions are paid. To the extent a distribution of a Grantee’s Account is attributable to amounts credited to the Company Stock Fund (i) as Deferred Stock Units that have never been the subject of a completed Diversification Election or (ii) under circumstances described in Paragraph 8(j)(ii)(A), distributions shall be made in the form of Common Stock. All other distributions of Account balances shall be made in cash.</w:t>
      </w:r>
    </w:p>
    <w:p>
      <w:pPr>
        <w:sectPr>
          <w:pgSz w:w="11900" w:h="16838" w:orient="portrait"/>
          <w:cols w:equalWidth="0" w:num="1">
            <w:col w:w="10120"/>
          </w:cols>
          <w:pgMar w:left="1440" w:top="577" w:right="339" w:bottom="1440" w:gutter="0" w:footer="0" w:header="0"/>
        </w:sectPr>
      </w:pPr>
    </w:p>
    <w:bookmarkStart w:id="90" w:name="page91"/>
    <w:bookmarkEnd w:id="90"/>
    <w:p>
      <w:pPr>
        <w:ind w:left="1740" w:hanging="436"/>
        <w:spacing w:after="0"/>
        <w:tabs>
          <w:tab w:leader="none" w:pos="17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means the date on which an Award is granted.</w:t>
      </w:r>
    </w:p>
    <w:p>
      <w:pPr>
        <w:spacing w:after="0" w:line="233" w:lineRule="exact"/>
        <w:rPr>
          <w:rFonts w:ascii="Arial" w:cs="Arial" w:eastAsia="Arial" w:hAnsi="Arial"/>
          <w:sz w:val="22"/>
          <w:szCs w:val="22"/>
          <w:color w:val="auto"/>
        </w:rPr>
      </w:pPr>
    </w:p>
    <w:p>
      <w:pPr>
        <w:ind w:left="1700" w:hanging="396"/>
        <w:spacing w:after="0"/>
        <w:tabs>
          <w:tab w:leader="none" w:pos="17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Deceased Grantee</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 Grantee whose employment by a Participating Company is terminated by death; or</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 Grantee who dies following termination of employment by a Participating Company.</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 Eligible Employee</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w:t>
      </w:r>
    </w:p>
    <w:p>
      <w:pPr>
        <w:spacing w:after="0" w:line="219" w:lineRule="exact"/>
        <w:rPr>
          <w:rFonts w:ascii="Arial" w:cs="Arial" w:eastAsia="Arial" w:hAnsi="Arial"/>
          <w:sz w:val="22"/>
          <w:szCs w:val="22"/>
          <w:color w:val="auto"/>
        </w:rPr>
      </w:pPr>
    </w:p>
    <w:p>
      <w:pPr>
        <w:ind w:left="3240" w:hanging="640"/>
        <w:spacing w:after="0" w:line="250" w:lineRule="auto"/>
        <w:tabs>
          <w:tab w:leader="none" w:pos="324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An Eligible Employee whose Annual Rate of Pay is $250,000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187" w:lineRule="exact"/>
        <w:rPr>
          <w:rFonts w:ascii="Arial" w:cs="Arial" w:eastAsia="Arial" w:hAnsi="Arial"/>
          <w:sz w:val="22"/>
          <w:szCs w:val="22"/>
          <w:color w:val="auto"/>
        </w:rPr>
      </w:pPr>
    </w:p>
    <w:p>
      <w:pPr>
        <w:ind w:left="3240" w:hanging="640"/>
        <w:spacing w:after="0"/>
        <w:tabs>
          <w:tab w:leader="none" w:pos="324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Each New Key Employee.</w:t>
      </w:r>
    </w:p>
    <w:p>
      <w:pPr>
        <w:spacing w:after="0" w:line="219" w:lineRule="exact"/>
        <w:rPr>
          <w:rFonts w:ascii="Arial" w:cs="Arial" w:eastAsia="Arial" w:hAnsi="Arial"/>
          <w:sz w:val="22"/>
          <w:szCs w:val="22"/>
          <w:color w:val="auto"/>
        </w:rPr>
      </w:pPr>
    </w:p>
    <w:p>
      <w:pPr>
        <w:ind w:left="3240" w:right="180" w:hanging="640"/>
        <w:spacing w:after="0" w:line="263" w:lineRule="auto"/>
        <w:tabs>
          <w:tab w:leader="none" w:pos="324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Committee, in its sole and absolute discretion, as a Deferral Eligible Employee.</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Effective on and after January 1, 2019:</w:t>
      </w:r>
    </w:p>
    <w:p>
      <w:pPr>
        <w:spacing w:after="0" w:line="219" w:lineRule="exact"/>
        <w:rPr>
          <w:rFonts w:ascii="Arial" w:cs="Arial" w:eastAsia="Arial" w:hAnsi="Arial"/>
          <w:sz w:val="22"/>
          <w:szCs w:val="22"/>
          <w:color w:val="auto"/>
        </w:rPr>
      </w:pPr>
    </w:p>
    <w:p>
      <w:pPr>
        <w:ind w:left="3240" w:hanging="640"/>
        <w:spacing w:after="0" w:line="250" w:lineRule="auto"/>
        <w:tabs>
          <w:tab w:leader="none" w:pos="324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An Eligible Employee whose Annual Rate of Pay is $350,000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187" w:lineRule="exact"/>
        <w:rPr>
          <w:rFonts w:ascii="Arial" w:cs="Arial" w:eastAsia="Arial" w:hAnsi="Arial"/>
          <w:sz w:val="22"/>
          <w:szCs w:val="22"/>
          <w:color w:val="auto"/>
        </w:rPr>
      </w:pPr>
    </w:p>
    <w:p>
      <w:pPr>
        <w:ind w:left="3240" w:hanging="640"/>
        <w:spacing w:after="0"/>
        <w:tabs>
          <w:tab w:leader="none" w:pos="324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Each New Key Employee.</w:t>
      </w:r>
    </w:p>
    <w:p>
      <w:pPr>
        <w:spacing w:after="0" w:line="219" w:lineRule="exact"/>
        <w:rPr>
          <w:rFonts w:ascii="Arial" w:cs="Arial" w:eastAsia="Arial" w:hAnsi="Arial"/>
          <w:sz w:val="22"/>
          <w:szCs w:val="22"/>
          <w:color w:val="auto"/>
        </w:rPr>
      </w:pPr>
    </w:p>
    <w:p>
      <w:pPr>
        <w:ind w:left="3240" w:right="180" w:hanging="640"/>
        <w:spacing w:after="0" w:line="263" w:lineRule="auto"/>
        <w:tabs>
          <w:tab w:leader="none" w:pos="324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Committee, in its sole and absolute discretion, as a Deferral Eligible Employee.</w:t>
      </w:r>
    </w:p>
    <w:p>
      <w:pPr>
        <w:spacing w:after="0" w:line="175" w:lineRule="exact"/>
        <w:rPr>
          <w:sz w:val="20"/>
          <w:szCs w:val="20"/>
          <w:color w:val="auto"/>
        </w:rPr>
      </w:pPr>
    </w:p>
    <w:p>
      <w:pPr>
        <w:jc w:val="both"/>
        <w:ind w:right="100"/>
        <w:spacing w:after="0" w:line="253" w:lineRule="auto"/>
        <w:rPr>
          <w:sz w:val="20"/>
          <w:szCs w:val="20"/>
          <w:color w:val="auto"/>
        </w:rPr>
      </w:pPr>
      <w:r>
        <w:rPr>
          <w:rFonts w:ascii="Arial" w:cs="Arial" w:eastAsia="Arial" w:hAnsi="Arial"/>
          <w:sz w:val="22"/>
          <w:szCs w:val="22"/>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w:t>
      </w:r>
    </w:p>
    <w:p>
      <w:pPr>
        <w:sectPr>
          <w:pgSz w:w="11900" w:h="16838" w:orient="portrait"/>
          <w:cols w:equalWidth="0" w:num="1">
            <w:col w:w="11160"/>
          </w:cols>
          <w:pgMar w:left="320" w:top="604" w:right="41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a Deferral Eligible Employee with respect to any Award granted to such Grantee on or after January 29, 2011.</w:t>
      </w:r>
    </w:p>
    <w:p>
      <w:pPr>
        <w:spacing w:after="0" w:line="220" w:lineRule="exact"/>
        <w:rPr>
          <w:sz w:val="20"/>
          <w:szCs w:val="20"/>
          <w:color w:val="auto"/>
        </w:rPr>
      </w:pPr>
    </w:p>
    <w:p>
      <w:pPr>
        <w:ind w:left="1680" w:hanging="376"/>
        <w:spacing w:after="0"/>
        <w:tabs>
          <w:tab w:leader="none" w:pos="16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 Units</w:t>
      </w:r>
      <w:r>
        <w:rPr>
          <w:rFonts w:ascii="Arial" w:cs="Arial" w:eastAsia="Arial" w:hAnsi="Arial"/>
          <w:sz w:val="22"/>
          <w:szCs w:val="22"/>
          <w:color w:val="auto"/>
        </w:rPr>
        <w:t>” means the number of hypothetical Shares subject to an Election.</w:t>
      </w:r>
    </w:p>
    <w:p>
      <w:pPr>
        <w:spacing w:after="0" w:line="233" w:lineRule="exact"/>
        <w:rPr>
          <w:rFonts w:ascii="Arial" w:cs="Arial" w:eastAsia="Arial" w:hAnsi="Arial"/>
          <w:sz w:val="22"/>
          <w:szCs w:val="22"/>
          <w:color w:val="auto"/>
        </w:rPr>
      </w:pPr>
    </w:p>
    <w:p>
      <w:pPr>
        <w:ind w:left="1740" w:hanging="436"/>
        <w:spacing w:after="0"/>
        <w:tabs>
          <w:tab w:leader="none" w:pos="17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jc w:val="both"/>
        <w:ind w:left="2600" w:right="320" w:hanging="648"/>
        <w:spacing w:after="0" w:line="250" w:lineRule="auto"/>
        <w:tabs>
          <w:tab w:leader="none" w:pos="260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two-calendar year period; or</w:t>
      </w:r>
    </w:p>
    <w:p>
      <w:pPr>
        <w:spacing w:after="0" w:line="187" w:lineRule="exact"/>
        <w:rPr>
          <w:rFonts w:ascii="Arial" w:cs="Arial" w:eastAsia="Arial" w:hAnsi="Arial"/>
          <w:sz w:val="22"/>
          <w:szCs w:val="22"/>
          <w:color w:val="auto"/>
        </w:rPr>
      </w:pPr>
    </w:p>
    <w:p>
      <w:pPr>
        <w:ind w:left="2600" w:hanging="648"/>
        <w:spacing w:after="0" w:line="343" w:lineRule="auto"/>
        <w:tabs>
          <w:tab w:leader="none" w:pos="2600" w:val="left"/>
        </w:tabs>
        <w:numPr>
          <w:ilvl w:val="1"/>
          <w:numId w:val="117"/>
        </w:numPr>
        <w:rPr>
          <w:rFonts w:ascii="Arial" w:cs="Arial" w:eastAsia="Arial" w:hAnsi="Arial"/>
          <w:sz w:val="19"/>
          <w:szCs w:val="19"/>
          <w:color w:val="auto"/>
        </w:rPr>
      </w:pPr>
      <w:r>
        <w:rPr>
          <w:rFonts w:ascii="Arial" w:cs="Arial" w:eastAsia="Arial" w:hAnsi="Arial"/>
          <w:sz w:val="19"/>
          <w:szCs w:val="19"/>
          <w:color w:val="auto"/>
        </w:rPr>
        <w:t>If different from the definition in Paragraph 2(u)(i) above, “Disability” as it may be defined in such Grantee’s employment agreement between the Grantee and the Company or an Affiliate, if any.</w:t>
      </w:r>
    </w:p>
    <w:p>
      <w:pPr>
        <w:spacing w:after="0" w:line="104" w:lineRule="exact"/>
        <w:rPr>
          <w:rFonts w:ascii="Arial" w:cs="Arial" w:eastAsia="Arial" w:hAnsi="Arial"/>
          <w:sz w:val="19"/>
          <w:szCs w:val="19"/>
          <w:color w:val="auto"/>
        </w:rPr>
      </w:pPr>
    </w:p>
    <w:p>
      <w:pPr>
        <w:ind w:left="1740" w:hanging="436"/>
        <w:spacing w:after="0"/>
        <w:tabs>
          <w:tab w:leader="none" w:pos="17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Disabled Grantee</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117"/>
        </w:numPr>
        <w:rPr>
          <w:rFonts w:ascii="Arial" w:cs="Arial" w:eastAsia="Arial" w:hAnsi="Arial"/>
          <w:sz w:val="19"/>
          <w:szCs w:val="19"/>
          <w:color w:val="auto"/>
        </w:rPr>
      </w:pPr>
      <w:r>
        <w:rPr>
          <w:rFonts w:ascii="Arial" w:cs="Arial" w:eastAsia="Arial" w:hAnsi="Arial"/>
          <w:sz w:val="19"/>
          <w:szCs w:val="19"/>
          <w:color w:val="auto"/>
        </w:rPr>
        <w:t>A Grantee whose employment by a Participating Company is terminated by reason of Disability;</w:t>
      </w:r>
    </w:p>
    <w:p>
      <w:pPr>
        <w:spacing w:after="0" w:line="254" w:lineRule="exact"/>
        <w:rPr>
          <w:rFonts w:ascii="Arial" w:cs="Arial" w:eastAsia="Arial" w:hAnsi="Arial"/>
          <w:sz w:val="19"/>
          <w:szCs w:val="19"/>
          <w:color w:val="auto"/>
        </w:rPr>
      </w:pPr>
    </w:p>
    <w:p>
      <w:pPr>
        <w:ind w:left="2600" w:right="80" w:hanging="648"/>
        <w:spacing w:after="0" w:line="263" w:lineRule="auto"/>
        <w:tabs>
          <w:tab w:leader="none" w:pos="260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The duly-appointed legal guardian of an individual described in Paragraph 2(v)(i) acting on behalf of such individual.</w:t>
      </w:r>
    </w:p>
    <w:p>
      <w:pPr>
        <w:spacing w:after="0" w:line="174" w:lineRule="exact"/>
        <w:rPr>
          <w:rFonts w:ascii="Arial" w:cs="Arial" w:eastAsia="Arial" w:hAnsi="Arial"/>
          <w:sz w:val="22"/>
          <w:szCs w:val="22"/>
          <w:color w:val="auto"/>
        </w:rPr>
      </w:pPr>
    </w:p>
    <w:p>
      <w:pPr>
        <w:ind w:left="660" w:right="60" w:firstLine="644"/>
        <w:spacing w:after="0" w:line="319" w:lineRule="auto"/>
        <w:tabs>
          <w:tab w:leader="none" w:pos="178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Diversification Election</w:t>
      </w:r>
      <w:r>
        <w:rPr>
          <w:rFonts w:ascii="Arial" w:cs="Arial" w:eastAsia="Arial" w:hAnsi="Arial"/>
          <w:sz w:val="19"/>
          <w:szCs w:val="19"/>
          <w:color w:val="auto"/>
        </w:rPr>
        <w:t>” means a Grantee’s election to have a portion of the Grantee’s Account credited in the form of Deferred Stock Units and attributable to any grant of Restricted Stock or Restricted Stock Units deemed liquidated and credited thereafter under the Income Fund or an Other Investment Fund, as provided in Paragraph 8(k).</w:t>
      </w:r>
    </w:p>
    <w:p>
      <w:pPr>
        <w:spacing w:after="0" w:line="127" w:lineRule="exact"/>
        <w:rPr>
          <w:rFonts w:ascii="Arial" w:cs="Arial" w:eastAsia="Arial" w:hAnsi="Arial"/>
          <w:sz w:val="19"/>
          <w:szCs w:val="19"/>
          <w:color w:val="auto"/>
        </w:rPr>
      </w:pPr>
    </w:p>
    <w:p>
      <w:pPr>
        <w:ind w:left="660" w:right="440" w:firstLine="644"/>
        <w:spacing w:after="0" w:line="276" w:lineRule="auto"/>
        <w:tabs>
          <w:tab w:leader="none" w:pos="17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w:t>
      </w:r>
      <w:r>
        <w:rPr>
          <w:rFonts w:ascii="Arial" w:cs="Arial" w:eastAsia="Arial" w:hAnsi="Arial"/>
          <w:sz w:val="22"/>
          <w:szCs w:val="22"/>
          <w:color w:val="auto"/>
        </w:rPr>
        <w:t>” means, as applicable, an Initial Deferral Election, Regular Deferral Election, or a Subsequent Deferral Election.</w:t>
      </w:r>
    </w:p>
    <w:p>
      <w:pPr>
        <w:spacing w:after="0" w:line="160" w:lineRule="exact"/>
        <w:rPr>
          <w:rFonts w:ascii="Arial" w:cs="Arial" w:eastAsia="Arial" w:hAnsi="Arial"/>
          <w:sz w:val="22"/>
          <w:szCs w:val="22"/>
          <w:color w:val="auto"/>
        </w:rPr>
      </w:pPr>
    </w:p>
    <w:p>
      <w:pPr>
        <w:ind w:left="1740" w:hanging="436"/>
        <w:spacing w:after="0"/>
        <w:tabs>
          <w:tab w:leader="none" w:pos="17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employee of a Participating Company, as determined by the Committee.</w:t>
      </w:r>
    </w:p>
    <w:p>
      <w:pPr>
        <w:spacing w:after="0" w:line="267" w:lineRule="exact"/>
        <w:rPr>
          <w:rFonts w:ascii="Arial" w:cs="Arial" w:eastAsia="Arial" w:hAnsi="Arial"/>
          <w:sz w:val="19"/>
          <w:szCs w:val="19"/>
          <w:color w:val="auto"/>
        </w:rPr>
      </w:pPr>
    </w:p>
    <w:p>
      <w:pPr>
        <w:ind w:left="1720" w:hanging="416"/>
        <w:spacing w:after="0"/>
        <w:tabs>
          <w:tab w:leader="none" w:pos="17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2600" w:hanging="648"/>
        <w:spacing w:after="0" w:line="250" w:lineRule="auto"/>
        <w:tabs>
          <w:tab w:leader="none" w:pos="260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If Shares or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ectPr>
          <w:pgSz w:w="11900" w:h="16838" w:orient="portrait"/>
          <w:cols w:equalWidth="0" w:num="1">
            <w:col w:w="11180"/>
          </w:cols>
          <w:pgMar w:left="320" w:top="604" w:right="399" w:bottom="1440" w:gutter="0" w:footer="0" w:header="0"/>
        </w:sectPr>
      </w:pPr>
    </w:p>
    <w:bookmarkStart w:id="92" w:name="page93"/>
    <w:bookmarkEnd w:id="92"/>
    <w:p>
      <w:pPr>
        <w:ind w:left="1480" w:right="80" w:hanging="648"/>
        <w:spacing w:after="0" w:line="250" w:lineRule="auto"/>
        <w:tabs>
          <w:tab w:leader="none" w:pos="14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If Shares or shares of any Other Investment Fund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87" w:lineRule="exact"/>
        <w:rPr>
          <w:rFonts w:ascii="Arial" w:cs="Arial" w:eastAsia="Arial" w:hAnsi="Arial"/>
          <w:sz w:val="22"/>
          <w:szCs w:val="22"/>
          <w:color w:val="auto"/>
        </w:rPr>
      </w:pPr>
    </w:p>
    <w:p>
      <w:pPr>
        <w:ind w:left="1480" w:right="140" w:hanging="648"/>
        <w:spacing w:after="0" w:line="263" w:lineRule="auto"/>
        <w:tabs>
          <w:tab w:leader="none" w:pos="14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If Shares or shares of any Other Investment Fund are not so listed nor trades of shares so reported, Fair Market Value shall be determined by the Committee in good faith.</w:t>
      </w:r>
    </w:p>
    <w:p>
      <w:pPr>
        <w:spacing w:after="0" w:line="174" w:lineRule="exact"/>
        <w:rPr>
          <w:rFonts w:ascii="Arial" w:cs="Arial" w:eastAsia="Arial" w:hAnsi="Arial"/>
          <w:sz w:val="22"/>
          <w:szCs w:val="22"/>
          <w:color w:val="auto"/>
        </w:rPr>
      </w:pPr>
    </w:p>
    <w:p>
      <w:pPr>
        <w:ind w:left="-460" w:right="160" w:firstLine="644"/>
        <w:spacing w:after="0" w:line="276" w:lineRule="auto"/>
        <w:tabs>
          <w:tab w:leader="none" w:pos="70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has the meaning given to such term in General Instructions A.1(a)(5) to Form S-8 under the Securities Act of 1933, as amended, and any successor thereto.</w:t>
      </w:r>
    </w:p>
    <w:p>
      <w:pPr>
        <w:spacing w:after="0" w:line="160" w:lineRule="exact"/>
        <w:rPr>
          <w:rFonts w:ascii="Arial" w:cs="Arial" w:eastAsia="Arial" w:hAnsi="Arial"/>
          <w:sz w:val="22"/>
          <w:szCs w:val="22"/>
          <w:color w:val="auto"/>
        </w:rPr>
      </w:pPr>
    </w:p>
    <w:p>
      <w:pPr>
        <w:ind w:left="-460" w:right="60" w:firstLine="644"/>
        <w:spacing w:after="0" w:line="276" w:lineRule="auto"/>
        <w:tabs>
          <w:tab w:leader="none" w:pos="72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Grandfathered Amount</w:t>
      </w:r>
      <w:r>
        <w:rPr>
          <w:rFonts w:ascii="Arial" w:cs="Arial" w:eastAsia="Arial" w:hAnsi="Arial"/>
          <w:sz w:val="22"/>
          <w:szCs w:val="22"/>
          <w:color w:val="auto"/>
        </w:rPr>
        <w:t>” means amounts described in Paragraph 1(c) that were deferred under the Plan and that were earned and vested before January 1, 2005.</w:t>
      </w:r>
    </w:p>
    <w:p>
      <w:pPr>
        <w:spacing w:after="0" w:line="160" w:lineRule="exact"/>
        <w:rPr>
          <w:rFonts w:ascii="Arial" w:cs="Arial" w:eastAsia="Arial" w:hAnsi="Arial"/>
          <w:sz w:val="22"/>
          <w:szCs w:val="22"/>
          <w:color w:val="auto"/>
        </w:rPr>
      </w:pPr>
    </w:p>
    <w:p>
      <w:pPr>
        <w:ind w:left="700" w:hanging="516"/>
        <w:spacing w:after="0"/>
        <w:tabs>
          <w:tab w:leader="none" w:pos="7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Grantee</w:t>
      </w:r>
      <w:r>
        <w:rPr>
          <w:rFonts w:ascii="Arial" w:cs="Arial" w:eastAsia="Arial" w:hAnsi="Arial"/>
          <w:sz w:val="22"/>
          <w:szCs w:val="22"/>
          <w:color w:val="auto"/>
        </w:rPr>
        <w:t>” means an Eligible Employee or Non-Employee Director who is granted an Award.</w:t>
      </w:r>
    </w:p>
    <w:p>
      <w:pPr>
        <w:spacing w:after="0" w:line="233" w:lineRule="exact"/>
        <w:rPr>
          <w:rFonts w:ascii="Arial" w:cs="Arial" w:eastAsia="Arial" w:hAnsi="Arial"/>
          <w:sz w:val="22"/>
          <w:szCs w:val="22"/>
          <w:color w:val="auto"/>
        </w:rPr>
      </w:pPr>
    </w:p>
    <w:p>
      <w:pPr>
        <w:ind w:left="-460" w:firstLine="644"/>
        <w:spacing w:after="0" w:line="261" w:lineRule="auto"/>
        <w:tabs>
          <w:tab w:leader="none" w:pos="728" w:val="left"/>
        </w:tabs>
        <w:numPr>
          <w:ilvl w:val="0"/>
          <w:numId w:val="1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Hardship</w:t>
      </w:r>
      <w:r>
        <w:rPr>
          <w:rFonts w:ascii="Arial" w:cs="Arial" w:eastAsia="Arial" w:hAnsi="Arial"/>
          <w:sz w:val="21"/>
          <w:szCs w:val="21"/>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80" w:lineRule="exact"/>
        <w:rPr>
          <w:rFonts w:ascii="Arial" w:cs="Arial" w:eastAsia="Arial" w:hAnsi="Arial"/>
          <w:sz w:val="21"/>
          <w:szCs w:val="21"/>
          <w:color w:val="auto"/>
        </w:rPr>
      </w:pPr>
    </w:p>
    <w:p>
      <w:pPr>
        <w:ind w:left="-460" w:right="460" w:firstLine="644"/>
        <w:spacing w:after="0" w:line="358" w:lineRule="auto"/>
        <w:tabs>
          <w:tab w:leader="none" w:pos="70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High Balance Participant</w:t>
      </w:r>
      <w:r>
        <w:rPr>
          <w:rFonts w:ascii="Arial" w:cs="Arial" w:eastAsia="Arial" w:hAnsi="Arial"/>
          <w:sz w:val="19"/>
          <w:szCs w:val="19"/>
          <w:color w:val="auto"/>
        </w:rPr>
        <w:t>” means a Grantee the value of whose Account that is deemed invested in the Income Fund is greater than or equal to the Income Fund Limit, as determined by the Committee.</w:t>
      </w:r>
    </w:p>
    <w:p>
      <w:pPr>
        <w:spacing w:after="0" w:line="90" w:lineRule="exact"/>
        <w:rPr>
          <w:rFonts w:ascii="Arial" w:cs="Arial" w:eastAsia="Arial" w:hAnsi="Arial"/>
          <w:sz w:val="19"/>
          <w:szCs w:val="19"/>
          <w:color w:val="auto"/>
        </w:rPr>
      </w:pPr>
    </w:p>
    <w:p>
      <w:pPr>
        <w:ind w:left="640" w:hanging="456"/>
        <w:spacing w:after="0"/>
        <w:tabs>
          <w:tab w:leader="none" w:pos="6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High-Water Mark</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1480" w:right="80" w:hanging="648"/>
        <w:spacing w:after="0" w:line="312" w:lineRule="auto"/>
        <w:tabs>
          <w:tab w:leader="none" w:pos="148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With respect to amounts credited to the Income Fund on account of Diversification Elections made in 2014, the highest of the sum of the amounts described in (A), (B) and (C) below as of the last day of any calendar quarter beginning after December 31, 2008 and before October 1, 2013:</w:t>
      </w:r>
    </w:p>
    <w:p>
      <w:pPr>
        <w:sectPr>
          <w:pgSz w:w="11900" w:h="16838" w:orient="portrait"/>
          <w:cols w:equalWidth="0" w:num="1">
            <w:col w:w="10100"/>
          </w:cols>
          <w:pgMar w:left="1440" w:top="604" w:right="359" w:bottom="1440" w:gutter="0" w:footer="0" w:header="0"/>
        </w:sectPr>
      </w:pPr>
    </w:p>
    <w:bookmarkStart w:id="93" w:name="page94"/>
    <w:bookmarkEnd w:id="93"/>
    <w:p>
      <w:pPr>
        <w:ind w:left="2120" w:hanging="640"/>
        <w:spacing w:after="0" w:line="263" w:lineRule="auto"/>
        <w:tabs>
          <w:tab w:leader="none" w:pos="2120" w:val="left"/>
        </w:tabs>
        <w:numPr>
          <w:ilvl w:val="2"/>
          <w:numId w:val="120"/>
        </w:numPr>
        <w:rPr>
          <w:rFonts w:ascii="Arial" w:cs="Arial" w:eastAsia="Arial" w:hAnsi="Arial"/>
          <w:sz w:val="22"/>
          <w:szCs w:val="22"/>
          <w:color w:val="auto"/>
        </w:rPr>
      </w:pPr>
      <w:r>
        <w:rPr>
          <w:rFonts w:ascii="Arial" w:cs="Arial" w:eastAsia="Arial" w:hAnsi="Arial"/>
          <w:sz w:val="22"/>
          <w:szCs w:val="22"/>
          <w:color w:val="auto"/>
        </w:rPr>
        <w:t>the Grantee’s Account under the 2005 Deferred Compensation Plan, to the extent credited to the Income Fund; plus</w:t>
      </w:r>
    </w:p>
    <w:p>
      <w:pPr>
        <w:spacing w:after="0" w:line="174" w:lineRule="exact"/>
        <w:rPr>
          <w:rFonts w:ascii="Arial" w:cs="Arial" w:eastAsia="Arial" w:hAnsi="Arial"/>
          <w:sz w:val="22"/>
          <w:szCs w:val="22"/>
          <w:color w:val="auto"/>
        </w:rPr>
      </w:pPr>
    </w:p>
    <w:p>
      <w:pPr>
        <w:ind w:left="2120" w:hanging="640"/>
        <w:spacing w:after="0" w:line="263" w:lineRule="auto"/>
        <w:tabs>
          <w:tab w:leader="none" w:pos="2120" w:val="left"/>
        </w:tabs>
        <w:numPr>
          <w:ilvl w:val="2"/>
          <w:numId w:val="120"/>
        </w:numPr>
        <w:rPr>
          <w:rFonts w:ascii="Arial" w:cs="Arial" w:eastAsia="Arial" w:hAnsi="Arial"/>
          <w:sz w:val="22"/>
          <w:szCs w:val="22"/>
          <w:color w:val="auto"/>
        </w:rPr>
      </w:pPr>
      <w:r>
        <w:rPr>
          <w:rFonts w:ascii="Arial" w:cs="Arial" w:eastAsia="Arial" w:hAnsi="Arial"/>
          <w:sz w:val="22"/>
          <w:szCs w:val="22"/>
          <w:color w:val="auto"/>
        </w:rPr>
        <w:t>the Grantee’s Account under the 2002 Deferred Compensation Plan, to the extent credited to the Income Fund; plus</w:t>
      </w:r>
    </w:p>
    <w:p>
      <w:pPr>
        <w:spacing w:after="0" w:line="174" w:lineRule="exact"/>
        <w:rPr>
          <w:rFonts w:ascii="Arial" w:cs="Arial" w:eastAsia="Arial" w:hAnsi="Arial"/>
          <w:sz w:val="22"/>
          <w:szCs w:val="22"/>
          <w:color w:val="auto"/>
        </w:rPr>
      </w:pPr>
    </w:p>
    <w:p>
      <w:pPr>
        <w:ind w:left="2120" w:hanging="640"/>
        <w:spacing w:after="0"/>
        <w:tabs>
          <w:tab w:leader="none" w:pos="2120" w:val="left"/>
        </w:tabs>
        <w:numPr>
          <w:ilvl w:val="2"/>
          <w:numId w:val="120"/>
        </w:numPr>
        <w:rPr>
          <w:rFonts w:ascii="Arial" w:cs="Arial" w:eastAsia="Arial" w:hAnsi="Arial"/>
          <w:sz w:val="22"/>
          <w:szCs w:val="22"/>
          <w:color w:val="auto"/>
        </w:rPr>
      </w:pPr>
      <w:r>
        <w:rPr>
          <w:rFonts w:ascii="Arial" w:cs="Arial" w:eastAsia="Arial" w:hAnsi="Arial"/>
          <w:sz w:val="22"/>
          <w:szCs w:val="22"/>
          <w:color w:val="auto"/>
        </w:rPr>
        <w:t>the portion of the Grantee’s Account under this Plan credited to the Income Fund.</w:t>
      </w:r>
    </w:p>
    <w:p>
      <w:pPr>
        <w:spacing w:after="0" w:line="219" w:lineRule="exact"/>
        <w:rPr>
          <w:rFonts w:ascii="Arial" w:cs="Arial" w:eastAsia="Arial" w:hAnsi="Arial"/>
          <w:sz w:val="22"/>
          <w:szCs w:val="22"/>
          <w:color w:val="auto"/>
        </w:rPr>
      </w:pPr>
    </w:p>
    <w:p>
      <w:pPr>
        <w:ind w:left="1480" w:right="40" w:hanging="648"/>
        <w:spacing w:after="0" w:line="248" w:lineRule="auto"/>
        <w:tabs>
          <w:tab w:leader="none" w:pos="148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With respect to amounts credited to the Income Fund on account of Diversification Elections and Special Diversification Elections made after 2014, the sum of (x) plus (y) where (x) equals the highest of the sum of the amounts described in Paragraphs 2(ee)(i)(A), (B) and (C) as of the last day of any calendar quarter beginning after December 31, 2008 and before January 1, 2014, and (y) equals the sum of:</w:t>
      </w:r>
    </w:p>
    <w:p>
      <w:pPr>
        <w:spacing w:after="0" w:line="191" w:lineRule="exact"/>
        <w:rPr>
          <w:rFonts w:ascii="Arial" w:cs="Arial" w:eastAsia="Arial" w:hAnsi="Arial"/>
          <w:sz w:val="22"/>
          <w:szCs w:val="22"/>
          <w:color w:val="auto"/>
        </w:rPr>
      </w:pPr>
    </w:p>
    <w:p>
      <w:pPr>
        <w:ind w:left="2120" w:right="80" w:hanging="640"/>
        <w:spacing w:after="0" w:line="265" w:lineRule="auto"/>
        <w:tabs>
          <w:tab w:leader="none" w:pos="2120" w:val="left"/>
        </w:tabs>
        <w:numPr>
          <w:ilvl w:val="2"/>
          <w:numId w:val="121"/>
        </w:numPr>
        <w:rPr>
          <w:rFonts w:ascii="Arial" w:cs="Arial" w:eastAsia="Arial" w:hAnsi="Arial"/>
          <w:sz w:val="21"/>
          <w:szCs w:val="21"/>
          <w:color w:val="auto"/>
        </w:rPr>
      </w:pPr>
      <w:r>
        <w:rPr>
          <w:rFonts w:ascii="Arial" w:cs="Arial" w:eastAsia="Arial" w:hAnsi="Arial"/>
          <w:sz w:val="21"/>
          <w:szCs w:val="21"/>
          <w:color w:val="auto"/>
        </w:rPr>
        <w:t>The amount credited to the Income Fund with respect to a 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175" w:lineRule="exact"/>
        <w:rPr>
          <w:rFonts w:ascii="Arial" w:cs="Arial" w:eastAsia="Arial" w:hAnsi="Arial"/>
          <w:sz w:val="21"/>
          <w:szCs w:val="21"/>
          <w:color w:val="auto"/>
        </w:rPr>
      </w:pPr>
    </w:p>
    <w:p>
      <w:pPr>
        <w:ind w:left="2120" w:right="60" w:hanging="640"/>
        <w:spacing w:after="0" w:line="250" w:lineRule="auto"/>
        <w:tabs>
          <w:tab w:leader="none" w:pos="2120" w:val="left"/>
        </w:tabs>
        <w:numPr>
          <w:ilvl w:val="2"/>
          <w:numId w:val="121"/>
        </w:numPr>
        <w:rPr>
          <w:rFonts w:ascii="Arial" w:cs="Arial" w:eastAsia="Arial" w:hAnsi="Arial"/>
          <w:sz w:val="22"/>
          <w:szCs w:val="22"/>
          <w:color w:val="auto"/>
        </w:rPr>
      </w:pPr>
      <w:r>
        <w:rPr>
          <w:rFonts w:ascii="Arial" w:cs="Arial" w:eastAsia="Arial" w:hAnsi="Arial"/>
          <w:sz w:val="22"/>
          <w:szCs w:val="22"/>
          <w:color w:val="auto"/>
        </w:rPr>
        <w:t>The deferred portion of a Grantee’s cash bonus award earned for 2013 to the extent credited to the Income Fund and payable, but for the Grantee’s deferral election under the 2005 Deferred Compensation Plan after December 31, 2013 and on or before September 30, 2014; plus</w:t>
      </w:r>
    </w:p>
    <w:p>
      <w:pPr>
        <w:spacing w:after="0" w:line="187" w:lineRule="exact"/>
        <w:rPr>
          <w:rFonts w:ascii="Arial" w:cs="Arial" w:eastAsia="Arial" w:hAnsi="Arial"/>
          <w:sz w:val="22"/>
          <w:szCs w:val="22"/>
          <w:color w:val="auto"/>
        </w:rPr>
      </w:pPr>
    </w:p>
    <w:p>
      <w:pPr>
        <w:ind w:left="2120" w:right="240" w:hanging="640"/>
        <w:spacing w:after="0" w:line="250" w:lineRule="auto"/>
        <w:tabs>
          <w:tab w:leader="none" w:pos="2120" w:val="left"/>
        </w:tabs>
        <w:numPr>
          <w:ilvl w:val="2"/>
          <w:numId w:val="121"/>
        </w:numPr>
        <w:rPr>
          <w:rFonts w:ascii="Arial" w:cs="Arial" w:eastAsia="Arial" w:hAnsi="Arial"/>
          <w:sz w:val="22"/>
          <w:szCs w:val="22"/>
          <w:color w:val="auto"/>
        </w:rPr>
      </w:pPr>
      <w:r>
        <w:rPr>
          <w:rFonts w:ascii="Arial" w:cs="Arial" w:eastAsia="Arial" w:hAnsi="Arial"/>
          <w:sz w:val="22"/>
          <w:szCs w:val="22"/>
          <w:color w:val="auto"/>
        </w:rPr>
        <w:t>The amount credited to the Income Fund pursuant to a Diversification Election or Special Diversification Election made by a Grantee before January 1, 2014 with respect to Restricted Stock Units that vest after December 31, 2013 and on or before September 30, 2014.</w:t>
      </w:r>
    </w:p>
    <w:p>
      <w:pPr>
        <w:spacing w:after="0" w:line="187" w:lineRule="exact"/>
        <w:rPr>
          <w:rFonts w:ascii="Arial" w:cs="Arial" w:eastAsia="Arial" w:hAnsi="Arial"/>
          <w:sz w:val="22"/>
          <w:szCs w:val="22"/>
          <w:color w:val="auto"/>
        </w:rPr>
      </w:pPr>
    </w:p>
    <w:p>
      <w:pPr>
        <w:ind w:left="-460" w:firstLine="644"/>
        <w:spacing w:after="0" w:line="297" w:lineRule="auto"/>
        <w:tabs>
          <w:tab w:leader="none" w:pos="72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Income Fund</w:t>
      </w:r>
      <w:r>
        <w:rPr>
          <w:rFonts w:ascii="Arial" w:cs="Arial" w:eastAsia="Arial" w:hAnsi="Arial"/>
          <w:sz w:val="19"/>
          <w:szCs w:val="19"/>
          <w:color w:val="auto"/>
        </w:rPr>
        <w:t>” means a hypothetical investment fund pursuant to which an amount equal to the Fair Market Value of Deferred Stock Units subject to a Diversification Election is credited as of the effective date of such Diversification Election and, except as otherwise provided in Paragraph 8(j) and Paragraph 8(k), as to which interest is credited thereafter until the date of distribution at the Applicable Interest Rate. In addition, the Income Fund shall also be deemed to hold dividend equivalents and earnings on dividend equivalents credited to a Grantee’s Account as described in Paragraph 2(b) and Paragraph 2(p). Notwithstanding any other provision of the Plan to</w:t>
      </w:r>
    </w:p>
    <w:p>
      <w:pPr>
        <w:sectPr>
          <w:pgSz w:w="11900" w:h="16838" w:orient="portrait"/>
          <w:cols w:equalWidth="0" w:num="1">
            <w:col w:w="10120"/>
          </w:cols>
          <w:pgMar w:left="1440" w:top="604" w:right="339" w:bottom="1440" w:gutter="0" w:footer="0" w:header="0"/>
        </w:sectPr>
      </w:pPr>
    </w:p>
    <w:bookmarkStart w:id="94" w:name="page95"/>
    <w:bookmarkEnd w:id="94"/>
    <w:p>
      <w:pPr>
        <w:spacing w:after="0" w:line="259" w:lineRule="auto"/>
        <w:rPr>
          <w:sz w:val="20"/>
          <w:szCs w:val="20"/>
          <w:color w:val="auto"/>
        </w:rPr>
      </w:pPr>
      <w:r>
        <w:rPr>
          <w:rFonts w:ascii="Arial" w:cs="Arial" w:eastAsia="Arial" w:hAnsi="Arial"/>
          <w:sz w:val="21"/>
          <w:szCs w:val="21"/>
          <w:color w:val="auto"/>
        </w:rPr>
        <w:t>the contrary, for purposes of determining the time and form of payment of amounts credited to the Income Fund, the rules of the 2005 Deferred Compensation Plan shall apply on the same basis as if such amounts were credited to a Grantee’s account under such 2005 Deferred Compensation Plan. The “</w:t>
      </w:r>
      <w:r>
        <w:rPr>
          <w:rFonts w:ascii="Arial" w:cs="Arial" w:eastAsia="Arial" w:hAnsi="Arial"/>
          <w:sz w:val="21"/>
          <w:szCs w:val="21"/>
          <w:u w:val="single" w:color="auto"/>
          <w:color w:val="auto"/>
        </w:rPr>
        <w:t>9% Fund</w:t>
      </w:r>
      <w:r>
        <w:rPr>
          <w:rFonts w:ascii="Arial" w:cs="Arial" w:eastAsia="Arial" w:hAnsi="Arial"/>
          <w:sz w:val="21"/>
          <w:szCs w:val="21"/>
          <w:color w:val="auto"/>
        </w:rPr>
        <w:t>” means that portion of the Income Fund with respect to which the Applicable Interest Rate is 9%. The “</w:t>
      </w:r>
      <w:r>
        <w:rPr>
          <w:rFonts w:ascii="Arial" w:cs="Arial" w:eastAsia="Arial" w:hAnsi="Arial"/>
          <w:sz w:val="21"/>
          <w:szCs w:val="21"/>
          <w:u w:val="single" w:color="auto"/>
          <w:color w:val="auto"/>
        </w:rPr>
        <w:t>12% Fund</w:t>
      </w:r>
      <w:r>
        <w:rPr>
          <w:rFonts w:ascii="Arial" w:cs="Arial" w:eastAsia="Arial" w:hAnsi="Arial"/>
          <w:sz w:val="21"/>
          <w:szCs w:val="21"/>
          <w:color w:val="auto"/>
        </w:rPr>
        <w:t>” means that portion of the Income Fund with respect to which the Applicable Interest Rate is 12%. The “</w:t>
      </w:r>
      <w:r>
        <w:rPr>
          <w:rFonts w:ascii="Arial" w:cs="Arial" w:eastAsia="Arial" w:hAnsi="Arial"/>
          <w:sz w:val="21"/>
          <w:szCs w:val="21"/>
          <w:u w:val="single" w:color="auto"/>
          <w:color w:val="auto"/>
        </w:rPr>
        <w:t>Prime Plus One Fund</w:t>
      </w:r>
      <w:r>
        <w:rPr>
          <w:rFonts w:ascii="Arial" w:cs="Arial" w:eastAsia="Arial" w:hAnsi="Arial"/>
          <w:sz w:val="21"/>
          <w:szCs w:val="21"/>
          <w:color w:val="auto"/>
        </w:rPr>
        <w:t>” means that portion of the Income Fund with respect to which the Applicable Interest Rate is described in Paragraph 2(f)(ii). For purposes of this Paragraph 2(gg), the Income Fund shall include amounts credited to the Income Fund under the 2002 Deferred Compensation Plan and the 2005 Deferred Compensation Plan.</w:t>
      </w:r>
    </w:p>
    <w:p>
      <w:pPr>
        <w:spacing w:after="0" w:line="183" w:lineRule="exact"/>
        <w:rPr>
          <w:sz w:val="20"/>
          <w:szCs w:val="20"/>
          <w:color w:val="auto"/>
        </w:rPr>
      </w:pPr>
    </w:p>
    <w:p>
      <w:pPr>
        <w:ind w:right="40" w:firstLine="644"/>
        <w:spacing w:after="0" w:line="262" w:lineRule="auto"/>
        <w:tabs>
          <w:tab w:leader="none" w:pos="118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Income Fund Limit</w:t>
      </w:r>
      <w:r>
        <w:rPr>
          <w:rFonts w:ascii="Arial" w:cs="Arial" w:eastAsia="Arial" w:hAnsi="Arial"/>
          <w:sz w:val="21"/>
          <w:szCs w:val="21"/>
          <w:color w:val="auto"/>
        </w:rPr>
        <w:t>” means $100 million, provided that if the amount credited to a Grantee’s Income Fund is greater than $100 million as of December 31, 2019, the Income Fund Limit applicable to such Grantee for any applicable Plan Year shall be equal to the amount credited to a Grantee’s Income Fund as of the December 31 immediately preceding such applicable Plan Year until such balance is equal to or less than $100 million. The Committee may waive or modify the Income Fund Limit applicable to one or more High Balance Participants in its discretion. For purposes of this Paragraph 2(hh), the Income Fund shall include amounts credited to Income Fund under the 2002 Deferred Compensation Plan and 2005 Deferred Compensation Plan.</w:t>
      </w:r>
    </w:p>
    <w:p>
      <w:pPr>
        <w:spacing w:after="0" w:line="179" w:lineRule="exact"/>
        <w:rPr>
          <w:rFonts w:ascii="Arial" w:cs="Arial" w:eastAsia="Arial" w:hAnsi="Arial"/>
          <w:sz w:val="21"/>
          <w:szCs w:val="21"/>
          <w:color w:val="auto"/>
        </w:rPr>
      </w:pPr>
    </w:p>
    <w:p>
      <w:pPr>
        <w:ind w:right="40" w:firstLine="644"/>
        <w:spacing w:after="0" w:line="278" w:lineRule="auto"/>
        <w:tabs>
          <w:tab w:leader="none" w:pos="109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Deferral Election</w:t>
      </w:r>
      <w:r>
        <w:rPr>
          <w:rFonts w:ascii="Arial" w:cs="Arial" w:eastAsia="Arial" w:hAnsi="Arial"/>
          <w:sz w:val="21"/>
          <w:szCs w:val="21"/>
          <w:color w:val="auto"/>
        </w:rPr>
        <w:t>” means a written election on a form provided by the Committee, pursuant to which a Grantee: (i) elects, within the time or times specified in Paragraph 8(a)(i), to defer the distribution date of Shares issuable with respect to Restricted Stock Units; and (ii) designates the distribution date of such Shares.</w:t>
      </w:r>
    </w:p>
    <w:p>
      <w:pPr>
        <w:spacing w:after="0" w:line="159" w:lineRule="exact"/>
        <w:rPr>
          <w:rFonts w:ascii="Arial" w:cs="Arial" w:eastAsia="Arial" w:hAnsi="Arial"/>
          <w:sz w:val="21"/>
          <w:szCs w:val="21"/>
          <w:color w:val="auto"/>
        </w:rPr>
      </w:pPr>
    </w:p>
    <w:p>
      <w:pPr>
        <w:ind w:left="1080" w:hanging="436"/>
        <w:spacing w:after="0"/>
        <w:tabs>
          <w:tab w:leader="none" w:pos="10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1180" w:hanging="536"/>
        <w:spacing w:after="0"/>
        <w:tabs>
          <w:tab w:leader="none" w:pos="11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Key Employee</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1940" w:right="780" w:hanging="648"/>
        <w:spacing w:after="0" w:line="263" w:lineRule="auto"/>
        <w:tabs>
          <w:tab w:leader="none" w:pos="19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 each employee of a Participating Company who:</w:t>
      </w:r>
    </w:p>
    <w:p>
      <w:pPr>
        <w:spacing w:after="0" w:line="174" w:lineRule="exact"/>
        <w:rPr>
          <w:rFonts w:ascii="Arial" w:cs="Arial" w:eastAsia="Arial" w:hAnsi="Arial"/>
          <w:sz w:val="22"/>
          <w:szCs w:val="22"/>
          <w:color w:val="auto"/>
        </w:rPr>
      </w:pPr>
    </w:p>
    <w:p>
      <w:pPr>
        <w:ind w:left="2580" w:right="640" w:hanging="640"/>
        <w:spacing w:after="0" w:line="287" w:lineRule="auto"/>
        <w:tabs>
          <w:tab w:leader="none" w:pos="2580" w:val="left"/>
        </w:tabs>
        <w:numPr>
          <w:ilvl w:val="2"/>
          <w:numId w:val="123"/>
        </w:numPr>
        <w:rPr>
          <w:rFonts w:ascii="Arial" w:cs="Arial" w:eastAsia="Arial" w:hAnsi="Arial"/>
          <w:sz w:val="21"/>
          <w:szCs w:val="21"/>
          <w:color w:val="auto"/>
        </w:rPr>
      </w:pPr>
      <w:r>
        <w:rPr>
          <w:rFonts w:ascii="Arial" w:cs="Arial" w:eastAsia="Arial" w:hAnsi="Arial"/>
          <w:sz w:val="21"/>
          <w:szCs w:val="21"/>
          <w:color w:val="auto"/>
        </w:rPr>
        <w:t>becomes an employee of a Participating Company and has an Annual Rate of Pay of $250,000 or more as of his employment commencement date; or</w:t>
      </w:r>
    </w:p>
    <w:p>
      <w:pPr>
        <w:spacing w:after="0" w:line="151" w:lineRule="exact"/>
        <w:rPr>
          <w:rFonts w:ascii="Arial" w:cs="Arial" w:eastAsia="Arial" w:hAnsi="Arial"/>
          <w:sz w:val="21"/>
          <w:szCs w:val="21"/>
          <w:color w:val="auto"/>
        </w:rPr>
      </w:pPr>
    </w:p>
    <w:p>
      <w:pPr>
        <w:ind w:left="2580" w:right="400" w:hanging="640"/>
        <w:spacing w:after="0" w:line="263" w:lineRule="auto"/>
        <w:tabs>
          <w:tab w:leader="none" w:pos="2580" w:val="left"/>
        </w:tabs>
        <w:numPr>
          <w:ilvl w:val="2"/>
          <w:numId w:val="123"/>
        </w:numPr>
        <w:rPr>
          <w:rFonts w:ascii="Arial" w:cs="Arial" w:eastAsia="Arial" w:hAnsi="Arial"/>
          <w:sz w:val="22"/>
          <w:szCs w:val="22"/>
          <w:color w:val="auto"/>
        </w:rPr>
      </w:pPr>
      <w:r>
        <w:rPr>
          <w:rFonts w:ascii="Arial" w:cs="Arial" w:eastAsia="Arial" w:hAnsi="Arial"/>
          <w:sz w:val="22"/>
          <w:szCs w:val="22"/>
          <w:color w:val="auto"/>
        </w:rPr>
        <w:t>has an Annual Rate of Pay that is increased to $250,000 or more and who, immediately preceding such increase, was not a Deferral Eligible Employee.</w:t>
      </w:r>
    </w:p>
    <w:p>
      <w:pPr>
        <w:spacing w:after="0" w:line="174" w:lineRule="exact"/>
        <w:rPr>
          <w:rFonts w:ascii="Arial" w:cs="Arial" w:eastAsia="Arial" w:hAnsi="Arial"/>
          <w:sz w:val="22"/>
          <w:szCs w:val="22"/>
          <w:color w:val="auto"/>
        </w:rPr>
      </w:pPr>
    </w:p>
    <w:p>
      <w:pPr>
        <w:ind w:left="1940" w:hanging="648"/>
        <w:spacing w:after="0"/>
        <w:tabs>
          <w:tab w:leader="none" w:pos="19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Effective on and after January 1, 2019, each employee of a Participating Company who:</w:t>
      </w:r>
    </w:p>
    <w:p>
      <w:pPr>
        <w:sectPr>
          <w:pgSz w:w="11900" w:h="16838" w:orient="portrait"/>
          <w:cols w:equalWidth="0" w:num="1">
            <w:col w:w="10520"/>
          </w:cols>
          <w:pgMar w:left="980" w:top="604" w:right="399" w:bottom="1440" w:gutter="0" w:footer="0" w:header="0"/>
        </w:sectPr>
      </w:pPr>
    </w:p>
    <w:bookmarkStart w:id="95" w:name="page96"/>
    <w:bookmarkEnd w:id="95"/>
    <w:p>
      <w:pPr>
        <w:ind w:left="2120" w:right="680" w:hanging="640"/>
        <w:spacing w:after="0" w:line="287" w:lineRule="auto"/>
        <w:tabs>
          <w:tab w:leader="none" w:pos="2120" w:val="left"/>
        </w:tabs>
        <w:numPr>
          <w:ilvl w:val="2"/>
          <w:numId w:val="124"/>
        </w:numPr>
        <w:rPr>
          <w:rFonts w:ascii="Arial" w:cs="Arial" w:eastAsia="Arial" w:hAnsi="Arial"/>
          <w:sz w:val="21"/>
          <w:szCs w:val="21"/>
          <w:color w:val="auto"/>
        </w:rPr>
      </w:pPr>
      <w:r>
        <w:rPr>
          <w:rFonts w:ascii="Arial" w:cs="Arial" w:eastAsia="Arial" w:hAnsi="Arial"/>
          <w:sz w:val="21"/>
          <w:szCs w:val="21"/>
          <w:color w:val="auto"/>
        </w:rPr>
        <w:t>becomes an employee of a Participating Company and has an Annual Rate of Pay of $350,000 or more as of his employment commencement date; or</w:t>
      </w:r>
    </w:p>
    <w:p>
      <w:pPr>
        <w:spacing w:after="0" w:line="151" w:lineRule="exact"/>
        <w:rPr>
          <w:rFonts w:ascii="Arial" w:cs="Arial" w:eastAsia="Arial" w:hAnsi="Arial"/>
          <w:sz w:val="21"/>
          <w:szCs w:val="21"/>
          <w:color w:val="auto"/>
        </w:rPr>
      </w:pPr>
    </w:p>
    <w:p>
      <w:pPr>
        <w:ind w:left="2120" w:right="440" w:hanging="640"/>
        <w:spacing w:after="0" w:line="263" w:lineRule="auto"/>
        <w:tabs>
          <w:tab w:leader="none" w:pos="2120" w:val="left"/>
        </w:tabs>
        <w:numPr>
          <w:ilvl w:val="2"/>
          <w:numId w:val="124"/>
        </w:numPr>
        <w:rPr>
          <w:rFonts w:ascii="Arial" w:cs="Arial" w:eastAsia="Arial" w:hAnsi="Arial"/>
          <w:sz w:val="22"/>
          <w:szCs w:val="22"/>
          <w:color w:val="auto"/>
        </w:rPr>
      </w:pPr>
      <w:r>
        <w:rPr>
          <w:rFonts w:ascii="Arial" w:cs="Arial" w:eastAsia="Arial" w:hAnsi="Arial"/>
          <w:sz w:val="22"/>
          <w:szCs w:val="22"/>
          <w:color w:val="auto"/>
        </w:rPr>
        <w:t>has an Annual Rate of Pay that is increased to $350,000 or more and who, immediately preceding such increase, was not a Deferral Eligible Employee.</w:t>
      </w:r>
    </w:p>
    <w:p>
      <w:pPr>
        <w:spacing w:after="0" w:line="174" w:lineRule="exact"/>
        <w:rPr>
          <w:rFonts w:ascii="Arial" w:cs="Arial" w:eastAsia="Arial" w:hAnsi="Arial"/>
          <w:sz w:val="22"/>
          <w:szCs w:val="22"/>
          <w:color w:val="auto"/>
        </w:rPr>
      </w:pPr>
    </w:p>
    <w:p>
      <w:pPr>
        <w:ind w:left="-460" w:right="120" w:firstLine="644"/>
        <w:spacing w:after="0" w:line="358" w:lineRule="auto"/>
        <w:tabs>
          <w:tab w:leader="none" w:pos="63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means an individual who is a member of the Board, and who is not an Eligible Employee, including an individual who is a member of the Board and who previously was an employee of the Company.</w:t>
      </w:r>
    </w:p>
    <w:p>
      <w:pPr>
        <w:spacing w:after="0" w:line="90" w:lineRule="exact"/>
        <w:rPr>
          <w:rFonts w:ascii="Arial" w:cs="Arial" w:eastAsia="Arial" w:hAnsi="Arial"/>
          <w:sz w:val="19"/>
          <w:szCs w:val="19"/>
          <w:color w:val="auto"/>
        </w:rPr>
      </w:pPr>
    </w:p>
    <w:p>
      <w:pPr>
        <w:ind w:left="-460" w:right="380" w:firstLine="644"/>
        <w:spacing w:after="0" w:line="358" w:lineRule="auto"/>
        <w:tabs>
          <w:tab w:leader="none" w:pos="84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Normal Retirement</w:t>
      </w:r>
      <w:r>
        <w:rPr>
          <w:rFonts w:ascii="Arial" w:cs="Arial" w:eastAsia="Arial" w:hAnsi="Arial"/>
          <w:sz w:val="19"/>
          <w:szCs w:val="19"/>
          <w:color w:val="auto"/>
        </w:rPr>
        <w:t>” means a Grantee’s termination of employment that is treated by the Participating Company as a retirement under its employment policies and practices as in effect from time to time.</w:t>
      </w:r>
    </w:p>
    <w:p>
      <w:pPr>
        <w:spacing w:after="0" w:line="90" w:lineRule="exact"/>
        <w:rPr>
          <w:rFonts w:ascii="Arial" w:cs="Arial" w:eastAsia="Arial" w:hAnsi="Arial"/>
          <w:sz w:val="19"/>
          <w:szCs w:val="19"/>
          <w:color w:val="auto"/>
        </w:rPr>
      </w:pPr>
    </w:p>
    <w:p>
      <w:pPr>
        <w:ind w:left="720" w:hanging="536"/>
        <w:spacing w:after="0"/>
        <w:tabs>
          <w:tab w:leader="none" w:pos="7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Available Shares</w:t>
      </w:r>
      <w:r>
        <w:rPr>
          <w:rFonts w:ascii="Arial" w:cs="Arial" w:eastAsia="Arial" w:hAnsi="Arial"/>
          <w:sz w:val="22"/>
          <w:szCs w:val="22"/>
          <w:color w:val="auto"/>
        </w:rPr>
        <w:t>” means, as of any date, the sum of:</w:t>
      </w:r>
    </w:p>
    <w:p>
      <w:pPr>
        <w:spacing w:after="0" w:line="233" w:lineRule="exact"/>
        <w:rPr>
          <w:rFonts w:ascii="Arial" w:cs="Arial" w:eastAsia="Arial" w:hAnsi="Arial"/>
          <w:sz w:val="22"/>
          <w:szCs w:val="22"/>
          <w:color w:val="auto"/>
        </w:rPr>
      </w:pPr>
    </w:p>
    <w:p>
      <w:pPr>
        <w:ind w:left="1480" w:right="280" w:hanging="648"/>
        <w:spacing w:after="0" w:line="312" w:lineRule="auto"/>
        <w:tabs>
          <w:tab w:leader="none" w:pos="148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133" w:lineRule="exact"/>
        <w:rPr>
          <w:rFonts w:ascii="Arial" w:cs="Arial" w:eastAsia="Arial" w:hAnsi="Arial"/>
          <w:sz w:val="19"/>
          <w:szCs w:val="19"/>
          <w:color w:val="auto"/>
        </w:rPr>
      </w:pPr>
    </w:p>
    <w:p>
      <w:pPr>
        <w:ind w:left="1480" w:hanging="648"/>
        <w:spacing w:after="0"/>
        <w:tabs>
          <w:tab w:leader="none" w:pos="148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excess, if any of:</w:t>
      </w:r>
    </w:p>
    <w:p>
      <w:pPr>
        <w:spacing w:after="0" w:line="219" w:lineRule="exact"/>
        <w:rPr>
          <w:rFonts w:ascii="Arial" w:cs="Arial" w:eastAsia="Arial" w:hAnsi="Arial"/>
          <w:sz w:val="22"/>
          <w:szCs w:val="22"/>
          <w:color w:val="auto"/>
        </w:rPr>
      </w:pPr>
    </w:p>
    <w:p>
      <w:pPr>
        <w:ind w:left="2120" w:right="320" w:hanging="640"/>
        <w:spacing w:after="0" w:line="263" w:lineRule="auto"/>
        <w:tabs>
          <w:tab w:leader="none" w:pos="2120" w:val="left"/>
        </w:tabs>
        <w:numPr>
          <w:ilvl w:val="2"/>
          <w:numId w:val="125"/>
        </w:numPr>
        <w:rPr>
          <w:rFonts w:ascii="Arial" w:cs="Arial" w:eastAsia="Arial" w:hAnsi="Arial"/>
          <w:sz w:val="22"/>
          <w:szCs w:val="22"/>
          <w:color w:val="auto"/>
        </w:rPr>
      </w:pPr>
      <w:r>
        <w:rPr>
          <w:rFonts w:ascii="Arial" w:cs="Arial" w:eastAsia="Arial" w:hAnsi="Arial"/>
          <w:sz w:val="22"/>
          <w:szCs w:val="22"/>
          <w:color w:val="auto"/>
        </w:rPr>
        <w:t>The total number of Shares owned by a Grantee or such Grantee’s Family Member other than the Shares described in Paragraph 2(nn)(i); over</w:t>
      </w:r>
    </w:p>
    <w:p>
      <w:pPr>
        <w:spacing w:after="0" w:line="174" w:lineRule="exact"/>
        <w:rPr>
          <w:rFonts w:ascii="Arial" w:cs="Arial" w:eastAsia="Arial" w:hAnsi="Arial"/>
          <w:sz w:val="22"/>
          <w:szCs w:val="22"/>
          <w:color w:val="auto"/>
        </w:rPr>
      </w:pPr>
    </w:p>
    <w:p>
      <w:pPr>
        <w:ind w:left="2120" w:hanging="640"/>
        <w:spacing w:after="0"/>
        <w:tabs>
          <w:tab w:leader="none" w:pos="2120" w:val="left"/>
        </w:tabs>
        <w:numPr>
          <w:ilvl w:val="2"/>
          <w:numId w:val="125"/>
        </w:numPr>
        <w:rPr>
          <w:rFonts w:ascii="Arial" w:cs="Arial" w:eastAsia="Arial" w:hAnsi="Arial"/>
          <w:sz w:val="22"/>
          <w:szCs w:val="22"/>
          <w:color w:val="auto"/>
        </w:rPr>
      </w:pPr>
      <w:r>
        <w:rPr>
          <w:rFonts w:ascii="Arial" w:cs="Arial" w:eastAsia="Arial" w:hAnsi="Arial"/>
          <w:sz w:val="22"/>
          <w:szCs w:val="22"/>
          <w:color w:val="auto"/>
        </w:rPr>
        <w:t>The sum of:</w:t>
      </w:r>
    </w:p>
    <w:p>
      <w:pPr>
        <w:spacing w:after="0" w:line="219" w:lineRule="exact"/>
        <w:rPr>
          <w:rFonts w:ascii="Arial" w:cs="Arial" w:eastAsia="Arial" w:hAnsi="Arial"/>
          <w:sz w:val="22"/>
          <w:szCs w:val="22"/>
          <w:color w:val="auto"/>
        </w:rPr>
      </w:pPr>
    </w:p>
    <w:p>
      <w:pPr>
        <w:ind w:left="1480" w:right="80" w:firstLine="648"/>
        <w:spacing w:after="0" w:line="276" w:lineRule="auto"/>
        <w:tabs>
          <w:tab w:leader="none" w:pos="2560" w:val="left"/>
        </w:tabs>
        <w:numPr>
          <w:ilvl w:val="3"/>
          <w:numId w:val="125"/>
        </w:numPr>
        <w:rPr>
          <w:rFonts w:ascii="Arial" w:cs="Arial" w:eastAsia="Arial" w:hAnsi="Arial"/>
          <w:sz w:val="22"/>
          <w:szCs w:val="22"/>
          <w:color w:val="auto"/>
        </w:rPr>
      </w:pPr>
      <w:r>
        <w:rPr>
          <w:rFonts w:ascii="Arial" w:cs="Arial" w:eastAsia="Arial" w:hAnsi="Arial"/>
          <w:sz w:val="22"/>
          <w:szCs w:val="22"/>
          <w:color w:val="auto"/>
        </w:rPr>
        <w:t>The number of such Shares owned by such Grantee or such Grantee’s Family Member for less than six months; plus</w:t>
      </w:r>
    </w:p>
    <w:p>
      <w:pPr>
        <w:spacing w:after="0" w:line="160" w:lineRule="exact"/>
        <w:rPr>
          <w:rFonts w:ascii="Arial" w:cs="Arial" w:eastAsia="Arial" w:hAnsi="Arial"/>
          <w:sz w:val="22"/>
          <w:szCs w:val="22"/>
          <w:color w:val="auto"/>
        </w:rPr>
      </w:pPr>
    </w:p>
    <w:p>
      <w:pPr>
        <w:jc w:val="both"/>
        <w:ind w:left="1480" w:right="80" w:firstLine="648"/>
        <w:spacing w:after="0" w:line="319" w:lineRule="auto"/>
        <w:tabs>
          <w:tab w:leader="none" w:pos="2560" w:val="left"/>
        </w:tabs>
        <w:numPr>
          <w:ilvl w:val="3"/>
          <w:numId w:val="125"/>
        </w:numPr>
        <w:rPr>
          <w:rFonts w:ascii="Arial" w:cs="Arial" w:eastAsia="Arial" w:hAnsi="Arial"/>
          <w:sz w:val="19"/>
          <w:szCs w:val="19"/>
          <w:color w:val="auto"/>
        </w:rPr>
      </w:pPr>
      <w:r>
        <w:rPr>
          <w:rFonts w:ascii="Arial" w:cs="Arial" w:eastAsia="Arial" w:hAnsi="Arial"/>
          <w:sz w:val="19"/>
          <w:szCs w:val="19"/>
          <w:color w:val="auto"/>
        </w:rPr>
        <w:t>The number of such Shares owned by such Grantee or such Grantee’s Family Member that has, within the preceding six months, been the subject of a certification pursuant to Paragraph 9(c)(ii) or any similar certification under any other Comcast Plan; plus</w:t>
      </w:r>
    </w:p>
    <w:p>
      <w:pPr>
        <w:spacing w:after="0" w:line="127" w:lineRule="exact"/>
        <w:rPr>
          <w:rFonts w:ascii="Arial" w:cs="Arial" w:eastAsia="Arial" w:hAnsi="Arial"/>
          <w:sz w:val="19"/>
          <w:szCs w:val="19"/>
          <w:color w:val="auto"/>
        </w:rPr>
      </w:pPr>
    </w:p>
    <w:p>
      <w:pPr>
        <w:ind w:left="1480" w:firstLine="648"/>
        <w:spacing w:after="0" w:line="307" w:lineRule="auto"/>
        <w:tabs>
          <w:tab w:leader="none" w:pos="2560" w:val="left"/>
        </w:tabs>
        <w:numPr>
          <w:ilvl w:val="3"/>
          <w:numId w:val="125"/>
        </w:numPr>
        <w:rPr>
          <w:rFonts w:ascii="Arial" w:cs="Arial" w:eastAsia="Arial" w:hAnsi="Arial"/>
          <w:sz w:val="19"/>
          <w:szCs w:val="19"/>
          <w:color w:val="auto"/>
        </w:rPr>
      </w:pPr>
      <w:r>
        <w:rPr>
          <w:rFonts w:ascii="Arial" w:cs="Arial" w:eastAsia="Arial" w:hAnsi="Arial"/>
          <w:sz w:val="19"/>
          <w:szCs w:val="19"/>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w:t>
      </w:r>
    </w:p>
    <w:p>
      <w:pPr>
        <w:sectPr>
          <w:pgSz w:w="11900" w:h="16838" w:orient="portrait"/>
          <w:cols w:equalWidth="0" w:num="1">
            <w:col w:w="10100"/>
          </w:cols>
          <w:pgMar w:left="1440" w:top="604" w:right="359" w:bottom="1440" w:gutter="0" w:footer="0" w:header="0"/>
        </w:sectPr>
      </w:pPr>
    </w:p>
    <w:bookmarkStart w:id="96" w:name="page97"/>
    <w:bookmarkEnd w:id="96"/>
    <w:p>
      <w:pPr>
        <w:ind w:left="1940" w:right="160"/>
        <w:spacing w:after="0" w:line="263" w:lineRule="auto"/>
        <w:rPr>
          <w:sz w:val="20"/>
          <w:szCs w:val="20"/>
          <w:color w:val="auto"/>
        </w:rPr>
      </w:pPr>
      <w:r>
        <w:rPr>
          <w:rFonts w:ascii="Arial" w:cs="Arial" w:eastAsia="Arial" w:hAnsi="Arial"/>
          <w:sz w:val="22"/>
          <w:szCs w:val="22"/>
          <w:color w:val="auto"/>
        </w:rPr>
        <w:t>Company, under any Comcast Plan, but only to the extent of the number of Shares surrendered or attested to; plus</w:t>
      </w:r>
    </w:p>
    <w:p>
      <w:pPr>
        <w:spacing w:after="0" w:line="175" w:lineRule="exact"/>
        <w:rPr>
          <w:sz w:val="20"/>
          <w:szCs w:val="20"/>
          <w:color w:val="auto"/>
        </w:rPr>
      </w:pPr>
    </w:p>
    <w:p>
      <w:pPr>
        <w:ind w:left="1940" w:right="40" w:firstLine="648"/>
        <w:spacing w:after="0" w:line="307" w:lineRule="auto"/>
        <w:tabs>
          <w:tab w:leader="none" w:pos="302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38"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For purposes of this Paragraph 2(nn), a Share that is subject to an Election pursuant to Paragraph 8 or a deferral election pursuant to another Comcast Plan shall not be treated as owned by a Grantee until all conditions to the delivery of such Share have lapsed. For purposes of determining the number of Other Available Shares, the term “Shares” shall also include the securities held by a Grantee or such Grantee’s Family Member immediately before the consummation of the AT&amp;T Broadband Transaction that have converted into Shares.</w:t>
      </w:r>
    </w:p>
    <w:p>
      <w:pPr>
        <w:spacing w:after="0" w:line="147" w:lineRule="exact"/>
        <w:rPr>
          <w:sz w:val="20"/>
          <w:szCs w:val="20"/>
          <w:color w:val="auto"/>
        </w:rPr>
      </w:pPr>
    </w:p>
    <w:p>
      <w:pPr>
        <w:ind w:firstLine="644"/>
        <w:spacing w:after="0" w:line="300" w:lineRule="auto"/>
        <w:tabs>
          <w:tab w:leader="none" w:pos="118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Investment Fund</w:t>
      </w:r>
      <w:r>
        <w:rPr>
          <w:rFonts w:ascii="Arial" w:cs="Arial" w:eastAsia="Arial" w:hAnsi="Arial"/>
          <w:sz w:val="19"/>
          <w:szCs w:val="19"/>
          <w:color w:val="auto"/>
        </w:rPr>
        <w:t>” means the Company Stock Fund and such other hypothetical investment funds designated by the Committee, pursuant to which income, gains, and losses are credited to a Grantee’s Account as if the Account, to the extent deemed invested in such Other Investment Fund, were credited with income, gains, and losses as if actually invested in such Other Investment Fund. The Grantee shall designate the Other Investment Funds in which the Grantee’s Account shall be invested in accordance with rules established by the Committee.</w:t>
      </w:r>
    </w:p>
    <w:p>
      <w:pPr>
        <w:spacing w:after="0" w:line="146" w:lineRule="exact"/>
        <w:rPr>
          <w:rFonts w:ascii="Arial" w:cs="Arial" w:eastAsia="Arial" w:hAnsi="Arial"/>
          <w:sz w:val="19"/>
          <w:szCs w:val="19"/>
          <w:color w:val="auto"/>
        </w:rPr>
      </w:pPr>
    </w:p>
    <w:p>
      <w:pPr>
        <w:ind w:left="1180" w:hanging="536"/>
        <w:spacing w:after="0"/>
        <w:tabs>
          <w:tab w:leader="none" w:pos="11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the Company and each of the Subsidiary Companies.</w:t>
      </w:r>
    </w:p>
    <w:p>
      <w:pPr>
        <w:spacing w:after="0" w:line="233" w:lineRule="exact"/>
        <w:rPr>
          <w:rFonts w:ascii="Arial" w:cs="Arial" w:eastAsia="Arial" w:hAnsi="Arial"/>
          <w:sz w:val="22"/>
          <w:szCs w:val="22"/>
          <w:color w:val="auto"/>
        </w:rPr>
      </w:pPr>
    </w:p>
    <w:p>
      <w:pPr>
        <w:ind w:right="320" w:firstLine="644"/>
        <w:spacing w:after="0" w:line="276" w:lineRule="auto"/>
        <w:tabs>
          <w:tab w:leader="none" w:pos="118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Performance-Based Compensation</w:t>
      </w:r>
      <w:r>
        <w:rPr>
          <w:rFonts w:ascii="Arial" w:cs="Arial" w:eastAsia="Arial" w:hAnsi="Arial"/>
          <w:sz w:val="22"/>
          <w:szCs w:val="22"/>
          <w:color w:val="auto"/>
        </w:rPr>
        <w:t>” means “Performance-Based Compensation” within the meaning of Section 409A.</w:t>
      </w:r>
    </w:p>
    <w:p>
      <w:pPr>
        <w:spacing w:after="0" w:line="160" w:lineRule="exact"/>
        <w:rPr>
          <w:rFonts w:ascii="Arial" w:cs="Arial" w:eastAsia="Arial" w:hAnsi="Arial"/>
          <w:sz w:val="22"/>
          <w:szCs w:val="22"/>
          <w:color w:val="auto"/>
        </w:rPr>
      </w:pPr>
    </w:p>
    <w:p>
      <w:pPr>
        <w:ind w:right="120" w:firstLine="644"/>
        <w:spacing w:after="0" w:line="276" w:lineRule="auto"/>
        <w:tabs>
          <w:tab w:leader="none" w:pos="111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a period of at least 12 months during which a Grantee may earn Performance-Based Compensation.</w:t>
      </w:r>
    </w:p>
    <w:p>
      <w:pPr>
        <w:spacing w:after="0" w:line="160" w:lineRule="exact"/>
        <w:rPr>
          <w:rFonts w:ascii="Arial" w:cs="Arial" w:eastAsia="Arial" w:hAnsi="Arial"/>
          <w:sz w:val="22"/>
          <w:szCs w:val="22"/>
          <w:color w:val="auto"/>
        </w:rPr>
      </w:pPr>
    </w:p>
    <w:p>
      <w:pPr>
        <w:ind w:left="1140" w:hanging="496"/>
        <w:spacing w:after="0"/>
        <w:tabs>
          <w:tab w:leader="none" w:pos="114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organization.</w:t>
      </w:r>
    </w:p>
    <w:p>
      <w:pPr>
        <w:spacing w:after="0" w:line="215" w:lineRule="exact"/>
        <w:rPr>
          <w:rFonts w:ascii="Arial" w:cs="Arial" w:eastAsia="Arial" w:hAnsi="Arial"/>
          <w:sz w:val="19"/>
          <w:szCs w:val="19"/>
          <w:color w:val="auto"/>
        </w:rPr>
      </w:pPr>
    </w:p>
    <w:p>
      <w:pPr>
        <w:ind w:right="20" w:firstLine="644"/>
        <w:spacing w:after="0" w:line="276" w:lineRule="auto"/>
        <w:tabs>
          <w:tab w:leader="none" w:pos="109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2002 Restricted Stock Plan, as set forth herein, and as amended from time to time.</w:t>
      </w:r>
    </w:p>
    <w:p>
      <w:pPr>
        <w:spacing w:after="0" w:line="160" w:lineRule="exact"/>
        <w:rPr>
          <w:rFonts w:ascii="Arial" w:cs="Arial" w:eastAsia="Arial" w:hAnsi="Arial"/>
          <w:sz w:val="22"/>
          <w:szCs w:val="22"/>
          <w:color w:val="auto"/>
        </w:rPr>
      </w:pPr>
    </w:p>
    <w:p>
      <w:pPr>
        <w:ind w:left="1180" w:hanging="536"/>
        <w:spacing w:after="0"/>
        <w:tabs>
          <w:tab w:leader="none" w:pos="11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w:t>
      </w:r>
    </w:p>
    <w:p>
      <w:pPr>
        <w:spacing w:after="0" w:line="233" w:lineRule="exact"/>
        <w:rPr>
          <w:rFonts w:ascii="Arial" w:cs="Arial" w:eastAsia="Arial" w:hAnsi="Arial"/>
          <w:sz w:val="22"/>
          <w:szCs w:val="22"/>
          <w:color w:val="auto"/>
        </w:rPr>
      </w:pPr>
    </w:p>
    <w:p>
      <w:pPr>
        <w:jc w:val="both"/>
        <w:ind w:right="100" w:firstLine="644"/>
        <w:spacing w:after="0" w:line="259" w:lineRule="auto"/>
        <w:tabs>
          <w:tab w:leader="none" w:pos="118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means, for any calendar year, the interest rate that, when compounded daily pursuant to rules established by the Committee from time to time, is mathematically equivalent to the prime rate of interest (compounded annually) as</w:t>
      </w:r>
    </w:p>
    <w:p>
      <w:pPr>
        <w:sectPr>
          <w:pgSz w:w="11900" w:h="16838" w:orient="portrait"/>
          <w:cols w:equalWidth="0" w:num="1">
            <w:col w:w="10520"/>
          </w:cols>
          <w:pgMar w:left="980" w:top="604" w:right="399" w:bottom="1440" w:gutter="0" w:footer="0" w:header="0"/>
        </w:sectPr>
      </w:pPr>
    </w:p>
    <w:bookmarkStart w:id="97" w:name="page98"/>
    <w:bookmarkEnd w:id="97"/>
    <w:p>
      <w:pPr>
        <w:ind w:right="700"/>
        <w:spacing w:after="0" w:line="253" w:lineRule="auto"/>
        <w:rPr>
          <w:sz w:val="20"/>
          <w:szCs w:val="20"/>
          <w:color w:val="auto"/>
        </w:rPr>
      </w:pPr>
      <w:r>
        <w:rPr>
          <w:rFonts w:ascii="Arial" w:cs="Arial" w:eastAsia="Arial" w:hAnsi="Arial"/>
          <w:sz w:val="22"/>
          <w:szCs w:val="22"/>
          <w:color w:val="auto"/>
        </w:rPr>
        <w:t xml:space="preserve">published in the Eastern Edition of </w:t>
      </w:r>
      <w:r>
        <w:rPr>
          <w:rFonts w:ascii="Arial" w:cs="Arial" w:eastAsia="Arial" w:hAnsi="Arial"/>
          <w:sz w:val="22"/>
          <w:szCs w:val="22"/>
          <w:u w:val="single" w:color="auto"/>
          <w:color w:val="auto"/>
        </w:rPr>
        <w:t>The Wall Street Journal</w:t>
      </w:r>
      <w:r>
        <w:rPr>
          <w:rFonts w:ascii="Arial" w:cs="Arial" w:eastAsia="Arial" w:hAnsi="Arial"/>
          <w:sz w:val="22"/>
          <w:szCs w:val="22"/>
          <w:color w:val="auto"/>
        </w:rPr>
        <w:t xml:space="preserve"> on the last business day preceding the first day of such calendar year, and as adjusted as of the last business day preceding the first day of each calendar year beginning thereafter.</w:t>
      </w:r>
    </w:p>
    <w:p>
      <w:pPr>
        <w:spacing w:after="0" w:line="185" w:lineRule="exact"/>
        <w:rPr>
          <w:sz w:val="20"/>
          <w:szCs w:val="20"/>
          <w:color w:val="auto"/>
        </w:rPr>
      </w:pPr>
    </w:p>
    <w:p>
      <w:pPr>
        <w:ind w:right="40" w:firstLine="644"/>
        <w:spacing w:after="0" w:line="319" w:lineRule="auto"/>
        <w:tabs>
          <w:tab w:leader="none" w:pos="128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Regular Deferral Election</w:t>
      </w:r>
      <w:r>
        <w:rPr>
          <w:rFonts w:ascii="Arial" w:cs="Arial" w:eastAsia="Arial" w:hAnsi="Arial"/>
          <w:sz w:val="19"/>
          <w:szCs w:val="19"/>
          <w:color w:val="auto"/>
        </w:rPr>
        <w:t>” means a written election on a form provided by the Committee, pursuant to which a Grantee: (i) elects, within the time or times specified in Paragraph 8(a)(ii), to defer the distribution date of Shares issuable with respect to Restricted Stock Units; and (ii) designates the distribution date of such Shares.</w:t>
      </w:r>
    </w:p>
    <w:p>
      <w:pPr>
        <w:spacing w:after="0" w:line="127" w:lineRule="exact"/>
        <w:rPr>
          <w:rFonts w:ascii="Arial" w:cs="Arial" w:eastAsia="Arial" w:hAnsi="Arial"/>
          <w:sz w:val="19"/>
          <w:szCs w:val="19"/>
          <w:color w:val="auto"/>
        </w:rPr>
      </w:pPr>
    </w:p>
    <w:p>
      <w:pPr>
        <w:ind w:left="1180" w:hanging="536"/>
        <w:spacing w:after="0"/>
        <w:tabs>
          <w:tab w:leader="none" w:pos="11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Shares subject to restrictions as set forth in an Award.</w:t>
      </w:r>
    </w:p>
    <w:p>
      <w:pPr>
        <w:spacing w:after="0" w:line="233" w:lineRule="exact"/>
        <w:rPr>
          <w:rFonts w:ascii="Arial" w:cs="Arial" w:eastAsia="Arial" w:hAnsi="Arial"/>
          <w:sz w:val="22"/>
          <w:szCs w:val="22"/>
          <w:color w:val="auto"/>
        </w:rPr>
      </w:pPr>
    </w:p>
    <w:p>
      <w:pPr>
        <w:ind w:right="120" w:firstLine="644"/>
        <w:spacing w:after="0" w:line="276" w:lineRule="auto"/>
        <w:tabs>
          <w:tab w:leader="none" w:pos="118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 unit that entitles the Grantee, upon the Vesting Date set forth in an Award, to receive one Share.</w:t>
      </w:r>
    </w:p>
    <w:p>
      <w:pPr>
        <w:spacing w:after="0" w:line="160" w:lineRule="exact"/>
        <w:rPr>
          <w:rFonts w:ascii="Arial" w:cs="Arial" w:eastAsia="Arial" w:hAnsi="Arial"/>
          <w:sz w:val="22"/>
          <w:szCs w:val="22"/>
          <w:color w:val="auto"/>
        </w:rPr>
      </w:pPr>
    </w:p>
    <w:p>
      <w:pPr>
        <w:ind w:left="1160" w:hanging="516"/>
        <w:spacing w:after="0"/>
        <w:tabs>
          <w:tab w:leader="none" w:pos="116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Retired Grantee</w:t>
      </w:r>
      <w:r>
        <w:rPr>
          <w:rFonts w:ascii="Arial" w:cs="Arial" w:eastAsia="Arial" w:hAnsi="Arial"/>
          <w:sz w:val="19"/>
          <w:szCs w:val="19"/>
          <w:color w:val="auto"/>
        </w:rPr>
        <w:t>” means a Grantee who has terminated employment pursuant to a Normal Retirement.</w:t>
      </w:r>
    </w:p>
    <w:p>
      <w:pPr>
        <w:spacing w:after="0" w:line="268" w:lineRule="exact"/>
        <w:rPr>
          <w:sz w:val="20"/>
          <w:szCs w:val="20"/>
          <w:color w:val="auto"/>
        </w:rPr>
      </w:pPr>
    </w:p>
    <w:p>
      <w:pPr>
        <w:ind w:left="1260" w:hanging="616"/>
        <w:spacing w:after="0"/>
        <w:tabs>
          <w:tab w:leader="none" w:pos="12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16b-3</w:t>
      </w:r>
      <w:r>
        <w:rPr>
          <w:rFonts w:ascii="Arial" w:cs="Arial" w:eastAsia="Arial" w:hAnsi="Arial"/>
          <w:sz w:val="22"/>
          <w:szCs w:val="22"/>
          <w:color w:val="auto"/>
        </w:rPr>
        <w:t>” means Rule 16b-3 promulgated under the 1934 Act, as in effect from time to time.</w:t>
      </w:r>
    </w:p>
    <w:p>
      <w:pPr>
        <w:spacing w:after="0" w:line="233" w:lineRule="exact"/>
        <w:rPr>
          <w:rFonts w:ascii="Arial" w:cs="Arial" w:eastAsia="Arial" w:hAnsi="Arial"/>
          <w:sz w:val="22"/>
          <w:szCs w:val="22"/>
          <w:color w:val="auto"/>
        </w:rPr>
      </w:pPr>
    </w:p>
    <w:p>
      <w:pPr>
        <w:ind w:left="1300" w:hanging="656"/>
        <w:spacing w:after="0"/>
        <w:tabs>
          <w:tab w:leader="none" w:pos="13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16 Officer</w:t>
      </w:r>
      <w:r>
        <w:rPr>
          <w:rFonts w:ascii="Arial" w:cs="Arial" w:eastAsia="Arial" w:hAnsi="Arial"/>
          <w:sz w:val="19"/>
          <w:szCs w:val="19"/>
          <w:color w:val="auto"/>
        </w:rPr>
        <w:t>” means an “officer” of the Company, as defined pursuant to Rule 16a-1(f) under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1934 Act.</w:t>
      </w:r>
    </w:p>
    <w:p>
      <w:pPr>
        <w:spacing w:after="0" w:line="215" w:lineRule="exact"/>
        <w:rPr>
          <w:rFonts w:ascii="Arial" w:cs="Arial" w:eastAsia="Arial" w:hAnsi="Arial"/>
          <w:sz w:val="19"/>
          <w:szCs w:val="19"/>
          <w:color w:val="auto"/>
        </w:rPr>
      </w:pPr>
    </w:p>
    <w:p>
      <w:pPr>
        <w:ind w:left="1260" w:hanging="616"/>
        <w:spacing w:after="0"/>
        <w:tabs>
          <w:tab w:leader="none" w:pos="12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or “</w:t>
      </w:r>
      <w:r>
        <w:rPr>
          <w:rFonts w:ascii="Arial" w:cs="Arial" w:eastAsia="Arial" w:hAnsi="Arial"/>
          <w:sz w:val="22"/>
          <w:szCs w:val="22"/>
          <w:u w:val="single" w:color="auto"/>
          <w:color w:val="auto"/>
        </w:rPr>
        <w:t>Shares</w:t>
      </w:r>
      <w:r>
        <w:rPr>
          <w:rFonts w:ascii="Arial" w:cs="Arial" w:eastAsia="Arial" w:hAnsi="Arial"/>
          <w:sz w:val="22"/>
          <w:szCs w:val="22"/>
          <w:color w:val="auto"/>
        </w:rPr>
        <w:t>” means a share or shares of Common Stock.</w:t>
      </w:r>
    </w:p>
    <w:p>
      <w:pPr>
        <w:spacing w:after="0" w:line="233" w:lineRule="exact"/>
        <w:rPr>
          <w:rFonts w:ascii="Arial" w:cs="Arial" w:eastAsia="Arial" w:hAnsi="Arial"/>
          <w:sz w:val="22"/>
          <w:szCs w:val="22"/>
          <w:color w:val="auto"/>
        </w:rPr>
      </w:pPr>
    </w:p>
    <w:p>
      <w:pPr>
        <w:ind w:firstLine="644"/>
        <w:spacing w:after="0" w:line="251" w:lineRule="auto"/>
        <w:tabs>
          <w:tab w:leader="none" w:pos="129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Diversification Election</w:t>
      </w:r>
      <w:r>
        <w:rPr>
          <w:rFonts w:ascii="Arial" w:cs="Arial" w:eastAsia="Arial" w:hAnsi="Arial"/>
          <w:sz w:val="22"/>
          <w:szCs w:val="22"/>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or an Other Investment Fund, as provided in Paragraph 8(k)(i), if (and to the extent that) it is approved by the Committee or its delegate in accordance with Paragraph 8(k)(ii).</w:t>
      </w:r>
    </w:p>
    <w:p>
      <w:pPr>
        <w:spacing w:after="0" w:line="189" w:lineRule="exact"/>
        <w:rPr>
          <w:rFonts w:ascii="Arial" w:cs="Arial" w:eastAsia="Arial" w:hAnsi="Arial"/>
          <w:sz w:val="22"/>
          <w:szCs w:val="22"/>
          <w:color w:val="auto"/>
        </w:rPr>
      </w:pPr>
    </w:p>
    <w:p>
      <w:pPr>
        <w:ind w:right="160" w:firstLine="644"/>
        <w:spacing w:after="0" w:line="270" w:lineRule="auto"/>
        <w:tabs>
          <w:tab w:leader="none" w:pos="1259" w:val="left"/>
        </w:tabs>
        <w:numPr>
          <w:ilvl w:val="0"/>
          <w:numId w:val="12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Subsequent Deferral Election</w:t>
      </w:r>
      <w:r>
        <w:rPr>
          <w:rFonts w:ascii="Arial" w:cs="Arial" w:eastAsia="Arial" w:hAnsi="Arial"/>
          <w:sz w:val="21"/>
          <w:szCs w:val="21"/>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68" w:lineRule="exact"/>
        <w:rPr>
          <w:rFonts w:ascii="Arial" w:cs="Arial" w:eastAsia="Arial" w:hAnsi="Arial"/>
          <w:sz w:val="21"/>
          <w:szCs w:val="21"/>
          <w:color w:val="auto"/>
        </w:rPr>
      </w:pPr>
    </w:p>
    <w:p>
      <w:pPr>
        <w:ind w:right="500" w:firstLine="644"/>
        <w:spacing w:after="0" w:line="276" w:lineRule="auto"/>
        <w:tabs>
          <w:tab w:leader="none" w:pos="11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Companies</w:t>
      </w:r>
      <w:r>
        <w:rPr>
          <w:rFonts w:ascii="Arial" w:cs="Arial" w:eastAsia="Arial" w:hAnsi="Arial"/>
          <w:sz w:val="22"/>
          <w:szCs w:val="22"/>
          <w:color w:val="auto"/>
        </w:rPr>
        <w:t>” means all business entities that, at the time in question, are subsidiaries of the Company, within the meaning of section 424(f) of the Code.</w:t>
      </w:r>
    </w:p>
    <w:p>
      <w:pPr>
        <w:spacing w:after="0" w:line="160" w:lineRule="exact"/>
        <w:rPr>
          <w:rFonts w:ascii="Arial" w:cs="Arial" w:eastAsia="Arial" w:hAnsi="Arial"/>
          <w:sz w:val="22"/>
          <w:szCs w:val="22"/>
          <w:color w:val="auto"/>
        </w:rPr>
      </w:pPr>
    </w:p>
    <w:p>
      <w:pPr>
        <w:ind w:right="140" w:firstLine="644"/>
        <w:spacing w:after="0" w:line="276" w:lineRule="auto"/>
        <w:tabs>
          <w:tab w:leader="none" w:pos="129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Successor-in-Interest</w:t>
      </w:r>
      <w:r>
        <w:rPr>
          <w:rFonts w:ascii="Arial" w:cs="Arial" w:eastAsia="Arial" w:hAnsi="Arial"/>
          <w:sz w:val="22"/>
          <w:szCs w:val="22"/>
          <w:color w:val="auto"/>
        </w:rPr>
        <w:t>” means the estate or beneficiary to whom the right to payment under the Plan shall have passed by will or the laws of descent and distribution.</w:t>
      </w:r>
    </w:p>
    <w:p>
      <w:pPr>
        <w:sectPr>
          <w:pgSz w:w="11900" w:h="16838" w:orient="portrait"/>
          <w:cols w:equalWidth="0" w:num="1">
            <w:col w:w="10560"/>
          </w:cols>
          <w:pgMar w:left="980" w:top="604" w:right="359" w:bottom="1440" w:gutter="0" w:footer="0" w:header="0"/>
        </w:sectPr>
      </w:pPr>
    </w:p>
    <w:bookmarkStart w:id="98" w:name="page99"/>
    <w:bookmarkEnd w:id="98"/>
    <w:p>
      <w:pPr>
        <w:ind w:left="1304" w:hanging="656"/>
        <w:spacing w:after="0"/>
        <w:tabs>
          <w:tab w:leader="none" w:pos="130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Terminating Event</w:t>
      </w:r>
      <w:r>
        <w:rPr>
          <w:rFonts w:ascii="Arial" w:cs="Arial" w:eastAsia="Arial" w:hAnsi="Arial"/>
          <w:sz w:val="22"/>
          <w:szCs w:val="22"/>
          <w:color w:val="auto"/>
        </w:rPr>
        <w:t>” means a Change in Control.</w:t>
      </w:r>
    </w:p>
    <w:p>
      <w:pPr>
        <w:spacing w:after="0" w:line="233" w:lineRule="exact"/>
        <w:rPr>
          <w:rFonts w:ascii="Arial" w:cs="Arial" w:eastAsia="Arial" w:hAnsi="Arial"/>
          <w:sz w:val="22"/>
          <w:szCs w:val="22"/>
          <w:color w:val="auto"/>
        </w:rPr>
      </w:pPr>
    </w:p>
    <w:p>
      <w:pPr>
        <w:ind w:left="4" w:firstLine="644"/>
        <w:spacing w:after="0" w:line="276" w:lineRule="auto"/>
        <w:tabs>
          <w:tab w:leader="none" w:pos="1156" w:val="left"/>
        </w:tabs>
        <w:numPr>
          <w:ilvl w:val="1"/>
          <w:numId w:val="1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together with such Person’s Affiliates, provided that the term “Third Party” shall not include the Company or an Affiliate of the Company.</w:t>
      </w:r>
    </w:p>
    <w:p>
      <w:pPr>
        <w:spacing w:after="0" w:line="160" w:lineRule="exact"/>
        <w:rPr>
          <w:rFonts w:ascii="Arial" w:cs="Arial" w:eastAsia="Arial" w:hAnsi="Arial"/>
          <w:sz w:val="22"/>
          <w:szCs w:val="22"/>
          <w:color w:val="auto"/>
        </w:rPr>
      </w:pPr>
    </w:p>
    <w:p>
      <w:pPr>
        <w:ind w:left="4" w:right="120" w:firstLine="644"/>
        <w:spacing w:after="0" w:line="276" w:lineRule="auto"/>
        <w:tabs>
          <w:tab w:leader="none" w:pos="1156" w:val="left"/>
        </w:tabs>
        <w:numPr>
          <w:ilvl w:val="1"/>
          <w:numId w:val="1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means, as applicable: (i) the date on which the restrictions imposed on a Share of Restricted Stock lapse or (ii) the date on which the Grantee vests in a Restricted Stock Unit.</w:t>
      </w:r>
    </w:p>
    <w:p>
      <w:pPr>
        <w:spacing w:after="0" w:line="160" w:lineRule="exact"/>
        <w:rPr>
          <w:rFonts w:ascii="Arial" w:cs="Arial" w:eastAsia="Arial" w:hAnsi="Arial"/>
          <w:sz w:val="22"/>
          <w:szCs w:val="22"/>
          <w:color w:val="auto"/>
        </w:rPr>
      </w:pPr>
    </w:p>
    <w:p>
      <w:pPr>
        <w:ind w:left="1304" w:hanging="656"/>
        <w:spacing w:after="0"/>
        <w:tabs>
          <w:tab w:leader="none" w:pos="130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1933 Act</w:t>
      </w:r>
      <w:r>
        <w:rPr>
          <w:rFonts w:ascii="Arial" w:cs="Arial" w:eastAsia="Arial" w:hAnsi="Arial"/>
          <w:sz w:val="22"/>
          <w:szCs w:val="22"/>
          <w:color w:val="auto"/>
        </w:rPr>
        <w:t>” means the Securities Act of 1933, as amended.</w:t>
      </w:r>
    </w:p>
    <w:p>
      <w:pPr>
        <w:spacing w:after="0" w:line="233" w:lineRule="exact"/>
        <w:rPr>
          <w:rFonts w:ascii="Arial" w:cs="Arial" w:eastAsia="Arial" w:hAnsi="Arial"/>
          <w:sz w:val="22"/>
          <w:szCs w:val="22"/>
          <w:color w:val="auto"/>
        </w:rPr>
      </w:pPr>
    </w:p>
    <w:p>
      <w:pPr>
        <w:ind w:left="1144" w:hanging="496"/>
        <w:spacing w:after="0"/>
        <w:tabs>
          <w:tab w:leader="none" w:pos="114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227" w:lineRule="exact"/>
        <w:rPr>
          <w:rFonts w:ascii="Arial" w:cs="Arial" w:eastAsia="Arial" w:hAnsi="Arial"/>
          <w:sz w:val="22"/>
          <w:szCs w:val="22"/>
          <w:color w:val="auto"/>
        </w:rPr>
      </w:pPr>
    </w:p>
    <w:p>
      <w:pPr>
        <w:ind w:left="344" w:hanging="344"/>
        <w:spacing w:after="0"/>
        <w:tabs>
          <w:tab w:leader="none" w:pos="344"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RIGHTS TO BE GRANTED</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Rights that may be granted under the Plan are:</w:t>
      </w:r>
    </w:p>
    <w:p>
      <w:pPr>
        <w:spacing w:after="0" w:line="220" w:lineRule="exact"/>
        <w:rPr>
          <w:sz w:val="20"/>
          <w:szCs w:val="20"/>
          <w:color w:val="auto"/>
        </w:rPr>
      </w:pPr>
    </w:p>
    <w:p>
      <w:pPr>
        <w:ind w:left="4" w:right="100" w:firstLine="644"/>
        <w:spacing w:after="0" w:line="259" w:lineRule="auto"/>
        <w:tabs>
          <w:tab w:leader="none" w:pos="1072" w:val="left"/>
        </w:tabs>
        <w:numPr>
          <w:ilvl w:val="1"/>
          <w:numId w:val="132"/>
        </w:numPr>
        <w:rPr>
          <w:rFonts w:ascii="Arial" w:cs="Arial" w:eastAsia="Arial" w:hAnsi="Arial"/>
          <w:sz w:val="22"/>
          <w:szCs w:val="22"/>
          <w:color w:val="auto"/>
        </w:rPr>
      </w:pPr>
      <w:r>
        <w:rPr>
          <w:rFonts w:ascii="Arial" w:cs="Arial" w:eastAsia="Arial" w:hAnsi="Arial"/>
          <w:sz w:val="22"/>
          <w:szCs w:val="22"/>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80" w:lineRule="exact"/>
        <w:rPr>
          <w:rFonts w:ascii="Arial" w:cs="Arial" w:eastAsia="Arial" w:hAnsi="Arial"/>
          <w:sz w:val="22"/>
          <w:szCs w:val="22"/>
          <w:color w:val="auto"/>
        </w:rPr>
      </w:pPr>
    </w:p>
    <w:p>
      <w:pPr>
        <w:ind w:left="4" w:right="120" w:firstLine="644"/>
        <w:spacing w:after="0" w:line="254" w:lineRule="auto"/>
        <w:tabs>
          <w:tab w:leader="none" w:pos="1084" w:val="left"/>
        </w:tabs>
        <w:numPr>
          <w:ilvl w:val="1"/>
          <w:numId w:val="132"/>
        </w:numPr>
        <w:rPr>
          <w:rFonts w:ascii="Arial" w:cs="Arial" w:eastAsia="Arial" w:hAnsi="Arial"/>
          <w:sz w:val="22"/>
          <w:szCs w:val="22"/>
          <w:color w:val="auto"/>
        </w:rPr>
      </w:pPr>
      <w:r>
        <w:rPr>
          <w:rFonts w:ascii="Arial" w:cs="Arial" w:eastAsia="Arial" w:hAnsi="Arial"/>
          <w:sz w:val="22"/>
          <w:szCs w:val="22"/>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4.0 million Shares.</w:t>
      </w:r>
    </w:p>
    <w:p>
      <w:pPr>
        <w:spacing w:after="0" w:line="178" w:lineRule="exact"/>
        <w:rPr>
          <w:rFonts w:ascii="Arial" w:cs="Arial" w:eastAsia="Arial" w:hAnsi="Arial"/>
          <w:sz w:val="22"/>
          <w:szCs w:val="22"/>
          <w:color w:val="auto"/>
        </w:rPr>
      </w:pPr>
    </w:p>
    <w:p>
      <w:pPr>
        <w:ind w:left="344" w:hanging="344"/>
        <w:spacing w:after="0"/>
        <w:tabs>
          <w:tab w:leader="none" w:pos="344"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w:t>
      </w:r>
    </w:p>
    <w:p>
      <w:pPr>
        <w:spacing w:after="0" w:line="239" w:lineRule="exact"/>
        <w:rPr>
          <w:rFonts w:ascii="Arial" w:cs="Arial" w:eastAsia="Arial" w:hAnsi="Arial"/>
          <w:sz w:val="22"/>
          <w:szCs w:val="22"/>
          <w:b w:val="1"/>
          <w:bCs w:val="1"/>
          <w:color w:val="auto"/>
        </w:rPr>
      </w:pPr>
    </w:p>
    <w:p>
      <w:pPr>
        <w:ind w:left="4" w:right="60" w:firstLine="644"/>
        <w:spacing w:after="0" w:line="297" w:lineRule="auto"/>
        <w:tabs>
          <w:tab w:leader="none" w:pos="1072" w:val="left"/>
        </w:tabs>
        <w:numPr>
          <w:ilvl w:val="1"/>
          <w:numId w:val="133"/>
        </w:numPr>
        <w:rPr>
          <w:rFonts w:ascii="Arial" w:cs="Arial" w:eastAsia="Arial" w:hAnsi="Arial"/>
          <w:sz w:val="19"/>
          <w:szCs w:val="19"/>
          <w:color w:val="auto"/>
        </w:rPr>
      </w:pPr>
      <w:r>
        <w:rPr>
          <w:rFonts w:ascii="Arial" w:cs="Arial" w:eastAsia="Arial" w:hAnsi="Arial"/>
          <w:sz w:val="19"/>
          <w:szCs w:val="19"/>
          <w:u w:val="single" w:color="auto"/>
          <w:color w:val="auto"/>
        </w:rPr>
        <w:t>Shares Available for Grant</w:t>
      </w:r>
      <w:r>
        <w:rPr>
          <w:rFonts w:ascii="Arial" w:cs="Arial" w:eastAsia="Arial" w:hAnsi="Arial"/>
          <w:sz w:val="19"/>
          <w:szCs w:val="19"/>
          <w:color w:val="auto"/>
        </w:rPr>
        <w:t>. Subject to adjustment as provided in Paragraph 10, not more than 268 million Shares in the aggregate may be issued under the Plan pursuant to the grant of Awards, provided that subject to the approval of the Company’s shareholders at the Company’s Annual Meeting of Shareholders to be held in 2020, the number of Shares in the aggregate that may be issued under the Plan, pursuant to the grant of Awards, subject to adjustment in accordance with Paragraph 10, shall be increased from 268 million to 304 million. The Shares issued under the Plan may, at the Company’s option, be either Shares held in treasury or Shares originally issued for such purpose.</w:t>
      </w:r>
    </w:p>
    <w:p>
      <w:pPr>
        <w:spacing w:after="0" w:line="146" w:lineRule="exact"/>
        <w:rPr>
          <w:rFonts w:ascii="Arial" w:cs="Arial" w:eastAsia="Arial" w:hAnsi="Arial"/>
          <w:sz w:val="19"/>
          <w:szCs w:val="19"/>
          <w:color w:val="auto"/>
        </w:rPr>
      </w:pPr>
    </w:p>
    <w:p>
      <w:pPr>
        <w:jc w:val="both"/>
        <w:ind w:left="4" w:right="320" w:firstLine="644"/>
        <w:spacing w:after="0" w:line="259" w:lineRule="auto"/>
        <w:tabs>
          <w:tab w:leader="none" w:pos="1084"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Shares Returned to the Reserve</w:t>
      </w:r>
      <w:r>
        <w:rPr>
          <w:rFonts w:ascii="Arial" w:cs="Arial" w:eastAsia="Arial" w:hAnsi="Arial"/>
          <w:sz w:val="22"/>
          <w:szCs w:val="22"/>
          <w:color w:val="auto"/>
        </w:rPr>
        <w:t>. If Restricted Stock or Restricted Stock Units are forfeited pursuant to the terms of an Award, the Shares underlying such forfeited Award shall return to the pool of Shares available for issuance under the Plan.</w:t>
      </w:r>
    </w:p>
    <w:p>
      <w:pPr>
        <w:spacing w:after="0" w:line="180" w:lineRule="exact"/>
        <w:rPr>
          <w:rFonts w:ascii="Arial" w:cs="Arial" w:eastAsia="Arial" w:hAnsi="Arial"/>
          <w:sz w:val="22"/>
          <w:szCs w:val="22"/>
          <w:color w:val="auto"/>
        </w:rPr>
      </w:pPr>
    </w:p>
    <w:p>
      <w:pPr>
        <w:jc w:val="both"/>
        <w:ind w:left="4" w:right="320" w:firstLine="644"/>
        <w:spacing w:after="0" w:line="259" w:lineRule="auto"/>
        <w:tabs>
          <w:tab w:leader="none" w:pos="1072"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Share Recycling Prohibitions</w:t>
      </w:r>
      <w:r>
        <w:rPr>
          <w:rFonts w:ascii="Arial" w:cs="Arial" w:eastAsia="Arial" w:hAnsi="Arial"/>
          <w:sz w:val="22"/>
          <w:szCs w:val="22"/>
          <w:color w:val="auto"/>
        </w:rPr>
        <w:t>. If the Company withholds Shares to satisfy its tax withholding obligations, such withheld Shares shall not again become available for Awards or increase the number of Shares available for grant under Paragraph 4(a).</w:t>
      </w:r>
    </w:p>
    <w:p>
      <w:pPr>
        <w:sectPr>
          <w:pgSz w:w="11900" w:h="16838" w:orient="portrait"/>
          <w:cols w:equalWidth="0" w:num="1">
            <w:col w:w="10564"/>
          </w:cols>
          <w:pgMar w:left="976" w:top="604" w:right="359" w:bottom="1440" w:gutter="0" w:footer="0" w:header="0"/>
        </w:sectPr>
      </w:pPr>
    </w:p>
    <w:bookmarkStart w:id="99" w:name="page100"/>
    <w:bookmarkEnd w:id="99"/>
    <w:p>
      <w:pPr>
        <w:ind w:left="344" w:hanging="344"/>
        <w:spacing w:after="0"/>
        <w:tabs>
          <w:tab w:leader="none" w:pos="344"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39" w:lineRule="exact"/>
        <w:rPr>
          <w:rFonts w:ascii="Arial" w:cs="Arial" w:eastAsia="Arial" w:hAnsi="Arial"/>
          <w:sz w:val="22"/>
          <w:szCs w:val="22"/>
          <w:b w:val="1"/>
          <w:bCs w:val="1"/>
          <w:color w:val="auto"/>
        </w:rPr>
      </w:pPr>
    </w:p>
    <w:p>
      <w:pPr>
        <w:ind w:left="4" w:right="320" w:firstLine="644"/>
        <w:spacing w:after="0" w:line="319" w:lineRule="auto"/>
        <w:tabs>
          <w:tab w:leader="none" w:pos="1072"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127" w:lineRule="exact"/>
        <w:rPr>
          <w:rFonts w:ascii="Arial" w:cs="Arial" w:eastAsia="Arial" w:hAnsi="Arial"/>
          <w:sz w:val="19"/>
          <w:szCs w:val="19"/>
          <w:color w:val="auto"/>
        </w:rPr>
      </w:pPr>
    </w:p>
    <w:p>
      <w:pPr>
        <w:ind w:left="4" w:right="60" w:firstLine="644"/>
        <w:spacing w:after="0" w:line="264" w:lineRule="auto"/>
        <w:tabs>
          <w:tab w:leader="none" w:pos="1084" w:val="left"/>
        </w:tabs>
        <w:numPr>
          <w:ilvl w:val="1"/>
          <w:numId w:val="134"/>
        </w:numPr>
        <w:rPr>
          <w:rFonts w:ascii="Arial" w:cs="Arial" w:eastAsia="Arial" w:hAnsi="Arial"/>
          <w:sz w:val="21"/>
          <w:szCs w:val="21"/>
          <w:color w:val="auto"/>
        </w:rPr>
      </w:pPr>
      <w:r>
        <w:rPr>
          <w:rFonts w:ascii="Arial" w:cs="Arial" w:eastAsia="Arial" w:hAnsi="Arial"/>
          <w:sz w:val="21"/>
          <w:szCs w:val="21"/>
          <w:u w:val="single" w:color="auto"/>
          <w:color w:val="auto"/>
        </w:rPr>
        <w:t>Grants</w:t>
      </w:r>
      <w:r>
        <w:rPr>
          <w:rFonts w:ascii="Arial" w:cs="Arial" w:eastAsia="Arial" w:hAnsi="Arial"/>
          <w:sz w:val="21"/>
          <w:szCs w:val="21"/>
          <w:color w:val="auto"/>
        </w:rPr>
        <w:t>. Subject to the express terms and conditions set forth in the Plan, the Committee shall have the power, from time to time, to 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The determination of the Committee in all such matters shall be conclusive.</w:t>
      </w:r>
    </w:p>
    <w:p>
      <w:pPr>
        <w:spacing w:after="0" w:line="174" w:lineRule="exact"/>
        <w:rPr>
          <w:rFonts w:ascii="Arial" w:cs="Arial" w:eastAsia="Arial" w:hAnsi="Arial"/>
          <w:sz w:val="21"/>
          <w:szCs w:val="21"/>
          <w:color w:val="auto"/>
        </w:rPr>
      </w:pPr>
    </w:p>
    <w:p>
      <w:pPr>
        <w:ind w:left="4" w:right="60" w:firstLine="644"/>
        <w:spacing w:after="0" w:line="259" w:lineRule="auto"/>
        <w:tabs>
          <w:tab w:leader="none" w:pos="1072"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0" w:lineRule="exact"/>
        <w:rPr>
          <w:rFonts w:ascii="Arial" w:cs="Arial" w:eastAsia="Arial" w:hAnsi="Arial"/>
          <w:sz w:val="22"/>
          <w:szCs w:val="22"/>
          <w:color w:val="auto"/>
        </w:rPr>
      </w:pPr>
    </w:p>
    <w:p>
      <w:pPr>
        <w:ind w:left="4" w:right="180" w:firstLine="644"/>
        <w:spacing w:after="0" w:line="249" w:lineRule="auto"/>
        <w:tabs>
          <w:tab w:leader="none" w:pos="1084"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Exculpation</w:t>
      </w:r>
      <w:r>
        <w:rPr>
          <w:rFonts w:ascii="Arial" w:cs="Arial" w:eastAsia="Arial" w:hAnsi="Arial"/>
          <w:sz w:val="22"/>
          <w:szCs w:val="22"/>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93" w:lineRule="exact"/>
        <w:rPr>
          <w:rFonts w:ascii="Arial" w:cs="Arial" w:eastAsia="Arial" w:hAnsi="Arial"/>
          <w:sz w:val="22"/>
          <w:szCs w:val="22"/>
          <w:color w:val="auto"/>
        </w:rPr>
      </w:pPr>
    </w:p>
    <w:p>
      <w:pPr>
        <w:ind w:left="4" w:firstLine="644"/>
        <w:spacing w:after="0" w:line="297" w:lineRule="auto"/>
        <w:tabs>
          <w:tab w:leader="none" w:pos="1072"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46" w:lineRule="exact"/>
        <w:rPr>
          <w:rFonts w:ascii="Arial" w:cs="Arial" w:eastAsia="Arial" w:hAnsi="Arial"/>
          <w:sz w:val="19"/>
          <w:szCs w:val="19"/>
          <w:color w:val="auto"/>
        </w:rPr>
      </w:pPr>
    </w:p>
    <w:p>
      <w:pPr>
        <w:ind w:left="4" w:right="60" w:firstLine="644"/>
        <w:spacing w:after="0" w:line="266" w:lineRule="auto"/>
        <w:tabs>
          <w:tab w:leader="none" w:pos="1318" w:val="left"/>
        </w:tabs>
        <w:numPr>
          <w:ilvl w:val="1"/>
          <w:numId w:val="134"/>
        </w:numPr>
        <w:rPr>
          <w:rFonts w:ascii="Arial" w:cs="Arial" w:eastAsia="Arial" w:hAnsi="Arial"/>
          <w:sz w:val="21"/>
          <w:szCs w:val="21"/>
          <w:color w:val="auto"/>
        </w:rPr>
      </w:pPr>
      <w:r>
        <w:rPr>
          <w:rFonts w:ascii="Arial" w:cs="Arial" w:eastAsia="Arial" w:hAnsi="Arial"/>
          <w:sz w:val="21"/>
          <w:szCs w:val="21"/>
          <w:u w:val="single" w:color="auto"/>
          <w:color w:val="auto"/>
        </w:rPr>
        <w:t>Delegation of Authority</w:t>
      </w:r>
      <w:r>
        <w:rPr>
          <w:rFonts w:ascii="Arial" w:cs="Arial" w:eastAsia="Arial" w:hAnsi="Arial"/>
          <w:sz w:val="21"/>
          <w:szCs w:val="21"/>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ectPr>
          <w:pgSz w:w="11900" w:h="16838" w:orient="portrait"/>
          <w:cols w:equalWidth="0" w:num="1">
            <w:col w:w="10584"/>
          </w:cols>
          <w:pgMar w:left="976" w:top="598" w:right="339" w:bottom="1440" w:gutter="0" w:footer="0" w:header="0"/>
        </w:sectPr>
      </w:pPr>
    </w:p>
    <w:bookmarkStart w:id="100" w:name="page101"/>
    <w:bookmarkEnd w:id="100"/>
    <w:p>
      <w:pPr>
        <w:ind w:left="1944" w:right="340" w:hanging="648"/>
        <w:spacing w:after="0" w:line="263" w:lineRule="auto"/>
        <w:tabs>
          <w:tab w:leader="none" w:pos="1944" w:val="left"/>
        </w:tabs>
        <w:numPr>
          <w:ilvl w:val="1"/>
          <w:numId w:val="135"/>
        </w:numPr>
        <w:rPr>
          <w:rFonts w:ascii="Arial" w:cs="Arial" w:eastAsia="Arial" w:hAnsi="Arial"/>
          <w:sz w:val="22"/>
          <w:szCs w:val="22"/>
          <w:color w:val="auto"/>
        </w:rPr>
      </w:pPr>
      <w:r>
        <w:rPr>
          <w:rFonts w:ascii="Arial" w:cs="Arial" w:eastAsia="Arial" w:hAnsi="Arial"/>
          <w:sz w:val="22"/>
          <w:szCs w:val="22"/>
          <w:color w:val="auto"/>
        </w:rPr>
        <w:t>such time as the Committee shall, in its sole and absolute discretion, revoke such delegation of authority;</w:t>
      </w:r>
    </w:p>
    <w:p>
      <w:pPr>
        <w:spacing w:after="0" w:line="174" w:lineRule="exact"/>
        <w:rPr>
          <w:rFonts w:ascii="Arial" w:cs="Arial" w:eastAsia="Arial" w:hAnsi="Arial"/>
          <w:sz w:val="22"/>
          <w:szCs w:val="22"/>
          <w:color w:val="auto"/>
        </w:rPr>
      </w:pPr>
    </w:p>
    <w:p>
      <w:pPr>
        <w:ind w:left="1944" w:hanging="648"/>
        <w:spacing w:after="0" w:line="253" w:lineRule="auto"/>
        <w:tabs>
          <w:tab w:leader="none" w:pos="1944"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85" w:lineRule="exact"/>
        <w:rPr>
          <w:rFonts w:ascii="Arial" w:cs="Arial" w:eastAsia="Arial" w:hAnsi="Arial"/>
          <w:sz w:val="22"/>
          <w:szCs w:val="22"/>
          <w:color w:val="auto"/>
        </w:rPr>
      </w:pPr>
    </w:p>
    <w:p>
      <w:pPr>
        <w:ind w:left="1944" w:right="700" w:hanging="648"/>
        <w:spacing w:after="0" w:line="263" w:lineRule="auto"/>
        <w:tabs>
          <w:tab w:leader="none" w:pos="1944" w:val="left"/>
        </w:tabs>
        <w:numPr>
          <w:ilvl w:val="1"/>
          <w:numId w:val="135"/>
        </w:numPr>
        <w:rPr>
          <w:rFonts w:ascii="Arial" w:cs="Arial" w:eastAsia="Arial" w:hAnsi="Arial"/>
          <w:sz w:val="22"/>
          <w:szCs w:val="22"/>
          <w:color w:val="auto"/>
        </w:rPr>
      </w:pPr>
      <w:r>
        <w:rPr>
          <w:rFonts w:ascii="Arial" w:cs="Arial" w:eastAsia="Arial" w:hAnsi="Arial"/>
          <w:sz w:val="22"/>
          <w:szCs w:val="22"/>
          <w:color w:val="auto"/>
        </w:rPr>
        <w:t>the delegate shall notify the Committee that he or she declines to continue to exercise such authority.</w:t>
      </w:r>
    </w:p>
    <w:p>
      <w:pPr>
        <w:spacing w:after="0" w:line="168" w:lineRule="exact"/>
        <w:rPr>
          <w:rFonts w:ascii="Arial" w:cs="Arial" w:eastAsia="Arial" w:hAnsi="Arial"/>
          <w:sz w:val="22"/>
          <w:szCs w:val="22"/>
          <w:color w:val="auto"/>
        </w:rPr>
      </w:pPr>
    </w:p>
    <w:p>
      <w:pPr>
        <w:ind w:left="344" w:hanging="344"/>
        <w:spacing w:after="0"/>
        <w:tabs>
          <w:tab w:leader="none" w:pos="344"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Awards may be granted only to Eligible Employees and Non-Employee Directors.</w:t>
      </w:r>
    </w:p>
    <w:p>
      <w:pPr>
        <w:spacing w:after="0" w:line="214" w:lineRule="exact"/>
        <w:rPr>
          <w:sz w:val="20"/>
          <w:szCs w:val="20"/>
          <w:color w:val="auto"/>
        </w:rPr>
      </w:pPr>
    </w:p>
    <w:p>
      <w:pPr>
        <w:ind w:left="4"/>
        <w:spacing w:after="0"/>
        <w:tabs>
          <w:tab w:leader="none" w:pos="324"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21"/>
          <w:szCs w:val="21"/>
          <w:b w:val="1"/>
          <w:bCs w:val="1"/>
          <w:color w:val="auto"/>
        </w:rPr>
        <w:t>RESTRICTED STOCK AND RESTRICTED STOCK UNIT AWARDS</w:t>
      </w:r>
    </w:p>
    <w:p>
      <w:pPr>
        <w:spacing w:after="0" w:line="239" w:lineRule="exact"/>
        <w:rPr>
          <w:sz w:val="20"/>
          <w:szCs w:val="20"/>
          <w:color w:val="auto"/>
        </w:rPr>
      </w:pPr>
    </w:p>
    <w:p>
      <w:pPr>
        <w:ind w:left="4" w:right="20" w:firstLine="648"/>
        <w:spacing w:after="0" w:line="248" w:lineRule="auto"/>
        <w:rPr>
          <w:sz w:val="20"/>
          <w:szCs w:val="20"/>
          <w:color w:val="auto"/>
        </w:rPr>
      </w:pPr>
      <w:r>
        <w:rPr>
          <w:rFonts w:ascii="Arial" w:cs="Arial" w:eastAsia="Arial" w:hAnsi="Arial"/>
          <w:sz w:val="22"/>
          <w:szCs w:val="22"/>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92" w:lineRule="exact"/>
        <w:rPr>
          <w:sz w:val="20"/>
          <w:szCs w:val="20"/>
          <w:color w:val="auto"/>
        </w:rPr>
      </w:pPr>
    </w:p>
    <w:p>
      <w:pPr>
        <w:ind w:left="644"/>
        <w:spacing w:after="0"/>
        <w:rPr>
          <w:sz w:val="20"/>
          <w:szCs w:val="20"/>
          <w:color w:val="auto"/>
        </w:rPr>
      </w:pPr>
      <w:r>
        <w:rPr>
          <w:rFonts w:ascii="Arial" w:cs="Arial" w:eastAsia="Arial" w:hAnsi="Arial"/>
          <w:sz w:val="21"/>
          <w:szCs w:val="21"/>
          <w:color w:val="auto"/>
        </w:rPr>
        <w:t>The terms and conditions of Awards shall be set forth in writing as determined from time to time by the</w:t>
      </w:r>
    </w:p>
    <w:p>
      <w:pPr>
        <w:spacing w:after="0" w:line="33" w:lineRule="exact"/>
        <w:rPr>
          <w:sz w:val="20"/>
          <w:szCs w:val="20"/>
          <w:color w:val="auto"/>
        </w:rPr>
      </w:pPr>
    </w:p>
    <w:p>
      <w:pPr>
        <w:ind w:left="4"/>
        <w:spacing w:after="0"/>
        <w:rPr>
          <w:sz w:val="20"/>
          <w:szCs w:val="20"/>
          <w:color w:val="auto"/>
        </w:rPr>
      </w:pPr>
      <w:r>
        <w:rPr>
          <w:rFonts w:ascii="Arial" w:cs="Arial" w:eastAsia="Arial" w:hAnsi="Arial"/>
          <w:sz w:val="22"/>
          <w:szCs w:val="22"/>
          <w:color w:val="auto"/>
        </w:rPr>
        <w:t>Committee, consistent, however, with the following:</w:t>
      </w:r>
    </w:p>
    <w:p>
      <w:pPr>
        <w:spacing w:after="0" w:line="202" w:lineRule="exact"/>
        <w:rPr>
          <w:sz w:val="20"/>
          <w:szCs w:val="20"/>
          <w:color w:val="auto"/>
        </w:rPr>
      </w:pPr>
    </w:p>
    <w:p>
      <w:pPr>
        <w:ind w:left="1064" w:hanging="416"/>
        <w:spacing w:after="0"/>
        <w:tabs>
          <w:tab w:leader="none" w:pos="1064"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Time of Grant</w:t>
      </w:r>
      <w:r>
        <w:rPr>
          <w:rFonts w:ascii="Arial" w:cs="Arial" w:eastAsia="Arial" w:hAnsi="Arial"/>
          <w:sz w:val="22"/>
          <w:szCs w:val="22"/>
          <w:color w:val="auto"/>
        </w:rPr>
        <w:t>. All Awards shall be granted on or before May 19, 2026.</w:t>
      </w:r>
    </w:p>
    <w:p>
      <w:pPr>
        <w:spacing w:after="0" w:line="233" w:lineRule="exact"/>
        <w:rPr>
          <w:rFonts w:ascii="Arial" w:cs="Arial" w:eastAsia="Arial" w:hAnsi="Arial"/>
          <w:sz w:val="22"/>
          <w:szCs w:val="22"/>
          <w:color w:val="auto"/>
        </w:rPr>
      </w:pPr>
    </w:p>
    <w:p>
      <w:pPr>
        <w:ind w:left="4" w:right="140" w:firstLine="644"/>
        <w:spacing w:after="0" w:line="301" w:lineRule="auto"/>
        <w:tabs>
          <w:tab w:leader="none" w:pos="1084"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Terms of Awards</w:t>
      </w:r>
      <w:r>
        <w:rPr>
          <w:rFonts w:ascii="Arial" w:cs="Arial" w:eastAsia="Arial" w:hAnsi="Arial"/>
          <w:sz w:val="21"/>
          <w:szCs w:val="21"/>
          <w:color w:val="auto"/>
        </w:rPr>
        <w:t>. The provisions of Awards need not be the same with respect to each Grantee. No cash or other consideration shall be required to be paid by the Grantee in exchange for an Award.</w:t>
      </w:r>
    </w:p>
    <w:p>
      <w:pPr>
        <w:spacing w:after="0" w:line="136" w:lineRule="exact"/>
        <w:rPr>
          <w:rFonts w:ascii="Arial" w:cs="Arial" w:eastAsia="Arial" w:hAnsi="Arial"/>
          <w:sz w:val="21"/>
          <w:szCs w:val="21"/>
          <w:color w:val="auto"/>
        </w:rPr>
      </w:pPr>
    </w:p>
    <w:p>
      <w:pPr>
        <w:ind w:left="4" w:right="380" w:firstLine="644"/>
        <w:spacing w:after="0" w:line="259" w:lineRule="auto"/>
        <w:tabs>
          <w:tab w:leader="none" w:pos="1072"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Awards and Agreements</w:t>
      </w:r>
      <w:r>
        <w:rPr>
          <w:rFonts w:ascii="Arial" w:cs="Arial" w:eastAsia="Arial" w:hAnsi="Arial"/>
          <w:sz w:val="22"/>
          <w:szCs w:val="22"/>
          <w:color w:val="auto"/>
        </w:rPr>
        <w:t>. Each Grantee shall be provided with an agreement specifying the terms of an Award. The Company shall arrange for the recording of Grantee’s ownership of the Restricted Stock on a book entry recordkeeping system maintained on behalf of the Company.</w:t>
      </w:r>
    </w:p>
    <w:p>
      <w:pPr>
        <w:spacing w:after="0" w:line="180" w:lineRule="exact"/>
        <w:rPr>
          <w:rFonts w:ascii="Arial" w:cs="Arial" w:eastAsia="Arial" w:hAnsi="Arial"/>
          <w:sz w:val="22"/>
          <w:szCs w:val="22"/>
          <w:color w:val="auto"/>
        </w:rPr>
      </w:pPr>
    </w:p>
    <w:p>
      <w:pPr>
        <w:ind w:left="4" w:right="320" w:firstLine="644"/>
        <w:spacing w:after="0" w:line="259" w:lineRule="auto"/>
        <w:tabs>
          <w:tab w:leader="none" w:pos="1084"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180" w:lineRule="exact"/>
        <w:rPr>
          <w:rFonts w:ascii="Arial" w:cs="Arial" w:eastAsia="Arial" w:hAnsi="Arial"/>
          <w:sz w:val="22"/>
          <w:szCs w:val="22"/>
          <w:color w:val="auto"/>
        </w:rPr>
      </w:pPr>
    </w:p>
    <w:p>
      <w:pPr>
        <w:ind w:left="4" w:right="200" w:firstLine="644"/>
        <w:spacing w:after="0" w:line="319" w:lineRule="auto"/>
        <w:tabs>
          <w:tab w:leader="none" w:pos="1072"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Vesting/Lapse of Restrictions</w:t>
      </w:r>
      <w:r>
        <w:rPr>
          <w:rFonts w:ascii="Arial" w:cs="Arial" w:eastAsia="Arial" w:hAnsi="Arial"/>
          <w:sz w:val="19"/>
          <w:szCs w:val="19"/>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w:t>
      </w:r>
    </w:p>
    <w:p>
      <w:pPr>
        <w:sectPr>
          <w:pgSz w:w="11900" w:h="16838" w:orient="portrait"/>
          <w:cols w:equalWidth="0" w:num="1">
            <w:col w:w="10464"/>
          </w:cols>
          <w:pgMar w:left="976" w:top="604" w:right="459" w:bottom="1440" w:gutter="0" w:footer="0" w:header="0"/>
        </w:sectPr>
      </w:pPr>
    </w:p>
    <w:bookmarkStart w:id="101" w:name="page102"/>
    <w:bookmarkEnd w:id="101"/>
    <w:p>
      <w:pPr>
        <w:ind w:right="40"/>
        <w:spacing w:after="0" w:line="292" w:lineRule="auto"/>
        <w:rPr>
          <w:sz w:val="20"/>
          <w:szCs w:val="20"/>
          <w:color w:val="auto"/>
        </w:rPr>
      </w:pPr>
      <w:r>
        <w:rPr>
          <w:rFonts w:ascii="Arial" w:cs="Arial" w:eastAsia="Arial" w:hAnsi="Arial"/>
          <w:sz w:val="19"/>
          <w:szCs w:val="19"/>
          <w:color w:val="auto"/>
        </w:rPr>
        <w:t>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w:t>
      </w:r>
    </w:p>
    <w:p>
      <w:pPr>
        <w:spacing w:after="0" w:line="151" w:lineRule="exact"/>
        <w:rPr>
          <w:sz w:val="20"/>
          <w:szCs w:val="20"/>
          <w:color w:val="auto"/>
        </w:rPr>
      </w:pPr>
    </w:p>
    <w:p>
      <w:pPr>
        <w:ind w:firstLine="644"/>
        <w:spacing w:after="0" w:line="249" w:lineRule="auto"/>
        <w:tabs>
          <w:tab w:leader="none" w:pos="1044"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Rights of the Grantee</w:t>
      </w:r>
      <w:r>
        <w:rPr>
          <w:rFonts w:ascii="Arial" w:cs="Arial" w:eastAsia="Arial" w:hAnsi="Arial"/>
          <w:sz w:val="22"/>
          <w:szCs w:val="22"/>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with respect to such Restricted Stock Units. With respect to Awards of Restricted Stock Units granted prior to March 1, 2015, a Grantee shall not have the right to receive dividend equivalents with respect to such Restricted Stock Units.</w:t>
      </w:r>
    </w:p>
    <w:p>
      <w:pPr>
        <w:spacing w:after="0" w:line="193" w:lineRule="exact"/>
        <w:rPr>
          <w:rFonts w:ascii="Arial" w:cs="Arial" w:eastAsia="Arial" w:hAnsi="Arial"/>
          <w:sz w:val="22"/>
          <w:szCs w:val="22"/>
          <w:color w:val="auto"/>
        </w:rPr>
      </w:pPr>
    </w:p>
    <w:p>
      <w:pPr>
        <w:ind w:right="100" w:firstLine="644"/>
        <w:spacing w:after="0" w:line="300" w:lineRule="auto"/>
        <w:tabs>
          <w:tab w:leader="none" w:pos="108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With respect to Awards of Restricted Stock Units granted on and after March 1, 2015, the Committee may, in its discretion, provide for the payment of dividend equivalents with respect to Restricted Stock Units, which may be paid directly to the Grantee, accrued and paid by the Company at such time or times specified in the applicable agreement specifying the terms of an Award, or treated as reinvested in additional Restricted Stock Units, or a combination thereof, as determined by the Committee in its sole discretion.</w:t>
      </w:r>
    </w:p>
    <w:p>
      <w:pPr>
        <w:spacing w:after="0" w:line="146" w:lineRule="exact"/>
        <w:rPr>
          <w:rFonts w:ascii="Arial" w:cs="Arial" w:eastAsia="Arial" w:hAnsi="Arial"/>
          <w:sz w:val="19"/>
          <w:szCs w:val="19"/>
          <w:color w:val="auto"/>
        </w:rPr>
      </w:pPr>
    </w:p>
    <w:p>
      <w:pPr>
        <w:ind w:right="120" w:firstLine="644"/>
        <w:spacing w:after="0" w:line="292" w:lineRule="auto"/>
        <w:tabs>
          <w:tab w:leader="none" w:pos="108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Termination of Grantee’s Employment</w:t>
      </w:r>
      <w:r>
        <w:rPr>
          <w:rFonts w:ascii="Arial" w:cs="Arial" w:eastAsia="Arial" w:hAnsi="Arial"/>
          <w:sz w:val="19"/>
          <w:szCs w:val="19"/>
          <w:color w:val="auto"/>
        </w:rPr>
        <w:t>. A transfer of an Eligible Employee between two employers, each of which is a Participating Company, shall not be deemed a termination of employment. A Grantee who is a Non-Employee Director shall be treated as having been terminated upon the Grantee’s termination of service as a Non-Employee Director, provided that if such a Grantee is designated as a Director Emeritus upon termination of service as a Non-Employee Director, such Non-Employee Director shall not be treated as having been terminated until the Grantee’s termination of service as a Director Emeritus. In the event that a Grantee’s employment with all Participating Companies terminates, all Restricted Shares and/or Restricted Stock Units as to which a Vesting Date has not occurred shall be forfeited by the Grantee and deemed canceled by the Company.</w:t>
      </w:r>
    </w:p>
    <w:p>
      <w:pPr>
        <w:spacing w:after="0" w:line="154" w:lineRule="exact"/>
        <w:rPr>
          <w:rFonts w:ascii="Arial" w:cs="Arial" w:eastAsia="Arial" w:hAnsi="Arial"/>
          <w:sz w:val="19"/>
          <w:szCs w:val="19"/>
          <w:color w:val="auto"/>
        </w:rPr>
      </w:pPr>
    </w:p>
    <w:p>
      <w:pPr>
        <w:ind w:right="40" w:firstLine="644"/>
        <w:spacing w:after="0" w:line="249" w:lineRule="auto"/>
        <w:tabs>
          <w:tab w:leader="none" w:pos="1032"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Delivery of Shares</w:t>
      </w:r>
      <w:r>
        <w:rPr>
          <w:rFonts w:ascii="Arial" w:cs="Arial" w:eastAsia="Arial" w:hAnsi="Arial"/>
          <w:sz w:val="22"/>
          <w:szCs w:val="22"/>
          <w:color w:val="auto"/>
        </w:rPr>
        <w:t>. For purposes of the Plan, the Company may satisfy its obligation to deliver Shares issuable under the Plan by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w:t>
      </w:r>
    </w:p>
    <w:p>
      <w:pPr>
        <w:sectPr>
          <w:pgSz w:w="11900" w:h="16838" w:orient="portrait"/>
          <w:cols w:equalWidth="0" w:num="1">
            <w:col w:w="10580"/>
          </w:cols>
          <w:pgMar w:left="980" w:top="604" w:right="339" w:bottom="1440" w:gutter="0" w:footer="0" w:header="0"/>
        </w:sectPr>
      </w:pPr>
    </w:p>
    <w:bookmarkStart w:id="102" w:name="page103"/>
    <w:bookmarkEnd w:id="102"/>
    <w:p>
      <w:pPr>
        <w:spacing w:after="0" w:line="263" w:lineRule="auto"/>
        <w:rPr>
          <w:sz w:val="20"/>
          <w:szCs w:val="20"/>
          <w:color w:val="auto"/>
        </w:rPr>
      </w:pPr>
      <w:r>
        <w:rPr>
          <w:rFonts w:ascii="Arial" w:cs="Arial" w:eastAsia="Arial" w:hAnsi="Arial"/>
          <w:sz w:val="21"/>
          <w:szCs w:val="21"/>
          <w:color w:val="auto"/>
        </w:rPr>
        <w:t>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21"/>
          <w:szCs w:val="21"/>
          <w:b w:val="1"/>
          <w:bCs w:val="1"/>
          <w:color w:val="auto"/>
        </w:rPr>
        <w:t>DEFERRAL ELECTIONS</w:t>
      </w:r>
    </w:p>
    <w:p>
      <w:pPr>
        <w:spacing w:after="0" w:line="239" w:lineRule="exact"/>
        <w:rPr>
          <w:sz w:val="20"/>
          <w:szCs w:val="20"/>
          <w:color w:val="auto"/>
        </w:rPr>
      </w:pPr>
    </w:p>
    <w:p>
      <w:pPr>
        <w:ind w:right="440" w:firstLine="648"/>
        <w:spacing w:after="0" w:line="253" w:lineRule="auto"/>
        <w:rPr>
          <w:sz w:val="20"/>
          <w:szCs w:val="20"/>
          <w:color w:val="auto"/>
        </w:rPr>
      </w:pPr>
      <w:r>
        <w:rPr>
          <w:rFonts w:ascii="Arial" w:cs="Arial" w:eastAsia="Arial" w:hAnsi="Arial"/>
          <w:sz w:val="22"/>
          <w:szCs w:val="22"/>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85" w:lineRule="exact"/>
        <w:rPr>
          <w:sz w:val="20"/>
          <w:szCs w:val="20"/>
          <w:color w:val="auto"/>
        </w:rPr>
      </w:pPr>
    </w:p>
    <w:p>
      <w:pPr>
        <w:ind w:left="1060" w:hanging="416"/>
        <w:spacing w:after="0"/>
        <w:tabs>
          <w:tab w:leader="none" w:pos="106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Initial Deferral Election and Regular Deferral Election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940" w:hanging="648"/>
        <w:spacing w:after="0"/>
        <w:tabs>
          <w:tab w:leader="none" w:pos="1940"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Initial Deferral Election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580" w:right="120" w:hanging="640"/>
        <w:spacing w:after="0" w:line="248" w:lineRule="auto"/>
        <w:tabs>
          <w:tab w:leader="none" w:pos="2580" w:val="left"/>
        </w:tabs>
        <w:numPr>
          <w:ilvl w:val="2"/>
          <w:numId w:val="139"/>
        </w:numPr>
        <w:rPr>
          <w:rFonts w:ascii="Arial" w:cs="Arial" w:eastAsia="Arial" w:hAnsi="Arial"/>
          <w:sz w:val="22"/>
          <w:szCs w:val="22"/>
          <w:color w:val="auto"/>
        </w:rPr>
      </w:pPr>
      <w:r>
        <w:rPr>
          <w:rFonts w:ascii="Arial" w:cs="Arial" w:eastAsia="Arial" w:hAnsi="Arial"/>
          <w:sz w:val="22"/>
          <w:szCs w:val="22"/>
          <w:u w:val="single" w:color="auto"/>
          <w:color w:val="auto"/>
        </w:rPr>
        <w:t>Election</w:t>
      </w:r>
      <w:r>
        <w:rPr>
          <w:rFonts w:ascii="Arial" w:cs="Arial" w:eastAsia="Arial" w:hAnsi="Arial"/>
          <w:sz w:val="22"/>
          <w:szCs w:val="22"/>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Deferral Election to defer the receipt of such Shares on a form provided by the Committee for this purpose.</w:t>
      </w:r>
    </w:p>
    <w:p>
      <w:pPr>
        <w:spacing w:after="0" w:line="191" w:lineRule="exact"/>
        <w:rPr>
          <w:rFonts w:ascii="Arial" w:cs="Arial" w:eastAsia="Arial" w:hAnsi="Arial"/>
          <w:sz w:val="22"/>
          <w:szCs w:val="22"/>
          <w:color w:val="auto"/>
        </w:rPr>
      </w:pPr>
    </w:p>
    <w:p>
      <w:pPr>
        <w:ind w:left="2580" w:right="160" w:hanging="640"/>
        <w:spacing w:after="0" w:line="277" w:lineRule="auto"/>
        <w:tabs>
          <w:tab w:leader="none" w:pos="2580" w:val="left"/>
        </w:tabs>
        <w:numPr>
          <w:ilvl w:val="2"/>
          <w:numId w:val="139"/>
        </w:numPr>
        <w:rPr>
          <w:rFonts w:ascii="Arial" w:cs="Arial" w:eastAsia="Arial" w:hAnsi="Arial"/>
          <w:sz w:val="19"/>
          <w:szCs w:val="19"/>
          <w:color w:val="auto"/>
        </w:rPr>
      </w:pPr>
      <w:r>
        <w:rPr>
          <w:rFonts w:ascii="Arial" w:cs="Arial" w:eastAsia="Arial" w:hAnsi="Arial"/>
          <w:sz w:val="19"/>
          <w:szCs w:val="19"/>
          <w:u w:val="single" w:color="auto"/>
          <w:color w:val="auto"/>
        </w:rPr>
        <w:t>Deadline for Initial Deferral Election</w:t>
      </w:r>
      <w:r>
        <w:rPr>
          <w:rFonts w:ascii="Arial" w:cs="Arial" w:eastAsia="Arial" w:hAnsi="Arial"/>
          <w:sz w:val="19"/>
          <w:szCs w:val="19"/>
          <w:color w:val="auto"/>
        </w:rPr>
        <w:t>. No Initial Deferral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Grant and 12 or more months in advance of the applicable Vesting Date. No Initial Deferral Election to defer the receipt of Shares issuable with respect to Restricted Stock Units that are Performance-Based Compensation shall be effective unless it is filed with the Committee at least six months before the end of the Performance Period during which such Performance-Based Compensation may be earned.</w:t>
      </w:r>
    </w:p>
    <w:p>
      <w:pPr>
        <w:spacing w:after="0" w:line="171" w:lineRule="exact"/>
        <w:rPr>
          <w:rFonts w:ascii="Arial" w:cs="Arial" w:eastAsia="Arial" w:hAnsi="Arial"/>
          <w:sz w:val="19"/>
          <w:szCs w:val="19"/>
          <w:color w:val="auto"/>
        </w:rPr>
      </w:pPr>
    </w:p>
    <w:p>
      <w:pPr>
        <w:ind w:left="1940" w:hanging="648"/>
        <w:spacing w:after="0"/>
        <w:tabs>
          <w:tab w:leader="none" w:pos="1940"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Regular Deferral Election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580" w:hanging="640"/>
        <w:spacing w:after="0" w:line="343" w:lineRule="auto"/>
        <w:tabs>
          <w:tab w:leader="none" w:pos="2580" w:val="left"/>
        </w:tabs>
        <w:numPr>
          <w:ilvl w:val="2"/>
          <w:numId w:val="139"/>
        </w:numPr>
        <w:rPr>
          <w:rFonts w:ascii="Arial" w:cs="Arial" w:eastAsia="Arial" w:hAnsi="Arial"/>
          <w:sz w:val="19"/>
          <w:szCs w:val="19"/>
          <w:color w:val="auto"/>
        </w:rPr>
      </w:pPr>
      <w:r>
        <w:rPr>
          <w:rFonts w:ascii="Arial" w:cs="Arial" w:eastAsia="Arial" w:hAnsi="Arial"/>
          <w:sz w:val="19"/>
          <w:szCs w:val="19"/>
          <w:u w:val="single" w:color="auto"/>
          <w:color w:val="auto"/>
        </w:rPr>
        <w:t>Election</w:t>
      </w:r>
      <w:r>
        <w:rPr>
          <w:rFonts w:ascii="Arial" w:cs="Arial" w:eastAsia="Arial" w:hAnsi="Arial"/>
          <w:sz w:val="19"/>
          <w:szCs w:val="19"/>
          <w:color w:val="auto"/>
        </w:rPr>
        <w:t>. Each Grantee who is a Deferral Eligible Employee shall have the right to defer the receipt of some or all of the Shares issuable with respect to Restricted Stock</w:t>
      </w:r>
    </w:p>
    <w:p>
      <w:pPr>
        <w:sectPr>
          <w:pgSz w:w="11900" w:h="16838" w:orient="portrait"/>
          <w:cols w:equalWidth="0" w:num="1">
            <w:col w:w="10540"/>
          </w:cols>
          <w:pgMar w:left="980" w:top="604" w:right="379" w:bottom="1440" w:gutter="0" w:footer="0" w:header="0"/>
        </w:sectPr>
      </w:pPr>
    </w:p>
    <w:bookmarkStart w:id="103" w:name="page104"/>
    <w:bookmarkEnd w:id="103"/>
    <w:p>
      <w:pPr>
        <w:jc w:val="both"/>
        <w:ind w:left="2120" w:right="220"/>
        <w:spacing w:after="0" w:line="223" w:lineRule="auto"/>
        <w:rPr>
          <w:sz w:val="20"/>
          <w:szCs w:val="20"/>
          <w:color w:val="auto"/>
        </w:rPr>
      </w:pPr>
      <w:r>
        <w:rPr>
          <w:rFonts w:ascii="Arial" w:cs="Arial" w:eastAsia="Arial" w:hAnsi="Arial"/>
          <w:sz w:val="22"/>
          <w:szCs w:val="22"/>
          <w:color w:val="auto"/>
        </w:rPr>
        <w:t>Units as to which a Vesting Date has not yet occurred, and that are not subject to an Initial Deferral Election, by filing a Regular Deferral Election to defer the receipt of such Shares on a form provided by the Committee for this purpose.</w:t>
      </w:r>
    </w:p>
    <w:p>
      <w:pPr>
        <w:spacing w:after="0" w:line="186" w:lineRule="exact"/>
        <w:rPr>
          <w:sz w:val="20"/>
          <w:szCs w:val="20"/>
          <w:color w:val="auto"/>
        </w:rPr>
      </w:pPr>
    </w:p>
    <w:p>
      <w:pPr>
        <w:ind w:left="2120" w:right="40" w:hanging="640"/>
        <w:spacing w:after="0" w:line="250" w:lineRule="auto"/>
        <w:tabs>
          <w:tab w:leader="none" w:pos="2120" w:val="left"/>
        </w:tabs>
        <w:numPr>
          <w:ilvl w:val="2"/>
          <w:numId w:val="140"/>
        </w:numPr>
        <w:rPr>
          <w:rFonts w:ascii="Arial" w:cs="Arial" w:eastAsia="Arial" w:hAnsi="Arial"/>
          <w:sz w:val="22"/>
          <w:szCs w:val="22"/>
          <w:color w:val="auto"/>
        </w:rPr>
      </w:pPr>
      <w:r>
        <w:rPr>
          <w:rFonts w:ascii="Arial" w:cs="Arial" w:eastAsia="Arial" w:hAnsi="Arial"/>
          <w:sz w:val="22"/>
          <w:szCs w:val="22"/>
          <w:u w:val="single" w:color="auto"/>
          <w:color w:val="auto"/>
        </w:rPr>
        <w:t>Deadline for Regular Deferral Election</w:t>
      </w:r>
      <w:r>
        <w:rPr>
          <w:rFonts w:ascii="Arial" w:cs="Arial" w:eastAsia="Arial" w:hAnsi="Arial"/>
          <w:sz w:val="22"/>
          <w:szCs w:val="22"/>
          <w:color w:val="auto"/>
        </w:rPr>
        <w:t>. No Regular Deferral Election to defer the receipt of Shares issuable with respect to Restricted Stock Units shall be effective unless it is filed with the Committee on or before the close of business at least one year before the scheduled Vesting Date of such Restricted Stock Units.</w:t>
      </w:r>
    </w:p>
    <w:p>
      <w:pPr>
        <w:spacing w:after="0" w:line="187" w:lineRule="exact"/>
        <w:rPr>
          <w:rFonts w:ascii="Arial" w:cs="Arial" w:eastAsia="Arial" w:hAnsi="Arial"/>
          <w:sz w:val="22"/>
          <w:szCs w:val="22"/>
          <w:color w:val="auto"/>
        </w:rPr>
      </w:pPr>
    </w:p>
    <w:p>
      <w:pPr>
        <w:ind w:left="-460" w:firstLine="644"/>
        <w:spacing w:after="0" w:line="259" w:lineRule="auto"/>
        <w:tabs>
          <w:tab w:leader="none" w:pos="620"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Effect of Failure of Vesting Date to Occur</w:t>
      </w:r>
      <w:r>
        <w:rPr>
          <w:rFonts w:ascii="Arial" w:cs="Arial" w:eastAsia="Arial" w:hAnsi="Arial"/>
          <w:sz w:val="22"/>
          <w:szCs w:val="22"/>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80" w:lineRule="exact"/>
        <w:rPr>
          <w:rFonts w:ascii="Arial" w:cs="Arial" w:eastAsia="Arial" w:hAnsi="Arial"/>
          <w:sz w:val="22"/>
          <w:szCs w:val="22"/>
          <w:color w:val="auto"/>
        </w:rPr>
      </w:pPr>
    </w:p>
    <w:p>
      <w:pPr>
        <w:ind w:left="-460" w:right="400" w:firstLine="644"/>
        <w:spacing w:after="0" w:line="300" w:lineRule="auto"/>
        <w:tabs>
          <w:tab w:leader="none" w:pos="608"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Deferral Period</w:t>
      </w:r>
      <w:r>
        <w:rPr>
          <w:rFonts w:ascii="Arial" w:cs="Arial" w:eastAsia="Arial" w:hAnsi="Arial"/>
          <w:sz w:val="19"/>
          <w:szCs w:val="19"/>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The distribution date may vary with each separate Election.</w:t>
      </w:r>
    </w:p>
    <w:p>
      <w:pPr>
        <w:spacing w:after="0" w:line="146" w:lineRule="exact"/>
        <w:rPr>
          <w:rFonts w:ascii="Arial" w:cs="Arial" w:eastAsia="Arial" w:hAnsi="Arial"/>
          <w:sz w:val="19"/>
          <w:szCs w:val="19"/>
          <w:color w:val="auto"/>
        </w:rPr>
      </w:pPr>
    </w:p>
    <w:p>
      <w:pPr>
        <w:ind w:left="1480" w:right="160" w:hanging="648"/>
        <w:spacing w:after="0" w:line="250" w:lineRule="auto"/>
        <w:tabs>
          <w:tab w:leader="none" w:pos="1480" w:val="left"/>
        </w:tabs>
        <w:numPr>
          <w:ilvl w:val="1"/>
          <w:numId w:val="141"/>
        </w:numPr>
        <w:rPr>
          <w:rFonts w:ascii="Arial" w:cs="Arial" w:eastAsia="Arial" w:hAnsi="Arial"/>
          <w:sz w:val="22"/>
          <w:szCs w:val="22"/>
          <w:color w:val="auto"/>
        </w:rPr>
      </w:pPr>
      <w:r>
        <w:rPr>
          <w:rFonts w:ascii="Arial" w:cs="Arial" w:eastAsia="Arial" w:hAnsi="Arial"/>
          <w:sz w:val="22"/>
          <w:szCs w:val="22"/>
          <w:u w:val="single" w:color="auto"/>
          <w:color w:val="auto"/>
        </w:rPr>
        <w:t>Initial Deferral Election</w:t>
      </w:r>
      <w:r>
        <w:rPr>
          <w:rFonts w:ascii="Arial" w:cs="Arial" w:eastAsia="Arial" w:hAnsi="Arial"/>
          <w:sz w:val="22"/>
          <w:szCs w:val="22"/>
          <w:color w:val="auto"/>
        </w:rPr>
        <w:t>. Except as otherwise specifically provided by the Plan, no distribution pursuant to an Initial Deferral Election may be made earlier than January 2nd of the third calendar year beginning after the Vesting Date, nor later than January 2nd of the eleventh calendar year beginning after the Vesting Date.</w:t>
      </w:r>
    </w:p>
    <w:p>
      <w:pPr>
        <w:spacing w:after="0" w:line="187" w:lineRule="exact"/>
        <w:rPr>
          <w:rFonts w:ascii="Arial" w:cs="Arial" w:eastAsia="Arial" w:hAnsi="Arial"/>
          <w:sz w:val="22"/>
          <w:szCs w:val="22"/>
          <w:color w:val="auto"/>
        </w:rPr>
      </w:pPr>
    </w:p>
    <w:p>
      <w:pPr>
        <w:ind w:left="1480" w:right="140" w:hanging="648"/>
        <w:spacing w:after="0" w:line="271" w:lineRule="auto"/>
        <w:tabs>
          <w:tab w:leader="none" w:pos="1480" w:val="left"/>
        </w:tabs>
        <w:numPr>
          <w:ilvl w:val="1"/>
          <w:numId w:val="141"/>
        </w:numPr>
        <w:rPr>
          <w:rFonts w:ascii="Arial" w:cs="Arial" w:eastAsia="Arial" w:hAnsi="Arial"/>
          <w:sz w:val="21"/>
          <w:szCs w:val="21"/>
          <w:color w:val="auto"/>
        </w:rPr>
      </w:pPr>
      <w:r>
        <w:rPr>
          <w:rFonts w:ascii="Arial" w:cs="Arial" w:eastAsia="Arial" w:hAnsi="Arial"/>
          <w:sz w:val="21"/>
          <w:szCs w:val="21"/>
          <w:u w:val="single" w:color="auto"/>
          <w:color w:val="auto"/>
        </w:rPr>
        <w:t>Regular Deferral Election</w:t>
      </w:r>
      <w:r>
        <w:rPr>
          <w:rFonts w:ascii="Arial" w:cs="Arial" w:eastAsia="Arial" w:hAnsi="Arial"/>
          <w:sz w:val="21"/>
          <w:szCs w:val="21"/>
          <w:color w:val="auto"/>
        </w:rPr>
        <w:t>. No distribution pursuant to a Regular Deferral Election may be made before the fifth anniversary or later than the tenth anniversary of the scheduled Vesting Date of the Restricted Stock Units to which the Regular Deferral Election applies.</w:t>
      </w:r>
    </w:p>
    <w:p>
      <w:pPr>
        <w:spacing w:after="0" w:line="167" w:lineRule="exact"/>
        <w:rPr>
          <w:rFonts w:ascii="Arial" w:cs="Arial" w:eastAsia="Arial" w:hAnsi="Arial"/>
          <w:sz w:val="21"/>
          <w:szCs w:val="21"/>
          <w:color w:val="auto"/>
        </w:rPr>
      </w:pPr>
    </w:p>
    <w:p>
      <w:pPr>
        <w:ind w:left="-460" w:right="300" w:firstLine="644"/>
        <w:spacing w:after="0" w:line="358" w:lineRule="auto"/>
        <w:tabs>
          <w:tab w:leader="none" w:pos="890"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Additional Elections</w:t>
      </w:r>
      <w:r>
        <w:rPr>
          <w:rFonts w:ascii="Arial" w:cs="Arial" w:eastAsia="Arial" w:hAnsi="Arial"/>
          <w:sz w:val="19"/>
          <w:szCs w:val="19"/>
          <w:color w:val="auto"/>
        </w:rPr>
        <w:t>. Notwithstanding anything in this Paragraph 8(d) to the contrary, no Subsequent Deferral Election shall be effective until 12 months after the date on which such Subsequent Deferral Election is made.</w:t>
      </w:r>
    </w:p>
    <w:p>
      <w:pPr>
        <w:spacing w:after="0" w:line="90" w:lineRule="exact"/>
        <w:rPr>
          <w:rFonts w:ascii="Arial" w:cs="Arial" w:eastAsia="Arial" w:hAnsi="Arial"/>
          <w:sz w:val="19"/>
          <w:szCs w:val="19"/>
          <w:color w:val="auto"/>
        </w:rPr>
      </w:pPr>
    </w:p>
    <w:p>
      <w:pPr>
        <w:jc w:val="both"/>
        <w:ind w:left="1480" w:right="340" w:hanging="648"/>
        <w:spacing w:after="0" w:line="271" w:lineRule="auto"/>
        <w:tabs>
          <w:tab w:leader="none" w:pos="1480" w:val="left"/>
        </w:tabs>
        <w:numPr>
          <w:ilvl w:val="1"/>
          <w:numId w:val="141"/>
        </w:numPr>
        <w:rPr>
          <w:rFonts w:ascii="Arial" w:cs="Arial" w:eastAsia="Arial" w:hAnsi="Arial"/>
          <w:sz w:val="21"/>
          <w:szCs w:val="21"/>
          <w:color w:val="auto"/>
        </w:rPr>
      </w:pPr>
      <w:r>
        <w:rPr>
          <w:rFonts w:ascii="Arial" w:cs="Arial" w:eastAsia="Arial" w:hAnsi="Arial"/>
          <w:sz w:val="21"/>
          <w:szCs w:val="21"/>
          <w:color w:val="auto"/>
        </w:rPr>
        <w:t>Each Active Grantee, and each Grantee designated by the Committee who has served as a Non-Employee Director or Section 16 Officer at any time on or after January 1, 2019 (whether or not such individual is an Active Grantee) (A) who has previously</w:t>
      </w:r>
    </w:p>
    <w:p>
      <w:pPr>
        <w:sectPr>
          <w:pgSz w:w="11900" w:h="16838" w:orient="portrait"/>
          <w:cols w:equalWidth="0" w:num="1">
            <w:col w:w="10120"/>
          </w:cols>
          <w:pgMar w:left="1440" w:top="577" w:right="339" w:bottom="1440" w:gutter="0" w:footer="0" w:header="0"/>
        </w:sectPr>
      </w:pPr>
    </w:p>
    <w:bookmarkStart w:id="104" w:name="page105"/>
    <w:bookmarkEnd w:id="104"/>
    <w:p>
      <w:pPr>
        <w:ind w:left="1480"/>
        <w:spacing w:after="0" w:line="242" w:lineRule="auto"/>
        <w:rPr>
          <w:sz w:val="20"/>
          <w:szCs w:val="20"/>
          <w:color w:val="auto"/>
        </w:rPr>
      </w:pPr>
      <w:r>
        <w:rPr>
          <w:rFonts w:ascii="Arial" w:cs="Arial" w:eastAsia="Arial" w:hAnsi="Arial"/>
          <w:sz w:val="19"/>
          <w:szCs w:val="19"/>
          <w:color w:val="auto"/>
        </w:rPr>
        <w:t>made an Initial Deferral Election or a Regular Deferral Election to receive a distribution of part or all of his or her Account, or (B) who, pursuant to this Paragraph 8(d)(i) has made a Subsequent Deferral Election to defer the 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Deferral Election with the Committee on or before the close of business at least one year before the date on which the distribution would otherwise be made. The number of Subsequent Deferral Elections under this Paragraph 8(d)(i) shall not be limited. Notwithstanding the foregoing, except as otherwise provided by the Committee, an Active Grantee who returns to service with a Participating Company following a termination of service may not make a Subsequent Deferral Election with respect to amounts subject to an Initial Deferral Election or a Subsequent Deferral Election that was filed with the Committee before such return to service.</w:t>
      </w:r>
    </w:p>
    <w:p>
      <w:pPr>
        <w:spacing w:after="0" w:line="200" w:lineRule="exact"/>
        <w:rPr>
          <w:sz w:val="20"/>
          <w:szCs w:val="20"/>
          <w:color w:val="auto"/>
        </w:rPr>
      </w:pPr>
    </w:p>
    <w:p>
      <w:pPr>
        <w:spacing w:after="0" w:line="207" w:lineRule="exact"/>
        <w:rPr>
          <w:sz w:val="20"/>
          <w:szCs w:val="20"/>
          <w:color w:val="auto"/>
        </w:rPr>
      </w:pPr>
    </w:p>
    <w:p>
      <w:pPr>
        <w:ind w:left="1480" w:right="80" w:hanging="648"/>
        <w:spacing w:after="0" w:line="247" w:lineRule="auto"/>
        <w:tabs>
          <w:tab w:leader="none" w:pos="14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 Deceased Grantee’s Successor-in-Interest may elect to file a Subsequent Deferral Election to defer the distribution date for the Deceased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Deceased Grantee’s last Election.</w:t>
      </w:r>
    </w:p>
    <w:p>
      <w:pPr>
        <w:spacing w:after="0" w:line="192" w:lineRule="exact"/>
        <w:rPr>
          <w:rFonts w:ascii="Arial" w:cs="Arial" w:eastAsia="Arial" w:hAnsi="Arial"/>
          <w:sz w:val="22"/>
          <w:szCs w:val="22"/>
          <w:color w:val="auto"/>
        </w:rPr>
      </w:pPr>
    </w:p>
    <w:p>
      <w:pPr>
        <w:ind w:left="1480" w:right="60" w:hanging="648"/>
        <w:spacing w:after="0" w:line="248" w:lineRule="auto"/>
        <w:tabs>
          <w:tab w:leader="none" w:pos="14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 Retired Grantee may elect to defer the distribution date of the Retired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Retired Grantee’s last Election.</w:t>
      </w:r>
    </w:p>
    <w:p>
      <w:pPr>
        <w:spacing w:after="0" w:line="191" w:lineRule="exact"/>
        <w:rPr>
          <w:rFonts w:ascii="Arial" w:cs="Arial" w:eastAsia="Arial" w:hAnsi="Arial"/>
          <w:sz w:val="22"/>
          <w:szCs w:val="22"/>
          <w:color w:val="auto"/>
        </w:rPr>
      </w:pPr>
    </w:p>
    <w:p>
      <w:pPr>
        <w:ind w:left="-460" w:firstLine="644"/>
        <w:spacing w:after="0" w:line="297" w:lineRule="auto"/>
        <w:tabs>
          <w:tab w:leader="none" w:pos="608"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Discretion to Provide for Distribution in Full Upon or Following a Change in Control</w:t>
      </w:r>
      <w:r>
        <w:rPr>
          <w:rFonts w:ascii="Arial" w:cs="Arial" w:eastAsia="Arial" w:hAnsi="Arial"/>
          <w:sz w:val="19"/>
          <w:szCs w:val="19"/>
          <w:color w:val="auto"/>
        </w:rPr>
        <w:t>. To the extent permitted by Section 409A, in connection with a Change in Control, and for the 12-month period following a Change in Control, the Committee may exercise its discretion to terminate the deferral provisions of the Plan and, notwithstanding any other provision of the Plan or the terms of any Initial Deferral Election, Regular Deferral Election or Subsequent Deferral Election, distribute the Account of each Grantee in full and thereby effect the revocation of any outstanding Initial Deferral Elections, Regular Deferral Election or Subsequent Deferral Elections.</w:t>
      </w:r>
    </w:p>
    <w:p>
      <w:pPr>
        <w:sectPr>
          <w:pgSz w:w="11900" w:h="16838" w:orient="portrait"/>
          <w:cols w:equalWidth="0" w:num="1">
            <w:col w:w="10120"/>
          </w:cols>
          <w:pgMar w:left="1440" w:top="577" w:right="339" w:bottom="1440" w:gutter="0" w:footer="0" w:header="0"/>
        </w:sectPr>
      </w:pPr>
    </w:p>
    <w:bookmarkStart w:id="105" w:name="page106"/>
    <w:bookmarkEnd w:id="105"/>
    <w:p>
      <w:pPr>
        <w:ind w:left="-460" w:right="120" w:firstLine="644"/>
        <w:spacing w:after="0" w:line="319" w:lineRule="auto"/>
        <w:tabs>
          <w:tab w:leader="none" w:pos="584"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Hardship</w:t>
      </w:r>
      <w:r>
        <w:rPr>
          <w:rFonts w:ascii="Arial" w:cs="Arial" w:eastAsia="Arial" w:hAnsi="Arial"/>
          <w:sz w:val="19"/>
          <w:szCs w:val="19"/>
          <w:color w:val="auto"/>
        </w:rPr>
        <w:t>. Notwithstanding the terms of an Initial Deferral Election, Regular Deferral Election or Subsequent Deferral Election, if, at the Grantee’s request, the Committee determines that the Grantee has incurred a Hardship, the Committee may, in its discretion, authorize the immediate distribution of all or any portion of the Grantee’s Account.</w:t>
      </w:r>
    </w:p>
    <w:p>
      <w:pPr>
        <w:spacing w:after="0" w:line="127" w:lineRule="exact"/>
        <w:rPr>
          <w:rFonts w:ascii="Arial" w:cs="Arial" w:eastAsia="Arial" w:hAnsi="Arial"/>
          <w:sz w:val="19"/>
          <w:szCs w:val="19"/>
          <w:color w:val="auto"/>
        </w:rPr>
      </w:pPr>
    </w:p>
    <w:p>
      <w:pPr>
        <w:ind w:left="-460" w:right="180" w:firstLine="644"/>
        <w:spacing w:after="0" w:line="259" w:lineRule="auto"/>
        <w:tabs>
          <w:tab w:leader="none" w:pos="620"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Other Acceleration Events</w:t>
      </w:r>
      <w:r>
        <w:rPr>
          <w:rFonts w:ascii="Arial" w:cs="Arial" w:eastAsia="Arial" w:hAnsi="Arial"/>
          <w:sz w:val="22"/>
          <w:szCs w:val="22"/>
          <w:color w:val="auto"/>
        </w:rPr>
        <w:t>. To the extent permitted by Section 409A, notwithstanding the terms of an Initial Deferral Election, Regular Deferral Election or Subsequent Deferral Election, distribution of all or part of a Grantee’s Account may be made:</w:t>
      </w:r>
    </w:p>
    <w:p>
      <w:pPr>
        <w:spacing w:after="0" w:line="180" w:lineRule="exact"/>
        <w:rPr>
          <w:rFonts w:ascii="Arial" w:cs="Arial" w:eastAsia="Arial" w:hAnsi="Arial"/>
          <w:sz w:val="22"/>
          <w:szCs w:val="22"/>
          <w:color w:val="auto"/>
        </w:rPr>
      </w:pPr>
    </w:p>
    <w:p>
      <w:pPr>
        <w:jc w:val="both"/>
        <w:ind w:left="1480" w:right="260" w:hanging="648"/>
        <w:spacing w:after="0" w:line="343" w:lineRule="auto"/>
        <w:tabs>
          <w:tab w:leader="none" w:pos="148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To fulfill a domestic relations order (as defined in section 414(p)(1)(B) of the Code) to the extent permitted by Treasury Regulations section 1.409A-3(j)(4)(ii) or any successor provision of law).</w:t>
      </w:r>
    </w:p>
    <w:p>
      <w:pPr>
        <w:spacing w:after="0" w:line="104" w:lineRule="exact"/>
        <w:rPr>
          <w:rFonts w:ascii="Arial" w:cs="Arial" w:eastAsia="Arial" w:hAnsi="Arial"/>
          <w:sz w:val="19"/>
          <w:szCs w:val="19"/>
          <w:color w:val="auto"/>
        </w:rPr>
      </w:pPr>
    </w:p>
    <w:p>
      <w:pPr>
        <w:ind w:left="1480" w:right="360" w:hanging="648"/>
        <w:spacing w:after="0" w:line="343" w:lineRule="auto"/>
        <w:tabs>
          <w:tab w:leader="none" w:pos="148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To the extent necessary to comply with laws relating to avoidance of conflicts of interest, as provided in Treasury Regulation section 1.409A-3(j)(4)(iii) (or any successor provision of law).</w:t>
      </w:r>
    </w:p>
    <w:p>
      <w:pPr>
        <w:spacing w:after="0" w:line="104" w:lineRule="exact"/>
        <w:rPr>
          <w:rFonts w:ascii="Arial" w:cs="Arial" w:eastAsia="Arial" w:hAnsi="Arial"/>
          <w:sz w:val="19"/>
          <w:szCs w:val="19"/>
          <w:color w:val="auto"/>
        </w:rPr>
      </w:pPr>
    </w:p>
    <w:p>
      <w:pPr>
        <w:ind w:left="1480" w:right="20" w:hanging="648"/>
        <w:spacing w:after="0" w:line="263" w:lineRule="auto"/>
        <w:tabs>
          <w:tab w:leader="none" w:pos="148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To pay employment taxes to the extent permitted by Treasury Regulation section 1.409A-3(j)(4)(vi) (or any successor provision of law).</w:t>
      </w:r>
    </w:p>
    <w:p>
      <w:pPr>
        <w:spacing w:after="0" w:line="174" w:lineRule="exact"/>
        <w:rPr>
          <w:rFonts w:ascii="Arial" w:cs="Arial" w:eastAsia="Arial" w:hAnsi="Arial"/>
          <w:sz w:val="22"/>
          <w:szCs w:val="22"/>
          <w:color w:val="auto"/>
        </w:rPr>
      </w:pPr>
    </w:p>
    <w:p>
      <w:pPr>
        <w:ind w:left="1480" w:hanging="648"/>
        <w:spacing w:after="0" w:line="253" w:lineRule="auto"/>
        <w:tabs>
          <w:tab w:leader="none" w:pos="148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In connection with the recognition of income as the result of a failure to comply with Section 409A, to the extent permitted by Treasury Regulation section 1.409A-3(j)(4)(vii) (or any successor provision of law).</w:t>
      </w:r>
    </w:p>
    <w:p>
      <w:pPr>
        <w:spacing w:after="0" w:line="185" w:lineRule="exact"/>
        <w:rPr>
          <w:rFonts w:ascii="Arial" w:cs="Arial" w:eastAsia="Arial" w:hAnsi="Arial"/>
          <w:sz w:val="22"/>
          <w:szCs w:val="22"/>
          <w:color w:val="auto"/>
        </w:rPr>
      </w:pPr>
    </w:p>
    <w:p>
      <w:pPr>
        <w:ind w:left="1480" w:right="140" w:hanging="648"/>
        <w:spacing w:after="0" w:line="263" w:lineRule="auto"/>
        <w:tabs>
          <w:tab w:leader="none" w:pos="148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To pay state, local or foreign taxes to the extent permitted by Treasury Regulation section 1.409A-3(j)(4)(xi) (or any successor provision of law).</w:t>
      </w:r>
    </w:p>
    <w:p>
      <w:pPr>
        <w:spacing w:after="0" w:line="174" w:lineRule="exact"/>
        <w:rPr>
          <w:rFonts w:ascii="Arial" w:cs="Arial" w:eastAsia="Arial" w:hAnsi="Arial"/>
          <w:sz w:val="22"/>
          <w:szCs w:val="22"/>
          <w:color w:val="auto"/>
        </w:rPr>
      </w:pPr>
    </w:p>
    <w:p>
      <w:pPr>
        <w:ind w:left="1480" w:right="100" w:hanging="648"/>
        <w:spacing w:after="0" w:line="250" w:lineRule="auto"/>
        <w:tabs>
          <w:tab w:leader="none" w:pos="148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187" w:lineRule="exact"/>
        <w:rPr>
          <w:rFonts w:ascii="Arial" w:cs="Arial" w:eastAsia="Arial" w:hAnsi="Arial"/>
          <w:sz w:val="22"/>
          <w:szCs w:val="22"/>
          <w:color w:val="auto"/>
        </w:rPr>
      </w:pPr>
    </w:p>
    <w:p>
      <w:pPr>
        <w:ind w:left="1480" w:right="40" w:hanging="648"/>
        <w:spacing w:after="0" w:line="343" w:lineRule="auto"/>
        <w:tabs>
          <w:tab w:leader="none" w:pos="148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In connection with a bona fide dispute as to a Grantee’s right to payment, to the extent permitted by Treasury Regulation section 1.409A-3(j)(4)(xiv) (or any successor provision of law).</w:t>
      </w:r>
    </w:p>
    <w:p>
      <w:pPr>
        <w:spacing w:after="0" w:line="104" w:lineRule="exact"/>
        <w:rPr>
          <w:rFonts w:ascii="Arial" w:cs="Arial" w:eastAsia="Arial" w:hAnsi="Arial"/>
          <w:sz w:val="19"/>
          <w:szCs w:val="19"/>
          <w:color w:val="auto"/>
        </w:rPr>
      </w:pPr>
    </w:p>
    <w:p>
      <w:pPr>
        <w:ind w:left="-460" w:right="300" w:firstLine="644"/>
        <w:spacing w:after="0" w:line="259" w:lineRule="auto"/>
        <w:tabs>
          <w:tab w:leader="none" w:pos="620"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Book Accounts</w:t>
      </w:r>
      <w:r>
        <w:rPr>
          <w:rFonts w:ascii="Arial" w:cs="Arial" w:eastAsia="Arial" w:hAnsi="Arial"/>
          <w:sz w:val="22"/>
          <w:szCs w:val="22"/>
          <w:color w:val="auto"/>
        </w:rPr>
        <w:t>. An Account shall be established for each Grantee who makes an Election. Deferred Stock Units shall be credited to the Account as of the date an Election becomes effective. Each Deferred Stock Unit will represent a hypothetical</w:t>
      </w:r>
    </w:p>
    <w:p>
      <w:pPr>
        <w:sectPr>
          <w:pgSz w:w="11900" w:h="16838" w:orient="portrait"/>
          <w:cols w:equalWidth="0" w:num="1">
            <w:col w:w="10120"/>
          </w:cols>
          <w:pgMar w:left="1440" w:top="604" w:right="339" w:bottom="1440" w:gutter="0" w:footer="0" w:header="0"/>
        </w:sectPr>
      </w:pPr>
    </w:p>
    <w:bookmarkStart w:id="106" w:name="page107"/>
    <w:bookmarkEnd w:id="106"/>
    <w:p>
      <w:pPr>
        <w:ind w:right="120"/>
        <w:spacing w:after="0" w:line="263" w:lineRule="auto"/>
        <w:rPr>
          <w:sz w:val="20"/>
          <w:szCs w:val="20"/>
          <w:color w:val="auto"/>
        </w:rPr>
      </w:pPr>
      <w:r>
        <w:rPr>
          <w:rFonts w:ascii="Arial" w:cs="Arial" w:eastAsia="Arial" w:hAnsi="Arial"/>
          <w:sz w:val="21"/>
          <w:szCs w:val="21"/>
          <w:color w:val="auto"/>
        </w:rPr>
        <w:t>share of Common Stock credited to the Account in lieu of delivery of the Shares to which the Election applies. To the extent an Account is deemed invested in an Other Investment Fund, the Committee shall credit income, gains, and losses on the same basis as if the Account were directly invested in such Other Investment Fund. To the extent an Account is deemed invested in the Income Fund, the Committee shall credit earnings with respect to such Account at the Applicable Interest Rate, as further provided in Paragraph 8(k).</w:t>
      </w:r>
    </w:p>
    <w:p>
      <w:pPr>
        <w:spacing w:after="0" w:line="175" w:lineRule="exact"/>
        <w:rPr>
          <w:sz w:val="20"/>
          <w:szCs w:val="20"/>
          <w:color w:val="auto"/>
        </w:rPr>
      </w:pPr>
    </w:p>
    <w:p>
      <w:pPr>
        <w:ind w:right="480" w:firstLine="644"/>
        <w:spacing w:after="0" w:line="358" w:lineRule="auto"/>
        <w:tabs>
          <w:tab w:leader="none" w:pos="1032"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Plan-to-Plan Transfers</w:t>
      </w:r>
      <w:r>
        <w:rPr>
          <w:rFonts w:ascii="Arial" w:cs="Arial" w:eastAsia="Arial" w:hAnsi="Arial"/>
          <w:sz w:val="19"/>
          <w:szCs w:val="19"/>
          <w:color w:val="auto"/>
        </w:rPr>
        <w:t>. The Committee may delegate its authority to arrange for plan-to-plan transfers as described in this Paragraph 8(i) to an officer of the Company or committee of two or more officers of the Company.</w:t>
      </w:r>
    </w:p>
    <w:p>
      <w:pPr>
        <w:spacing w:after="0" w:line="90" w:lineRule="exact"/>
        <w:rPr>
          <w:rFonts w:ascii="Arial" w:cs="Arial" w:eastAsia="Arial" w:hAnsi="Arial"/>
          <w:sz w:val="19"/>
          <w:szCs w:val="19"/>
          <w:color w:val="auto"/>
        </w:rPr>
      </w:pPr>
    </w:p>
    <w:p>
      <w:pPr>
        <w:ind w:left="1940" w:hanging="648"/>
        <w:spacing w:after="0" w:line="260" w:lineRule="auto"/>
        <w:tabs>
          <w:tab w:leader="none" w:pos="1940" w:val="left"/>
        </w:tabs>
        <w:numPr>
          <w:ilvl w:val="1"/>
          <w:numId w:val="145"/>
        </w:numPr>
        <w:rPr>
          <w:rFonts w:ascii="Arial" w:cs="Arial" w:eastAsia="Arial" w:hAnsi="Arial"/>
          <w:sz w:val="21"/>
          <w:szCs w:val="21"/>
          <w:color w:val="auto"/>
        </w:rPr>
      </w:pPr>
      <w:r>
        <w:rPr>
          <w:rFonts w:ascii="Arial" w:cs="Arial" w:eastAsia="Arial" w:hAnsi="Arial"/>
          <w:sz w:val="21"/>
          <w:szCs w:val="21"/>
          <w:color w:val="auto"/>
        </w:rPr>
        <w:t>The Committee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180" w:lineRule="exact"/>
        <w:rPr>
          <w:rFonts w:ascii="Arial" w:cs="Arial" w:eastAsia="Arial" w:hAnsi="Arial"/>
          <w:sz w:val="21"/>
          <w:szCs w:val="21"/>
          <w:color w:val="auto"/>
        </w:rPr>
      </w:pPr>
    </w:p>
    <w:p>
      <w:pPr>
        <w:ind w:left="1940" w:hanging="648"/>
        <w:spacing w:after="0" w:line="290" w:lineRule="auto"/>
        <w:tabs>
          <w:tab w:leader="none" w:pos="194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The Committee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Committee shall establish an Account for such Grantee, and the Account shall be subject to the rules of this Plan, as in effect from time to time.</w:t>
      </w:r>
    </w:p>
    <w:p>
      <w:pPr>
        <w:spacing w:after="0" w:line="156" w:lineRule="exact"/>
        <w:rPr>
          <w:sz w:val="20"/>
          <w:szCs w:val="20"/>
          <w:color w:val="auto"/>
        </w:rPr>
      </w:pPr>
    </w:p>
    <w:p>
      <w:pPr>
        <w:ind w:left="1020" w:hanging="376"/>
        <w:spacing w:after="0"/>
        <w:tabs>
          <w:tab w:leader="none" w:pos="102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Crediting of Income, Gains, and Losses on Accounts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940" w:right="220" w:hanging="648"/>
        <w:spacing w:after="0" w:line="253" w:lineRule="auto"/>
        <w:tabs>
          <w:tab w:leader="none" w:pos="1940"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otherwise provided in this Paragraph 8(j) or Paragraph 8(k), the value of a Grantee’s Account as of any date shall be determined as if it were invested in the Company Stock Fund.</w:t>
      </w:r>
    </w:p>
    <w:p>
      <w:pPr>
        <w:spacing w:after="0" w:line="185" w:lineRule="exact"/>
        <w:rPr>
          <w:rFonts w:ascii="Arial" w:cs="Arial" w:eastAsia="Arial" w:hAnsi="Arial"/>
          <w:sz w:val="22"/>
          <w:szCs w:val="22"/>
          <w:color w:val="auto"/>
        </w:rPr>
      </w:pPr>
    </w:p>
    <w:p>
      <w:pPr>
        <w:ind w:left="1940" w:hanging="648"/>
        <w:spacing w:after="0"/>
        <w:tabs>
          <w:tab w:leader="none" w:pos="1940"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Credits to Other Investment Funds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580" w:right="440" w:hanging="640"/>
        <w:spacing w:after="0" w:line="263" w:lineRule="auto"/>
        <w:tabs>
          <w:tab w:leader="none" w:pos="2580" w:val="left"/>
        </w:tabs>
        <w:numPr>
          <w:ilvl w:val="2"/>
          <w:numId w:val="146"/>
        </w:numPr>
        <w:rPr>
          <w:rFonts w:ascii="Arial" w:cs="Arial" w:eastAsia="Arial" w:hAnsi="Arial"/>
          <w:sz w:val="22"/>
          <w:szCs w:val="22"/>
          <w:color w:val="auto"/>
        </w:rPr>
      </w:pPr>
      <w:r>
        <w:rPr>
          <w:rFonts w:ascii="Arial" w:cs="Arial" w:eastAsia="Arial" w:hAnsi="Arial"/>
          <w:sz w:val="22"/>
          <w:szCs w:val="22"/>
          <w:u w:val="single" w:color="auto"/>
          <w:color w:val="auto"/>
        </w:rPr>
        <w:t>Post-Termination Elections</w:t>
      </w:r>
      <w:r>
        <w:rPr>
          <w:rFonts w:ascii="Arial" w:cs="Arial" w:eastAsia="Arial" w:hAnsi="Arial"/>
          <w:sz w:val="22"/>
          <w:szCs w:val="22"/>
          <w:color w:val="auto"/>
        </w:rPr>
        <w:t>. To the extent credited to the Income Fund, the Accounts of Non-Employee Directors</w:t>
      </w:r>
    </w:p>
    <w:p>
      <w:pPr>
        <w:sectPr>
          <w:pgSz w:w="11900" w:h="16838" w:orient="portrait"/>
          <w:cols w:equalWidth="0" w:num="1">
            <w:col w:w="10580"/>
          </w:cols>
          <w:pgMar w:left="980" w:top="604" w:right="339" w:bottom="1440" w:gutter="0" w:footer="0" w:header="0"/>
        </w:sectPr>
      </w:pPr>
    </w:p>
    <w:bookmarkStart w:id="107" w:name="page108"/>
    <w:bookmarkEnd w:id="107"/>
    <w:p>
      <w:pPr>
        <w:ind w:left="2120" w:right="200"/>
        <w:spacing w:after="0" w:line="257" w:lineRule="auto"/>
        <w:rPr>
          <w:sz w:val="20"/>
          <w:szCs w:val="20"/>
          <w:color w:val="auto"/>
        </w:rPr>
      </w:pPr>
      <w:r>
        <w:rPr>
          <w:rFonts w:ascii="Arial" w:cs="Arial" w:eastAsia="Arial" w:hAnsi="Arial"/>
          <w:sz w:val="19"/>
          <w:szCs w:val="19"/>
          <w:color w:val="auto"/>
        </w:rPr>
        <w:t>and Section 16 Officers whose Subsequent Deferral Elections are made after their termination of service shall be credited to an Other Investment Fund. The Committee may designate the specific Other Investment Fund or Funds to which the Account of any individual who has terminated service to the Company shall be invested.</w:t>
      </w:r>
    </w:p>
    <w:p>
      <w:pPr>
        <w:spacing w:after="0" w:line="171" w:lineRule="exact"/>
        <w:rPr>
          <w:sz w:val="20"/>
          <w:szCs w:val="20"/>
          <w:color w:val="auto"/>
        </w:rPr>
      </w:pPr>
    </w:p>
    <w:p>
      <w:pPr>
        <w:ind w:left="2120" w:right="80" w:hanging="640"/>
        <w:spacing w:after="0" w:line="250" w:lineRule="auto"/>
        <w:tabs>
          <w:tab w:leader="none" w:pos="2120" w:val="left"/>
        </w:tabs>
        <w:numPr>
          <w:ilvl w:val="1"/>
          <w:numId w:val="147"/>
        </w:numPr>
        <w:rPr>
          <w:rFonts w:ascii="Arial" w:cs="Arial" w:eastAsia="Arial" w:hAnsi="Arial"/>
          <w:sz w:val="22"/>
          <w:szCs w:val="22"/>
          <w:color w:val="auto"/>
        </w:rPr>
      </w:pPr>
      <w:r>
        <w:rPr>
          <w:rFonts w:ascii="Arial" w:cs="Arial" w:eastAsia="Arial" w:hAnsi="Arial"/>
          <w:sz w:val="22"/>
          <w:szCs w:val="22"/>
          <w:u w:val="single" w:color="auto"/>
          <w:color w:val="auto"/>
        </w:rPr>
        <w:t>High Balance Participants</w:t>
      </w:r>
      <w:r>
        <w:rPr>
          <w:rFonts w:ascii="Arial" w:cs="Arial" w:eastAsia="Arial" w:hAnsi="Arial"/>
          <w:sz w:val="22"/>
          <w:szCs w:val="22"/>
          <w:color w:val="auto"/>
        </w:rPr>
        <w:t xml:space="preserve">. If a Grantee’s Income Fund exceeds the Income Fund Limit as of the last day of a Plan Year, the excess of (x) the amount credited to the Grantee’s Income Fund </w:t>
      </w:r>
      <w:r>
        <w:rPr>
          <w:rFonts w:ascii="Arial" w:cs="Arial" w:eastAsia="Arial" w:hAnsi="Arial"/>
          <w:sz w:val="22"/>
          <w:szCs w:val="22"/>
          <w:i w:val="1"/>
          <w:iCs w:val="1"/>
          <w:color w:val="auto"/>
        </w:rPr>
        <w:t>over</w:t>
      </w:r>
      <w:r>
        <w:rPr>
          <w:rFonts w:ascii="Arial" w:cs="Arial" w:eastAsia="Arial" w:hAnsi="Arial"/>
          <w:sz w:val="22"/>
          <w:szCs w:val="22"/>
          <w:color w:val="auto"/>
        </w:rPr>
        <w:t xml:space="preserve"> (y) the Income Fund Limit shall be deemed transferred to an Other Investment Fund as of such last day of such Plan Year.</w:t>
      </w:r>
    </w:p>
    <w:p>
      <w:pPr>
        <w:spacing w:after="0" w:line="187" w:lineRule="exact"/>
        <w:rPr>
          <w:rFonts w:ascii="Arial" w:cs="Arial" w:eastAsia="Arial" w:hAnsi="Arial"/>
          <w:sz w:val="22"/>
          <w:szCs w:val="22"/>
          <w:color w:val="auto"/>
        </w:rPr>
      </w:pPr>
    </w:p>
    <w:p>
      <w:pPr>
        <w:ind w:left="2120" w:right="100" w:hanging="640"/>
        <w:spacing w:after="0" w:line="259" w:lineRule="auto"/>
        <w:tabs>
          <w:tab w:leader="none" w:pos="2120" w:val="left"/>
        </w:tabs>
        <w:numPr>
          <w:ilvl w:val="1"/>
          <w:numId w:val="147"/>
        </w:numPr>
        <w:rPr>
          <w:rFonts w:ascii="Arial" w:cs="Arial" w:eastAsia="Arial" w:hAnsi="Arial"/>
          <w:sz w:val="21"/>
          <w:szCs w:val="21"/>
          <w:color w:val="auto"/>
        </w:rPr>
      </w:pPr>
      <w:r>
        <w:rPr>
          <w:rFonts w:ascii="Arial" w:cs="Arial" w:eastAsia="Arial" w:hAnsi="Arial"/>
          <w:sz w:val="21"/>
          <w:szCs w:val="21"/>
          <w:u w:val="single" w:color="auto"/>
          <w:color w:val="auto"/>
        </w:rPr>
        <w:t>Section 16 Officers</w:t>
      </w:r>
      <w:r>
        <w:rPr>
          <w:rFonts w:ascii="Arial" w:cs="Arial" w:eastAsia="Arial" w:hAnsi="Arial"/>
          <w:sz w:val="21"/>
          <w:szCs w:val="21"/>
          <w:color w:val="auto"/>
        </w:rPr>
        <w:t>. Pursuant to rules established by the Committee or its delegate, a Section 16 Officer may elect to (x) transfer amounts credited to their Accounts that were previously subject to a Diversification Election and that are deemed to be invested in the Income Fund to an Other Investment Fund, or (y) transfer amounts credited to their Accounts that were previously subject to a Diversification Election and that are deemed to be invested in an Other Investment Fund to the Income Fund to the extent that immediately after such transfer, the amount credited to such Section 16 Officer’s Income Fund does not exceed the Income Fund Limit.</w:t>
      </w:r>
    </w:p>
    <w:p>
      <w:pPr>
        <w:spacing w:after="0" w:line="183" w:lineRule="exact"/>
        <w:rPr>
          <w:rFonts w:ascii="Arial" w:cs="Arial" w:eastAsia="Arial" w:hAnsi="Arial"/>
          <w:sz w:val="21"/>
          <w:szCs w:val="21"/>
          <w:color w:val="auto"/>
        </w:rPr>
      </w:pPr>
    </w:p>
    <w:p>
      <w:pPr>
        <w:ind w:left="2120" w:hanging="640"/>
        <w:spacing w:after="0" w:line="253" w:lineRule="auto"/>
        <w:tabs>
          <w:tab w:leader="none" w:pos="2120" w:val="left"/>
        </w:tabs>
        <w:numPr>
          <w:ilvl w:val="1"/>
          <w:numId w:val="147"/>
        </w:numPr>
        <w:rPr>
          <w:rFonts w:ascii="Arial" w:cs="Arial" w:eastAsia="Arial" w:hAnsi="Arial"/>
          <w:sz w:val="22"/>
          <w:szCs w:val="22"/>
          <w:color w:val="auto"/>
        </w:rPr>
      </w:pPr>
      <w:r>
        <w:rPr>
          <w:rFonts w:ascii="Arial" w:cs="Arial" w:eastAsia="Arial" w:hAnsi="Arial"/>
          <w:sz w:val="22"/>
          <w:szCs w:val="22"/>
          <w:u w:val="single" w:color="auto"/>
          <w:color w:val="auto"/>
        </w:rPr>
        <w:t>Subsequent Deferral Elections</w:t>
      </w:r>
      <w:r>
        <w:rPr>
          <w:rFonts w:ascii="Arial" w:cs="Arial" w:eastAsia="Arial" w:hAnsi="Arial"/>
          <w:sz w:val="22"/>
          <w:szCs w:val="22"/>
          <w:color w:val="auto"/>
        </w:rPr>
        <w:t>. Amounts subject to a Subsequent Deferral Election that takes effect while a Grantee’s Income Fund exceeds the Income Fund Limit shall be deemed invested in an Other Investment Fund.</w:t>
      </w:r>
    </w:p>
    <w:p>
      <w:pPr>
        <w:spacing w:after="0" w:line="185" w:lineRule="exact"/>
        <w:rPr>
          <w:rFonts w:ascii="Arial" w:cs="Arial" w:eastAsia="Arial" w:hAnsi="Arial"/>
          <w:sz w:val="22"/>
          <w:szCs w:val="22"/>
          <w:color w:val="auto"/>
        </w:rPr>
      </w:pPr>
    </w:p>
    <w:p>
      <w:pPr>
        <w:ind w:left="1480" w:right="20" w:hanging="648"/>
        <w:spacing w:after="0" w:line="289" w:lineRule="auto"/>
        <w:tabs>
          <w:tab w:leader="none" w:pos="1480"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Protocol for Deemed Transfers between Income Fund and an Other Investment Fund</w:t>
      </w:r>
      <w:r>
        <w:rPr>
          <w:rFonts w:ascii="Arial" w:cs="Arial" w:eastAsia="Arial" w:hAnsi="Arial"/>
          <w:sz w:val="19"/>
          <w:szCs w:val="19"/>
          <w:color w:val="auto"/>
        </w:rPr>
        <w:t>. As provided in Article 8, the timing of distributions of amounts credited to a Grantee’s Account is established pursuant to Initial Deferral Elections, Regular Deferral Elections, and Subsequent Deferral Elections, and a Grantee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Paragraph 8(j)(ii)(C), and amounts deemed transferred from an Other Investment Fund to the Income Fund pursuant to elective transfers described in Paragraph 8(j)(ii)(C) shall be sourced and</w:t>
      </w:r>
    </w:p>
    <w:p>
      <w:pPr>
        <w:sectPr>
          <w:pgSz w:w="11900" w:h="16838" w:orient="portrait"/>
          <w:cols w:equalWidth="0" w:num="1">
            <w:col w:w="10120"/>
          </w:cols>
          <w:pgMar w:left="1440" w:top="577" w:right="339" w:bottom="1440" w:gutter="0" w:footer="0" w:header="0"/>
        </w:sectPr>
      </w:pPr>
    </w:p>
    <w:bookmarkStart w:id="108" w:name="page109"/>
    <w:bookmarkEnd w:id="108"/>
    <w:p>
      <w:pPr>
        <w:ind w:left="1480" w:right="20"/>
        <w:spacing w:after="0" w:line="224" w:lineRule="auto"/>
        <w:rPr>
          <w:sz w:val="20"/>
          <w:szCs w:val="20"/>
          <w:color w:val="auto"/>
        </w:rPr>
      </w:pPr>
      <w:r>
        <w:rPr>
          <w:rFonts w:ascii="Arial" w:cs="Arial" w:eastAsia="Arial" w:hAnsi="Arial"/>
          <w:sz w:val="21"/>
          <w:szCs w:val="21"/>
          <w:color w:val="auto"/>
        </w:rPr>
        <w:t>allocated on a uniform and consistent basis as determined by the Committee,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 and provided further than no amounts shall be deemed transferred to or from the Income Fund under the 2002 Deferred Compensation Plan.</w:t>
      </w:r>
    </w:p>
    <w:p>
      <w:pPr>
        <w:spacing w:after="0" w:line="187" w:lineRule="exact"/>
        <w:rPr>
          <w:sz w:val="20"/>
          <w:szCs w:val="20"/>
          <w:color w:val="auto"/>
        </w:rPr>
      </w:pPr>
    </w:p>
    <w:p>
      <w:pPr>
        <w:ind w:left="-460" w:right="140" w:firstLine="644"/>
        <w:spacing w:after="0" w:line="276" w:lineRule="auto"/>
        <w:tabs>
          <w:tab w:leader="none" w:pos="620"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Diversification Elections</w:t>
      </w:r>
      <w:r>
        <w:rPr>
          <w:rFonts w:ascii="Arial" w:cs="Arial" w:eastAsia="Arial" w:hAnsi="Arial"/>
          <w:sz w:val="22"/>
          <w:szCs w:val="22"/>
          <w:color w:val="auto"/>
        </w:rPr>
        <w:t>. This Paragraph 8(k) shall not apply to elective transfers described in Paragraph 8(j)(ii)(C) of amounts that were previously subject to a Diversification Election.</w:t>
      </w:r>
    </w:p>
    <w:p>
      <w:pPr>
        <w:spacing w:after="0" w:line="160" w:lineRule="exact"/>
        <w:rPr>
          <w:rFonts w:ascii="Arial" w:cs="Arial" w:eastAsia="Arial" w:hAnsi="Arial"/>
          <w:sz w:val="22"/>
          <w:szCs w:val="22"/>
          <w:color w:val="auto"/>
        </w:rPr>
      </w:pPr>
    </w:p>
    <w:p>
      <w:pPr>
        <w:ind w:left="1480" w:hanging="648"/>
        <w:spacing w:after="0"/>
        <w:tabs>
          <w:tab w:leader="none" w:pos="1480"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otherwise provided in Paragraph 8(k)(v):</w:t>
      </w:r>
    </w:p>
    <w:p>
      <w:pPr>
        <w:spacing w:after="0" w:line="219" w:lineRule="exact"/>
        <w:rPr>
          <w:rFonts w:ascii="Arial" w:cs="Arial" w:eastAsia="Arial" w:hAnsi="Arial"/>
          <w:sz w:val="22"/>
          <w:szCs w:val="22"/>
          <w:color w:val="auto"/>
        </w:rPr>
      </w:pPr>
    </w:p>
    <w:p>
      <w:pPr>
        <w:ind w:left="2120" w:right="220" w:hanging="640"/>
        <w:spacing w:after="0" w:line="248" w:lineRule="auto"/>
        <w:tabs>
          <w:tab w:leader="none" w:pos="2120" w:val="left"/>
        </w:tabs>
        <w:numPr>
          <w:ilvl w:val="2"/>
          <w:numId w:val="149"/>
        </w:numPr>
        <w:rPr>
          <w:rFonts w:ascii="Arial" w:cs="Arial" w:eastAsia="Arial" w:hAnsi="Arial"/>
          <w:sz w:val="22"/>
          <w:szCs w:val="22"/>
          <w:color w:val="auto"/>
        </w:rPr>
      </w:pPr>
      <w:r>
        <w:rPr>
          <w:rFonts w:ascii="Arial" w:cs="Arial" w:eastAsia="Arial" w:hAnsi="Arial"/>
          <w:sz w:val="22"/>
          <w:szCs w:val="22"/>
          <w:color w:val="auto"/>
        </w:rPr>
        <w:t>A Diversification Election shall be available: (x) at any time that a Registration Statement filed under the 1933 Act (a “Registration Statement”) is effective with respect to the Plan; and (y) with respect to a Special Diversification Election, if and to the extent that the opportunity to make such a Special Diversification Election has been approved by the Committee or its delegate.</w:t>
      </w:r>
    </w:p>
    <w:p>
      <w:pPr>
        <w:spacing w:after="0" w:line="191" w:lineRule="exact"/>
        <w:rPr>
          <w:rFonts w:ascii="Arial" w:cs="Arial" w:eastAsia="Arial" w:hAnsi="Arial"/>
          <w:sz w:val="22"/>
          <w:szCs w:val="22"/>
          <w:color w:val="auto"/>
        </w:rPr>
      </w:pPr>
    </w:p>
    <w:p>
      <w:pPr>
        <w:ind w:left="2120" w:right="260" w:hanging="640"/>
        <w:spacing w:after="0" w:line="263" w:lineRule="auto"/>
        <w:tabs>
          <w:tab w:leader="none" w:pos="2120" w:val="left"/>
        </w:tabs>
        <w:numPr>
          <w:ilvl w:val="2"/>
          <w:numId w:val="149"/>
        </w:numPr>
        <w:rPr>
          <w:rFonts w:ascii="Arial" w:cs="Arial" w:eastAsia="Arial" w:hAnsi="Arial"/>
          <w:sz w:val="22"/>
          <w:szCs w:val="22"/>
          <w:color w:val="auto"/>
        </w:rPr>
      </w:pPr>
      <w:r>
        <w:rPr>
          <w:rFonts w:ascii="Arial" w:cs="Arial" w:eastAsia="Arial" w:hAnsi="Arial"/>
          <w:sz w:val="22"/>
          <w:szCs w:val="22"/>
          <w:color w:val="auto"/>
        </w:rPr>
        <w:t>No approval is required for a Diversification Election other than a Special Diversification Election.</w:t>
      </w:r>
    </w:p>
    <w:p>
      <w:pPr>
        <w:spacing w:after="0" w:line="174" w:lineRule="exact"/>
        <w:rPr>
          <w:rFonts w:ascii="Arial" w:cs="Arial" w:eastAsia="Arial" w:hAnsi="Arial"/>
          <w:sz w:val="22"/>
          <w:szCs w:val="22"/>
          <w:color w:val="auto"/>
        </w:rPr>
      </w:pPr>
    </w:p>
    <w:p>
      <w:pPr>
        <w:ind w:left="1480" w:right="400" w:hanging="648"/>
        <w:spacing w:after="0" w:line="297" w:lineRule="auto"/>
        <w:tabs>
          <w:tab w:leader="none" w:pos="1480"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Committee Approval of Special Diversification Elections</w:t>
      </w:r>
      <w:r>
        <w:rPr>
          <w:rFonts w:ascii="Arial" w:cs="Arial" w:eastAsia="Arial" w:hAnsi="Arial"/>
          <w:sz w:val="19"/>
          <w:szCs w:val="19"/>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spacing w:after="0" w:line="146" w:lineRule="exact"/>
        <w:rPr>
          <w:rFonts w:ascii="Arial" w:cs="Arial" w:eastAsia="Arial" w:hAnsi="Arial"/>
          <w:sz w:val="19"/>
          <w:szCs w:val="19"/>
          <w:color w:val="auto"/>
        </w:rPr>
      </w:pPr>
    </w:p>
    <w:p>
      <w:pPr>
        <w:ind w:left="1480" w:hanging="648"/>
        <w:spacing w:after="0" w:line="246" w:lineRule="auto"/>
        <w:tabs>
          <w:tab w:leader="none" w:pos="1480"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Timing and Manner of Making Diversification Elections</w:t>
      </w:r>
      <w:r>
        <w:rPr>
          <w:rFonts w:ascii="Arial" w:cs="Arial" w:eastAsia="Arial" w:hAnsi="Arial"/>
          <w:sz w:val="22"/>
          <w:szCs w:val="22"/>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Except as otherwise provided in Paragraph 8(j)(ii), no deemed transfers shall be permitted from the Income Fund to the Company Stock Fund. Diversification Elections under this Paragraph 8(k)(iii) shall be prospectively effective on the later of: (A) the date designated by the Grantee on a Diversification</w:t>
      </w:r>
    </w:p>
    <w:p>
      <w:pPr>
        <w:sectPr>
          <w:pgSz w:w="11900" w:h="16838" w:orient="portrait"/>
          <w:cols w:equalWidth="0" w:num="1">
            <w:col w:w="10120"/>
          </w:cols>
          <w:pgMar w:left="1440" w:top="577" w:right="339" w:bottom="1440" w:gutter="0" w:footer="0" w:header="0"/>
        </w:sectPr>
      </w:pPr>
    </w:p>
    <w:bookmarkStart w:id="109" w:name="page110"/>
    <w:bookmarkEnd w:id="109"/>
    <w:p>
      <w:pPr>
        <w:ind w:left="1480" w:right="20"/>
        <w:spacing w:after="0" w:line="252" w:lineRule="auto"/>
        <w:rPr>
          <w:sz w:val="20"/>
          <w:szCs w:val="20"/>
          <w:color w:val="auto"/>
        </w:rPr>
      </w:pPr>
      <w:r>
        <w:rPr>
          <w:rFonts w:ascii="Arial" w:cs="Arial" w:eastAsia="Arial" w:hAnsi="Arial"/>
          <w:sz w:val="19"/>
          <w:szCs w:val="19"/>
          <w:color w:val="auto"/>
        </w:rPr>
        <w:t>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176" w:lineRule="exact"/>
        <w:rPr>
          <w:sz w:val="20"/>
          <w:szCs w:val="20"/>
          <w:color w:val="auto"/>
        </w:rPr>
      </w:pPr>
    </w:p>
    <w:p>
      <w:pPr>
        <w:ind w:left="1480" w:right="20" w:hanging="648"/>
        <w:spacing w:after="0" w:line="290" w:lineRule="auto"/>
        <w:tabs>
          <w:tab w:leader="none" w:pos="1480"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Interfund Transfers and Timing of Credits</w:t>
      </w:r>
      <w:r>
        <w:rPr>
          <w:rFonts w:ascii="Arial" w:cs="Arial" w:eastAsia="Arial" w:hAnsi="Arial"/>
          <w:sz w:val="19"/>
          <w:szCs w:val="19"/>
          <w:color w:val="auto"/>
        </w:rPr>
        <w:t>. Account balances subject to a Diversification Election under this Paragraph 8(k) shall be deemed transferred from the Company Stock Fund to the Income Fund or Other Investment Fund, as applicable, immediately following the effective date of such Diversification Election. The value of amounts deemed invested in the Income Fund or Other Investment Fund immediately following the effective date of a Diversification Election shall be based on hypothetical sales of Common Stock underlying the liquidated Deferred Stock Units (and, if applicable, hypothetical purchases of shares of Other Investment Funds) at Fair Market Value as of the effective date of a Diversification Election.</w:t>
      </w:r>
    </w:p>
    <w:p>
      <w:pPr>
        <w:spacing w:after="0" w:line="155" w:lineRule="exact"/>
        <w:rPr>
          <w:rFonts w:ascii="Arial" w:cs="Arial" w:eastAsia="Arial" w:hAnsi="Arial"/>
          <w:sz w:val="19"/>
          <w:szCs w:val="19"/>
          <w:color w:val="auto"/>
        </w:rPr>
      </w:pPr>
    </w:p>
    <w:p>
      <w:pPr>
        <w:ind w:left="1480" w:right="160" w:hanging="648"/>
        <w:spacing w:after="0" w:line="259" w:lineRule="auto"/>
        <w:tabs>
          <w:tab w:leader="none" w:pos="1480" w:val="left"/>
        </w:tabs>
        <w:numPr>
          <w:ilvl w:val="1"/>
          <w:numId w:val="150"/>
        </w:numPr>
        <w:rPr>
          <w:rFonts w:ascii="Arial" w:cs="Arial" w:eastAsia="Arial" w:hAnsi="Arial"/>
          <w:sz w:val="21"/>
          <w:szCs w:val="21"/>
          <w:color w:val="auto"/>
        </w:rPr>
      </w:pPr>
      <w:r>
        <w:rPr>
          <w:rFonts w:ascii="Arial" w:cs="Arial" w:eastAsia="Arial" w:hAnsi="Arial"/>
          <w:sz w:val="21"/>
          <w:szCs w:val="21"/>
          <w:u w:val="single" w:color="auto"/>
          <w:color w:val="auto"/>
        </w:rPr>
        <w:t>Diversification Limit</w:t>
      </w:r>
      <w:r>
        <w:rPr>
          <w:rFonts w:ascii="Arial" w:cs="Arial" w:eastAsia="Arial" w:hAnsi="Arial"/>
          <w:sz w:val="21"/>
          <w:szCs w:val="21"/>
          <w:color w:val="auto"/>
        </w:rPr>
        <w:t>. No Diversification Election or Special Diversification Election during a calendar year by an Eligible Employee shall be effective if the sum of (x) the value of the Eligible Employee’s Account in the 2005 Deferred Compensation Plan, plus (y) the value of the Eligible Employee’s Account in the 2002 Deferred Compensation Plan, plus (z) the value of the Eligible Employee’s Account in this Plan to the extent such Account is credited to the “Income Fund,” exceeds the “Contribution Limit” (as defined in the 2005 Deferred Compensation Plan) with respect to such calendar year, determined as of September 30th immediately preceding such calendar year.</w:t>
      </w:r>
    </w:p>
    <w:p>
      <w:pPr>
        <w:spacing w:after="0" w:line="183" w:lineRule="exact"/>
        <w:rPr>
          <w:rFonts w:ascii="Arial" w:cs="Arial" w:eastAsia="Arial" w:hAnsi="Arial"/>
          <w:sz w:val="21"/>
          <w:szCs w:val="21"/>
          <w:color w:val="auto"/>
        </w:rPr>
      </w:pPr>
    </w:p>
    <w:p>
      <w:pPr>
        <w:ind w:left="-460" w:firstLine="644"/>
        <w:spacing w:after="0" w:line="294" w:lineRule="auto"/>
        <w:tabs>
          <w:tab w:leader="none" w:pos="788"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Grantees’ Status as General Creditors</w:t>
      </w:r>
      <w:r>
        <w:rPr>
          <w:rFonts w:ascii="Arial" w:cs="Arial" w:eastAsia="Arial" w:hAnsi="Arial"/>
          <w:sz w:val="19"/>
          <w:szCs w:val="19"/>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ectPr>
          <w:pgSz w:w="11900" w:h="16838" w:orient="portrait"/>
          <w:cols w:equalWidth="0" w:num="1">
            <w:col w:w="10100"/>
          </w:cols>
          <w:pgMar w:left="1440" w:top="577" w:right="359" w:bottom="1440" w:gutter="0" w:footer="0" w:header="0"/>
        </w:sectPr>
      </w:pPr>
    </w:p>
    <w:bookmarkStart w:id="110" w:name="page111"/>
    <w:bookmarkEnd w:id="110"/>
    <w:p>
      <w:pPr>
        <w:ind w:left="4" w:firstLine="644"/>
        <w:spacing w:after="0" w:line="307" w:lineRule="auto"/>
        <w:tabs>
          <w:tab w:leader="none" w:pos="1144"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Non-Assignability, Etc</w:t>
      </w:r>
      <w:r>
        <w:rPr>
          <w:rFonts w:ascii="Arial" w:cs="Arial" w:eastAsia="Arial" w:hAnsi="Arial"/>
          <w:sz w:val="19"/>
          <w:szCs w:val="19"/>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37" w:lineRule="exact"/>
        <w:rPr>
          <w:rFonts w:ascii="Arial" w:cs="Arial" w:eastAsia="Arial" w:hAnsi="Arial"/>
          <w:sz w:val="19"/>
          <w:szCs w:val="19"/>
          <w:color w:val="auto"/>
        </w:rPr>
      </w:pPr>
    </w:p>
    <w:p>
      <w:pPr>
        <w:ind w:left="4" w:right="180" w:firstLine="644"/>
        <w:spacing w:after="0" w:line="248" w:lineRule="auto"/>
        <w:tabs>
          <w:tab w:leader="none" w:pos="1084" w:val="left"/>
        </w:tabs>
        <w:numPr>
          <w:ilvl w:val="1"/>
          <w:numId w:val="152"/>
        </w:numPr>
        <w:rPr>
          <w:rFonts w:ascii="Arial" w:cs="Arial" w:eastAsia="Arial" w:hAnsi="Arial"/>
          <w:sz w:val="22"/>
          <w:szCs w:val="22"/>
          <w:color w:val="auto"/>
        </w:rPr>
      </w:pPr>
      <w:r>
        <w:rPr>
          <w:rFonts w:ascii="Arial" w:cs="Arial" w:eastAsia="Arial" w:hAnsi="Arial"/>
          <w:sz w:val="22"/>
          <w:szCs w:val="22"/>
          <w:u w:val="single" w:color="auto"/>
          <w:color w:val="auto"/>
        </w:rPr>
        <w:t>Required Suspension of Payment of Benefits</w:t>
      </w:r>
      <w:r>
        <w:rPr>
          <w:rFonts w:ascii="Arial" w:cs="Arial" w:eastAsia="Arial" w:hAnsi="Arial"/>
          <w:sz w:val="22"/>
          <w:szCs w:val="22"/>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189" w:lineRule="exact"/>
        <w:rPr>
          <w:rFonts w:ascii="Arial" w:cs="Arial" w:eastAsia="Arial" w:hAnsi="Arial"/>
          <w:sz w:val="22"/>
          <w:szCs w:val="22"/>
          <w:color w:val="auto"/>
        </w:rPr>
      </w:pPr>
    </w:p>
    <w:p>
      <w:pPr>
        <w:ind w:left="344" w:hanging="344"/>
        <w:spacing w:after="0"/>
        <w:tabs>
          <w:tab w:leader="none" w:pos="344"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LAWS; TAXES</w:t>
      </w:r>
    </w:p>
    <w:p>
      <w:pPr>
        <w:spacing w:after="0" w:line="239" w:lineRule="exact"/>
        <w:rPr>
          <w:rFonts w:ascii="Arial" w:cs="Arial" w:eastAsia="Arial" w:hAnsi="Arial"/>
          <w:sz w:val="22"/>
          <w:szCs w:val="22"/>
          <w:b w:val="1"/>
          <w:bCs w:val="1"/>
          <w:color w:val="auto"/>
        </w:rPr>
      </w:pPr>
    </w:p>
    <w:p>
      <w:pPr>
        <w:ind w:left="4" w:right="20" w:firstLine="644"/>
        <w:spacing w:after="0" w:line="264" w:lineRule="auto"/>
        <w:tabs>
          <w:tab w:leader="none" w:pos="1072" w:val="left"/>
        </w:tabs>
        <w:numPr>
          <w:ilvl w:val="1"/>
          <w:numId w:val="153"/>
        </w:numPr>
        <w:rPr>
          <w:rFonts w:ascii="Arial" w:cs="Arial" w:eastAsia="Arial" w:hAnsi="Arial"/>
          <w:sz w:val="21"/>
          <w:szCs w:val="21"/>
          <w:color w:val="auto"/>
        </w:rPr>
      </w:pPr>
      <w:r>
        <w:rPr>
          <w:rFonts w:ascii="Arial" w:cs="Arial" w:eastAsia="Arial" w:hAnsi="Arial"/>
          <w:sz w:val="21"/>
          <w:szCs w:val="21"/>
          <w:u w:val="single" w:color="auto"/>
          <w:color w:val="auto"/>
        </w:rPr>
        <w:t>Securities Laws</w:t>
      </w:r>
      <w:r>
        <w:rPr>
          <w:rFonts w:ascii="Arial" w:cs="Arial" w:eastAsia="Arial" w:hAnsi="Arial"/>
          <w:sz w:val="21"/>
          <w:szCs w:val="21"/>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74" w:lineRule="exact"/>
        <w:rPr>
          <w:rFonts w:ascii="Arial" w:cs="Arial" w:eastAsia="Arial" w:hAnsi="Arial"/>
          <w:sz w:val="21"/>
          <w:szCs w:val="21"/>
          <w:color w:val="auto"/>
        </w:rPr>
      </w:pPr>
    </w:p>
    <w:p>
      <w:pPr>
        <w:ind w:left="4" w:right="20" w:firstLine="644"/>
        <w:spacing w:after="0" w:line="251" w:lineRule="auto"/>
        <w:tabs>
          <w:tab w:leader="none" w:pos="1084" w:val="left"/>
        </w:tabs>
        <w:numPr>
          <w:ilvl w:val="1"/>
          <w:numId w:val="153"/>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89" w:lineRule="exact"/>
        <w:rPr>
          <w:rFonts w:ascii="Arial" w:cs="Arial" w:eastAsia="Arial" w:hAnsi="Arial"/>
          <w:sz w:val="22"/>
          <w:szCs w:val="22"/>
          <w:color w:val="auto"/>
        </w:rPr>
      </w:pPr>
    </w:p>
    <w:p>
      <w:pPr>
        <w:ind w:left="1064" w:hanging="416"/>
        <w:spacing w:after="0"/>
        <w:tabs>
          <w:tab w:leader="none" w:pos="1064" w:val="left"/>
        </w:tabs>
        <w:numPr>
          <w:ilvl w:val="1"/>
          <w:numId w:val="153"/>
        </w:numPr>
        <w:rPr>
          <w:rFonts w:ascii="Arial" w:cs="Arial" w:eastAsia="Arial" w:hAnsi="Arial"/>
          <w:sz w:val="22"/>
          <w:szCs w:val="22"/>
          <w:color w:val="auto"/>
        </w:rPr>
      </w:pPr>
      <w:r>
        <w:rPr>
          <w:rFonts w:ascii="Arial" w:cs="Arial" w:eastAsia="Arial" w:hAnsi="Arial"/>
          <w:sz w:val="22"/>
          <w:szCs w:val="22"/>
          <w:u w:val="single" w:color="auto"/>
          <w:color w:val="auto"/>
        </w:rPr>
        <w:t>Payment of Tax Liabilities; Election to Withhold Shares or Pay Cash to Satisfy Tax Liability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944" w:right="160" w:hanging="648"/>
        <w:spacing w:after="0" w:line="297" w:lineRule="auto"/>
        <w:tabs>
          <w:tab w:leader="none" w:pos="1944" w:val="left"/>
        </w:tabs>
        <w:numPr>
          <w:ilvl w:val="2"/>
          <w:numId w:val="153"/>
        </w:numPr>
        <w:rPr>
          <w:rFonts w:ascii="Arial" w:cs="Arial" w:eastAsia="Arial" w:hAnsi="Arial"/>
          <w:sz w:val="19"/>
          <w:szCs w:val="19"/>
          <w:color w:val="auto"/>
        </w:rPr>
      </w:pPr>
      <w:r>
        <w:rPr>
          <w:rFonts w:ascii="Arial" w:cs="Arial" w:eastAsia="Arial" w:hAnsi="Arial"/>
          <w:sz w:val="19"/>
          <w:szCs w:val="19"/>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w:t>
      </w:r>
    </w:p>
    <w:p>
      <w:pPr>
        <w:sectPr>
          <w:pgSz w:w="11900" w:h="16838" w:orient="portrait"/>
          <w:cols w:equalWidth="0" w:num="1">
            <w:col w:w="10584"/>
          </w:cols>
          <w:pgMar w:left="976" w:top="604" w:right="339" w:bottom="1440" w:gutter="0" w:footer="0" w:header="0"/>
        </w:sectPr>
      </w:pPr>
    </w:p>
    <w:bookmarkStart w:id="111" w:name="page112"/>
    <w:bookmarkEnd w:id="111"/>
    <w:p>
      <w:pPr>
        <w:ind w:left="1480" w:right="120"/>
        <w:spacing w:after="0" w:line="226" w:lineRule="auto"/>
        <w:rPr>
          <w:sz w:val="20"/>
          <w:szCs w:val="20"/>
          <w:color w:val="auto"/>
        </w:rPr>
      </w:pPr>
      <w:r>
        <w:rPr>
          <w:rFonts w:ascii="Arial" w:cs="Arial" w:eastAsia="Arial" w:hAnsi="Arial"/>
          <w:sz w:val="21"/>
          <w:szCs w:val="21"/>
          <w:color w:val="auto"/>
        </w:rPr>
        <w:t>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86" w:lineRule="exact"/>
        <w:rPr>
          <w:sz w:val="20"/>
          <w:szCs w:val="20"/>
          <w:color w:val="auto"/>
        </w:rPr>
      </w:pPr>
    </w:p>
    <w:p>
      <w:pPr>
        <w:ind w:left="1480" w:right="20" w:hanging="648"/>
        <w:spacing w:after="0" w:line="289" w:lineRule="auto"/>
        <w:tabs>
          <w:tab w:leader="none" w:pos="148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Except as otherwise provided in this Paragraph 9(c)(ii), any tax withholding obligations incurred in connection with the grant of any Award, the occurrence of a Vesting Date under any Award under the Plan that is not subject to an Initial Deferral Election, Regular Deferral Election or Subsequent Deferral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more of the following:</w:t>
      </w:r>
    </w:p>
    <w:p>
      <w:pPr>
        <w:spacing w:after="0" w:line="156" w:lineRule="exact"/>
        <w:rPr>
          <w:rFonts w:ascii="Arial" w:cs="Arial" w:eastAsia="Arial" w:hAnsi="Arial"/>
          <w:sz w:val="19"/>
          <w:szCs w:val="19"/>
          <w:color w:val="auto"/>
        </w:rPr>
      </w:pPr>
    </w:p>
    <w:p>
      <w:pPr>
        <w:ind w:left="2120" w:right="60" w:hanging="640"/>
        <w:spacing w:after="0" w:line="247" w:lineRule="auto"/>
        <w:tabs>
          <w:tab w:leader="none" w:pos="212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To the extent permitted by applicable law,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w:t>
      </w:r>
    </w:p>
    <w:p>
      <w:pPr>
        <w:spacing w:after="0" w:line="192" w:lineRule="exact"/>
        <w:rPr>
          <w:rFonts w:ascii="Arial" w:cs="Arial" w:eastAsia="Arial" w:hAnsi="Arial"/>
          <w:sz w:val="22"/>
          <w:szCs w:val="22"/>
          <w:color w:val="auto"/>
        </w:rPr>
      </w:pPr>
    </w:p>
    <w:p>
      <w:pPr>
        <w:ind w:left="2120" w:hanging="640"/>
        <w:spacing w:after="0" w:line="290" w:lineRule="auto"/>
        <w:tabs>
          <w:tab w:leader="none" w:pos="212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With respect to tax liabilities arising on or after January 1, 2017, to have Shares otherwise deliverable to the Grantee after the application of the other provisions of this Paragraph 9(c) (ii) redeemed by the Company for the Fair Market Value of such Shares on the vesting date or other time of delivery of Shares, and have the cash proceeds of such redemption remitted by the Company to the Grantee to facilitate one or more estimated tax payments to the Internal Revenue Service or other taxing authority for the taxable year in which such vesting occurs, provided that the Grantee certifies in writing to the Company at the time of such election that the Grantee owns Other Available Shares</w:t>
      </w:r>
    </w:p>
    <w:p>
      <w:pPr>
        <w:sectPr>
          <w:pgSz w:w="11900" w:h="16838" w:orient="portrait"/>
          <w:cols w:equalWidth="0" w:num="1">
            <w:col w:w="10080"/>
          </w:cols>
          <w:pgMar w:left="1440" w:top="577" w:right="379" w:bottom="1440" w:gutter="0" w:footer="0" w:header="0"/>
        </w:sectPr>
      </w:pPr>
    </w:p>
    <w:bookmarkStart w:id="112" w:name="page113"/>
    <w:bookmarkEnd w:id="112"/>
    <w:p>
      <w:pPr>
        <w:ind w:left="2120" w:right="140"/>
        <w:spacing w:after="0" w:line="232" w:lineRule="auto"/>
        <w:rPr>
          <w:sz w:val="20"/>
          <w:szCs w:val="20"/>
          <w:color w:val="auto"/>
        </w:rPr>
      </w:pPr>
      <w:r>
        <w:rPr>
          <w:rFonts w:ascii="Arial" w:cs="Arial" w:eastAsia="Arial" w:hAnsi="Arial"/>
          <w:sz w:val="22"/>
          <w:szCs w:val="22"/>
          <w:color w:val="auto"/>
        </w:rPr>
        <w:t>having a Fair Market Value that is at least equal to the Fair Market Value of such Shares to be redeemed by the Company; and</w:t>
      </w:r>
    </w:p>
    <w:p>
      <w:pPr>
        <w:spacing w:after="0" w:line="186" w:lineRule="exact"/>
        <w:rPr>
          <w:sz w:val="20"/>
          <w:szCs w:val="20"/>
          <w:color w:val="auto"/>
        </w:rPr>
      </w:pPr>
    </w:p>
    <w:p>
      <w:pPr>
        <w:ind w:left="2120" w:right="400" w:hanging="640"/>
        <w:spacing w:after="0" w:line="263" w:lineRule="auto"/>
        <w:tabs>
          <w:tab w:leader="none" w:pos="21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To pay to the Company in cash all or a portion of the taxes to be withheld in connection with such grant, Vesting Date or Account distribution.</w:t>
      </w:r>
    </w:p>
    <w:p>
      <w:pPr>
        <w:spacing w:after="0" w:line="175" w:lineRule="exact"/>
        <w:rPr>
          <w:sz w:val="20"/>
          <w:szCs w:val="20"/>
          <w:color w:val="auto"/>
        </w:rPr>
      </w:pPr>
    </w:p>
    <w:p>
      <w:pPr>
        <w:ind w:left="1480"/>
        <w:spacing w:after="0" w:line="288" w:lineRule="auto"/>
        <w:rPr>
          <w:sz w:val="20"/>
          <w:szCs w:val="20"/>
          <w:color w:val="auto"/>
        </w:rPr>
      </w:pPr>
      <w:r>
        <w:rPr>
          <w:rFonts w:ascii="Arial" w:cs="Arial" w:eastAsia="Arial" w:hAnsi="Arial"/>
          <w:sz w:val="19"/>
          <w:szCs w:val="19"/>
          <w:color w:val="auto"/>
        </w:rPr>
        <w:t>In all cases, the Shares so withheld or redeemed by the Company, as applicable, shall have a Fair Market Value that does not exceed the amount of taxes to be withheld or remitted via estimated tax payments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or redeemed, as applicable, pursuant to this Paragraph 9(c)(ii) shall not be available for subsequent grants under the Plan. The Committee may add such other requirements and limitations regarding elections pursuant to this Paragraph 9(c)(ii) as it deems appropriate.</w:t>
      </w:r>
    </w:p>
    <w:p>
      <w:pPr>
        <w:spacing w:after="0" w:line="159" w:lineRule="exact"/>
        <w:rPr>
          <w:sz w:val="20"/>
          <w:szCs w:val="20"/>
          <w:color w:val="auto"/>
        </w:rPr>
      </w:pPr>
    </w:p>
    <w:p>
      <w:pPr>
        <w:ind w:left="1480" w:right="20" w:hanging="648"/>
        <w:spacing w:after="0" w:line="286" w:lineRule="auto"/>
        <w:tabs>
          <w:tab w:leader="none" w:pos="148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If part of a Grantee’s Award is subject to an Initial Deferral Election or a Regular Deferral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Deferral Election or Regular Deferral Election, the Grantee shall be required to remit to the Company an amount sufficient to satisfy any federal, state and/or local withholding tax requirements. As part of the Grantee’s Initial Deferral Election or Regular Deferral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w:t>
      </w:r>
    </w:p>
    <w:p>
      <w:pPr>
        <w:sectPr>
          <w:pgSz w:w="11900" w:h="16838" w:orient="portrait"/>
          <w:cols w:equalWidth="0" w:num="1">
            <w:col w:w="10100"/>
          </w:cols>
          <w:pgMar w:left="1440" w:top="577" w:right="359" w:bottom="1440" w:gutter="0" w:footer="0" w:header="0"/>
        </w:sectPr>
      </w:pPr>
    </w:p>
    <w:bookmarkStart w:id="113" w:name="page114"/>
    <w:bookmarkEnd w:id="113"/>
    <w:p>
      <w:pPr>
        <w:ind w:left="1944" w:right="100"/>
        <w:spacing w:after="0" w:line="252" w:lineRule="auto"/>
        <w:rPr>
          <w:sz w:val="20"/>
          <w:szCs w:val="20"/>
          <w:color w:val="auto"/>
        </w:rPr>
      </w:pPr>
      <w:r>
        <w:rPr>
          <w:rFonts w:ascii="Arial" w:cs="Arial" w:eastAsia="Arial" w:hAnsi="Arial"/>
          <w:sz w:val="19"/>
          <w:szCs w:val="19"/>
          <w:color w:val="auto"/>
        </w:rPr>
        <w:t>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170"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22"/>
          <w:szCs w:val="22"/>
          <w:b w:val="1"/>
          <w:bCs w:val="1"/>
          <w:color w:val="auto"/>
        </w:rPr>
        <w:t>10.</w:t>
        <w:tab/>
        <w:t>CHANGES IN CAPITALIZATION</w:t>
      </w:r>
    </w:p>
    <w:p>
      <w:pPr>
        <w:spacing w:after="0" w:line="239" w:lineRule="exact"/>
        <w:rPr>
          <w:sz w:val="20"/>
          <w:szCs w:val="20"/>
          <w:color w:val="auto"/>
        </w:rPr>
      </w:pPr>
    </w:p>
    <w:p>
      <w:pPr>
        <w:ind w:left="4" w:firstLine="648"/>
        <w:spacing w:after="0" w:line="259" w:lineRule="auto"/>
        <w:rPr>
          <w:sz w:val="20"/>
          <w:szCs w:val="20"/>
          <w:color w:val="auto"/>
        </w:rPr>
      </w:pPr>
      <w:r>
        <w:rPr>
          <w:rFonts w:ascii="Arial" w:cs="Arial" w:eastAsia="Arial" w:hAnsi="Arial"/>
          <w:sz w:val="21"/>
          <w:szCs w:val="21"/>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73" w:lineRule="exact"/>
        <w:rPr>
          <w:sz w:val="20"/>
          <w:szCs w:val="20"/>
          <w:color w:val="auto"/>
        </w:rPr>
      </w:pPr>
    </w:p>
    <w:p>
      <w:pPr>
        <w:ind w:left="444" w:hanging="444"/>
        <w:spacing w:after="0"/>
        <w:tabs>
          <w:tab w:leader="none" w:pos="444"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TERMINATING EVENTS</w:t>
      </w:r>
    </w:p>
    <w:p>
      <w:pPr>
        <w:spacing w:after="0" w:line="239" w:lineRule="exact"/>
        <w:rPr>
          <w:rFonts w:ascii="Arial" w:cs="Arial" w:eastAsia="Arial" w:hAnsi="Arial"/>
          <w:sz w:val="22"/>
          <w:szCs w:val="22"/>
          <w:b w:val="1"/>
          <w:bCs w:val="1"/>
          <w:color w:val="auto"/>
        </w:rPr>
      </w:pPr>
    </w:p>
    <w:p>
      <w:pPr>
        <w:ind w:left="4" w:firstLine="644"/>
        <w:spacing w:after="0" w:line="290" w:lineRule="auto"/>
        <w:tabs>
          <w:tab w:leader="none" w:pos="1338" w:val="left"/>
        </w:tabs>
        <w:numPr>
          <w:ilvl w:val="1"/>
          <w:numId w:val="157"/>
        </w:numPr>
        <w:rPr>
          <w:rFonts w:ascii="Arial" w:cs="Arial" w:eastAsia="Arial" w:hAnsi="Arial"/>
          <w:sz w:val="19"/>
          <w:szCs w:val="19"/>
          <w:color w:val="auto"/>
        </w:rPr>
      </w:pPr>
      <w:r>
        <w:rPr>
          <w:rFonts w:ascii="Arial" w:cs="Arial" w:eastAsia="Arial" w:hAnsi="Arial"/>
          <w:sz w:val="19"/>
          <w:szCs w:val="19"/>
          <w:color w:val="auto"/>
        </w:rPr>
        <w:t>The Committee shall give Grantees at least thirty (30) days’ notice (or, if not practicable, such shorter notice as may be reasonably practicable) prior to the anticipated date of the consummation of a Terminating Event. Except as otherwise provided in Paragraph 11(b),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54" w:lineRule="exact"/>
        <w:rPr>
          <w:rFonts w:ascii="Arial" w:cs="Arial" w:eastAsia="Arial" w:hAnsi="Arial"/>
          <w:sz w:val="19"/>
          <w:szCs w:val="19"/>
          <w:color w:val="auto"/>
        </w:rPr>
      </w:pPr>
    </w:p>
    <w:p>
      <w:pPr>
        <w:ind w:left="4" w:right="60" w:firstLine="644"/>
        <w:spacing w:after="0" w:line="251" w:lineRule="auto"/>
        <w:tabs>
          <w:tab w:leader="none" w:pos="1354" w:val="left"/>
        </w:tabs>
        <w:numPr>
          <w:ilvl w:val="1"/>
          <w:numId w:val="157"/>
        </w:numPr>
        <w:rPr>
          <w:rFonts w:ascii="Arial" w:cs="Arial" w:eastAsia="Arial" w:hAnsi="Arial"/>
          <w:sz w:val="22"/>
          <w:szCs w:val="22"/>
          <w:color w:val="auto"/>
        </w:rPr>
      </w:pPr>
      <w:r>
        <w:rPr>
          <w:rFonts w:ascii="Arial" w:cs="Arial" w:eastAsia="Arial" w:hAnsi="Arial"/>
          <w:sz w:val="22"/>
          <w:szCs w:val="22"/>
          <w:color w:val="auto"/>
        </w:rPr>
        <w:t>No amounts subject to an Award under the Plan that constitute “deferred compensation” (as defined in Section 409A) shall be subject to distribution before the scheduled vesting date for such distribution in connection with a Change in Control unless such Change in Control constitutes a change in the ownership or effective control of the Company, or in the ownership of a substantial portion of the Company’s assets (in either case, as defined in Section 409A of the Code), except to the extent that earlier</w:t>
      </w:r>
    </w:p>
    <w:p>
      <w:pPr>
        <w:sectPr>
          <w:pgSz w:w="11900" w:h="16838" w:orient="portrait"/>
          <w:cols w:equalWidth="0" w:num="1">
            <w:col w:w="10564"/>
          </w:cols>
          <w:pgMar w:left="976" w:top="577" w:right="35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distribution would not result in any obligation to pay interest or additional tax under Section 409A.</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1"/>
          <w:szCs w:val="21"/>
          <w:b w:val="1"/>
          <w:bCs w:val="1"/>
          <w:color w:val="auto"/>
        </w:rPr>
        <w:t>CLAIMS PROCEDURE</w:t>
      </w:r>
    </w:p>
    <w:p>
      <w:pPr>
        <w:spacing w:after="0" w:line="23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9"/>
          <w:szCs w:val="19"/>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An Applicant may file a claim for benefits with the Committee on a form supplied by the Committee. If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Committee wholly or partially denies a claim, the Committee shall provide the Applicant with a written notice stating:</w:t>
      </w:r>
    </w:p>
    <w:p>
      <w:pPr>
        <w:spacing w:after="0" w:line="236" w:lineRule="exact"/>
        <w:rPr>
          <w:sz w:val="20"/>
          <w:szCs w:val="20"/>
          <w:color w:val="auto"/>
        </w:rPr>
      </w:pPr>
    </w:p>
    <w:p>
      <w:pPr>
        <w:ind w:left="1060" w:hanging="416"/>
        <w:spacing w:after="0"/>
        <w:tabs>
          <w:tab w:leader="none" w:pos="106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33" w:lineRule="exact"/>
        <w:rPr>
          <w:rFonts w:ascii="Arial" w:cs="Arial" w:eastAsia="Arial" w:hAnsi="Arial"/>
          <w:sz w:val="22"/>
          <w:szCs w:val="22"/>
          <w:color w:val="auto"/>
        </w:rPr>
      </w:pPr>
    </w:p>
    <w:p>
      <w:pPr>
        <w:ind w:left="1080" w:hanging="436"/>
        <w:spacing w:after="0"/>
        <w:tabs>
          <w:tab w:leader="none" w:pos="10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33" w:lineRule="exact"/>
        <w:rPr>
          <w:rFonts w:ascii="Arial" w:cs="Arial" w:eastAsia="Arial" w:hAnsi="Arial"/>
          <w:sz w:val="22"/>
          <w:szCs w:val="22"/>
          <w:color w:val="auto"/>
        </w:rPr>
      </w:pPr>
    </w:p>
    <w:p>
      <w:pPr>
        <w:ind w:right="280" w:firstLine="644"/>
        <w:spacing w:after="0" w:line="276" w:lineRule="auto"/>
        <w:tabs>
          <w:tab w:leader="none" w:pos="106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Applicant to perfect the claim and an explanation of why such material or information is necessary; and</w:t>
      </w:r>
    </w:p>
    <w:p>
      <w:pPr>
        <w:spacing w:after="0" w:line="160" w:lineRule="exact"/>
        <w:rPr>
          <w:rFonts w:ascii="Arial" w:cs="Arial" w:eastAsia="Arial" w:hAnsi="Arial"/>
          <w:sz w:val="22"/>
          <w:szCs w:val="22"/>
          <w:color w:val="auto"/>
        </w:rPr>
      </w:pPr>
    </w:p>
    <w:p>
      <w:pPr>
        <w:ind w:left="1080" w:hanging="436"/>
        <w:spacing w:after="0"/>
        <w:tabs>
          <w:tab w:leader="none" w:pos="10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Appropriate information as to the steps to be taken in order to submit a claim for review.</w:t>
      </w:r>
    </w:p>
    <w:p>
      <w:pPr>
        <w:spacing w:after="0" w:line="233" w:lineRule="exact"/>
        <w:rPr>
          <w:sz w:val="20"/>
          <w:szCs w:val="20"/>
          <w:color w:val="auto"/>
        </w:rPr>
      </w:pPr>
    </w:p>
    <w:p>
      <w:pPr>
        <w:jc w:val="both"/>
        <w:ind w:right="220" w:firstLine="648"/>
        <w:spacing w:after="0" w:line="271" w:lineRule="auto"/>
        <w:rPr>
          <w:sz w:val="20"/>
          <w:szCs w:val="20"/>
          <w:color w:val="auto"/>
        </w:rPr>
      </w:pPr>
      <w:r>
        <w:rPr>
          <w:rFonts w:ascii="Arial" w:cs="Arial" w:eastAsia="Arial" w:hAnsi="Arial"/>
          <w:sz w:val="21"/>
          <w:szCs w:val="21"/>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67"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51"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ectPr>
          <w:pgSz w:w="11900" w:h="16838" w:orient="portrait"/>
          <w:cols w:equalWidth="0" w:num="1">
            <w:col w:w="10560"/>
          </w:cols>
          <w:pgMar w:left="980" w:top="604" w:right="359" w:bottom="1440" w:gutter="0" w:footer="0" w:header="0"/>
        </w:sectPr>
      </w:pPr>
    </w:p>
    <w:bookmarkStart w:id="115" w:name="page116"/>
    <w:bookmarkEnd w:id="115"/>
    <w:p>
      <w:pPr>
        <w:ind w:left="644"/>
        <w:spacing w:after="0"/>
        <w:rPr>
          <w:sz w:val="20"/>
          <w:szCs w:val="20"/>
          <w:color w:val="auto"/>
        </w:rPr>
      </w:pPr>
      <w:r>
        <w:rPr>
          <w:rFonts w:ascii="Arial" w:cs="Arial" w:eastAsia="Arial" w:hAnsi="Arial"/>
          <w:sz w:val="22"/>
          <w:szCs w:val="22"/>
          <w:color w:val="auto"/>
        </w:rPr>
        <w:t>Claims for benefits under the Plan must be filed with the Committee at the following address: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Comcast Corporation</w:t>
      </w:r>
    </w:p>
    <w:p>
      <w:pPr>
        <w:ind w:left="4"/>
        <w:spacing w:after="0" w:line="207" w:lineRule="auto"/>
        <w:rPr>
          <w:sz w:val="20"/>
          <w:szCs w:val="20"/>
          <w:color w:val="auto"/>
        </w:rPr>
      </w:pPr>
      <w:r>
        <w:rPr>
          <w:rFonts w:ascii="Arial" w:cs="Arial" w:eastAsia="Arial" w:hAnsi="Arial"/>
          <w:sz w:val="22"/>
          <w:szCs w:val="22"/>
          <w:color w:val="auto"/>
        </w:rPr>
        <w:t>One Comcast Center,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w:t>
      </w:r>
    </w:p>
    <w:p>
      <w:pPr>
        <w:ind w:left="4"/>
        <w:spacing w:after="0"/>
        <w:rPr>
          <w:sz w:val="20"/>
          <w:szCs w:val="20"/>
          <w:color w:val="auto"/>
        </w:rPr>
      </w:pPr>
      <w:r>
        <w:rPr>
          <w:rFonts w:ascii="Arial" w:cs="Arial" w:eastAsia="Arial" w:hAnsi="Arial"/>
          <w:sz w:val="22"/>
          <w:szCs w:val="22"/>
          <w:color w:val="auto"/>
        </w:rPr>
        <w:t>1701 John F. Kennedy Boulevard</w:t>
      </w:r>
    </w:p>
    <w:p>
      <w:pPr>
        <w:spacing w:after="0" w:line="3" w:lineRule="exact"/>
        <w:rPr>
          <w:sz w:val="20"/>
          <w:szCs w:val="20"/>
          <w:color w:val="auto"/>
        </w:rPr>
      </w:pPr>
    </w:p>
    <w:p>
      <w:pPr>
        <w:ind w:left="4"/>
        <w:spacing w:after="0"/>
        <w:rPr>
          <w:sz w:val="20"/>
          <w:szCs w:val="20"/>
          <w:color w:val="auto"/>
        </w:rPr>
      </w:pPr>
      <w:r>
        <w:rPr>
          <w:rFonts w:ascii="Arial" w:cs="Arial" w:eastAsia="Arial" w:hAnsi="Arial"/>
          <w:sz w:val="22"/>
          <w:szCs w:val="22"/>
          <w:color w:val="auto"/>
        </w:rPr>
        <w:t>Philadelphia, PA 19103-2838</w:t>
      </w:r>
    </w:p>
    <w:p>
      <w:pPr>
        <w:spacing w:after="0" w:line="4" w:lineRule="exact"/>
        <w:rPr>
          <w:sz w:val="20"/>
          <w:szCs w:val="20"/>
          <w:color w:val="auto"/>
        </w:rPr>
      </w:pPr>
    </w:p>
    <w:p>
      <w:pPr>
        <w:ind w:left="4"/>
        <w:spacing w:after="0"/>
        <w:rPr>
          <w:sz w:val="20"/>
          <w:szCs w:val="20"/>
          <w:color w:val="auto"/>
        </w:rPr>
      </w:pPr>
      <w:r>
        <w:rPr>
          <w:rFonts w:ascii="Arial" w:cs="Arial" w:eastAsia="Arial" w:hAnsi="Arial"/>
          <w:sz w:val="22"/>
          <w:szCs w:val="22"/>
          <w:color w:val="auto"/>
        </w:rPr>
        <w:t>Attention: General Counsel</w:t>
      </w:r>
    </w:p>
    <w:p>
      <w:pPr>
        <w:spacing w:after="0" w:line="196"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1"/>
          <w:szCs w:val="21"/>
          <w:b w:val="1"/>
          <w:bCs w:val="1"/>
          <w:color w:val="auto"/>
        </w:rPr>
        <w:t>REPAYMENT</w:t>
      </w:r>
    </w:p>
    <w:p>
      <w:pPr>
        <w:spacing w:after="0" w:line="239" w:lineRule="exact"/>
        <w:rPr>
          <w:sz w:val="20"/>
          <w:szCs w:val="20"/>
          <w:color w:val="auto"/>
        </w:rPr>
      </w:pPr>
    </w:p>
    <w:p>
      <w:pPr>
        <w:ind w:left="4" w:firstLine="648"/>
        <w:spacing w:after="0" w:line="284" w:lineRule="auto"/>
        <w:rPr>
          <w:sz w:val="20"/>
          <w:szCs w:val="20"/>
          <w:color w:val="auto"/>
        </w:rPr>
      </w:pPr>
      <w:r>
        <w:rPr>
          <w:rFonts w:ascii="Arial" w:cs="Arial" w:eastAsia="Arial" w:hAnsi="Arial"/>
          <w:sz w:val="19"/>
          <w:szCs w:val="19"/>
          <w:color w:val="auto"/>
        </w:rPr>
        <w:t>If it is determined by the Board that gross negligence, intentional misconduct or fraud by a Section 16 Officer or a former Section 16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 Officer or former Section 16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w:t>
      </w:r>
    </w:p>
    <w:p>
      <w:pPr>
        <w:spacing w:after="0" w:line="2" w:lineRule="exact"/>
        <w:rPr>
          <w:sz w:val="20"/>
          <w:szCs w:val="20"/>
          <w:color w:val="auto"/>
        </w:rPr>
      </w:pPr>
    </w:p>
    <w:p>
      <w:pPr>
        <w:ind w:left="4" w:right="100" w:hanging="4"/>
        <w:spacing w:after="0" w:line="259" w:lineRule="auto"/>
        <w:tabs>
          <w:tab w:leader="none" w:pos="322"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76"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22"/>
          <w:szCs w:val="22"/>
          <w:b w:val="1"/>
          <w:bCs w:val="1"/>
          <w:color w:val="auto"/>
        </w:rPr>
        <w:t>14.</w:t>
        <w:tab/>
        <w:t>AMENDMENT AND TERMINATION</w:t>
      </w:r>
    </w:p>
    <w:p>
      <w:pPr>
        <w:spacing w:after="0" w:line="239" w:lineRule="exact"/>
        <w:rPr>
          <w:sz w:val="20"/>
          <w:szCs w:val="20"/>
          <w:color w:val="auto"/>
        </w:rPr>
      </w:pPr>
    </w:p>
    <w:p>
      <w:pPr>
        <w:ind w:left="4" w:right="160" w:firstLine="648"/>
        <w:spacing w:after="0" w:line="253" w:lineRule="auto"/>
        <w:rPr>
          <w:sz w:val="20"/>
          <w:szCs w:val="20"/>
          <w:color w:val="auto"/>
        </w:rPr>
      </w:pPr>
      <w:r>
        <w:rPr>
          <w:rFonts w:ascii="Arial" w:cs="Arial" w:eastAsia="Arial" w:hAnsi="Arial"/>
          <w:sz w:val="22"/>
          <w:szCs w:val="22"/>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79"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22"/>
          <w:szCs w:val="22"/>
          <w:b w:val="1"/>
          <w:bCs w:val="1"/>
          <w:color w:val="auto"/>
        </w:rPr>
        <w:t>15.</w:t>
        <w:tab/>
        <w:t>INTERPRETATION</w:t>
      </w:r>
    </w:p>
    <w:p>
      <w:pPr>
        <w:spacing w:after="0" w:line="239" w:lineRule="exact"/>
        <w:rPr>
          <w:sz w:val="20"/>
          <w:szCs w:val="20"/>
          <w:color w:val="auto"/>
        </w:rPr>
      </w:pPr>
    </w:p>
    <w:p>
      <w:pPr>
        <w:ind w:left="4" w:right="200" w:firstLine="648"/>
        <w:spacing w:after="0" w:line="250" w:lineRule="auto"/>
        <w:rPr>
          <w:sz w:val="20"/>
          <w:szCs w:val="20"/>
          <w:color w:val="auto"/>
        </w:rPr>
      </w:pPr>
      <w:r>
        <w:rPr>
          <w:rFonts w:ascii="Arial" w:cs="Arial" w:eastAsia="Arial" w:hAnsi="Arial"/>
          <w:sz w:val="22"/>
          <w:szCs w:val="22"/>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Grantees and their beneficiaries.</w:t>
      </w:r>
    </w:p>
    <w:p>
      <w:pPr>
        <w:spacing w:after="0" w:line="182" w:lineRule="exact"/>
        <w:rPr>
          <w:sz w:val="20"/>
          <w:szCs w:val="20"/>
          <w:color w:val="auto"/>
        </w:rPr>
      </w:pPr>
    </w:p>
    <w:p>
      <w:pPr>
        <w:ind w:left="544" w:hanging="544"/>
        <w:spacing w:after="0"/>
        <w:tabs>
          <w:tab w:leader="none" w:pos="544"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TERM OF PLAN</w:t>
      </w:r>
    </w:p>
    <w:p>
      <w:pPr>
        <w:spacing w:after="0" w:line="22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 Plan shall expire on May 19, 2026, unless sooner terminated by the Board.</w:t>
      </w:r>
    </w:p>
    <w:p>
      <w:pPr>
        <w:sectPr>
          <w:pgSz w:w="11900" w:h="16838" w:orient="portrait"/>
          <w:cols w:equalWidth="0" w:num="1">
            <w:col w:w="10564"/>
          </w:cols>
          <w:pgMar w:left="976" w:top="604" w:right="359" w:bottom="1440" w:gutter="0" w:footer="0" w:header="0"/>
        </w:sectPr>
      </w:pPr>
    </w:p>
    <w:bookmarkStart w:id="116" w:name="page117"/>
    <w:bookmarkEnd w:id="116"/>
    <w:p>
      <w:pPr>
        <w:ind w:left="484" w:hanging="484"/>
        <w:spacing w:after="0"/>
        <w:tabs>
          <w:tab w:leader="none" w:pos="484"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ind w:left="4" w:firstLine="648"/>
        <w:spacing w:after="0" w:line="263" w:lineRule="auto"/>
        <w:rPr>
          <w:sz w:val="20"/>
          <w:szCs w:val="20"/>
          <w:color w:val="auto"/>
        </w:rPr>
      </w:pPr>
      <w:r>
        <w:rPr>
          <w:rFonts w:ascii="Arial" w:cs="Arial" w:eastAsia="Arial" w:hAnsi="Arial"/>
          <w:sz w:val="22"/>
          <w:szCs w:val="22"/>
          <w:color w:val="auto"/>
        </w:rPr>
        <w:t>The Plan and all determinations made and actions taken pursuant to the Plan shall be governed in accordance with Pennsylvania law.</w:t>
      </w:r>
    </w:p>
    <w:p>
      <w:pPr>
        <w:spacing w:after="0" w:line="17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Executed on the 10th day of April, 2020.</w:t>
      </w:r>
    </w:p>
    <w:p>
      <w:pPr>
        <w:spacing w:after="0" w:line="368" w:lineRule="exact"/>
        <w:rPr>
          <w:sz w:val="20"/>
          <w:szCs w:val="20"/>
          <w:color w:val="auto"/>
        </w:rPr>
      </w:pPr>
    </w:p>
    <w:p>
      <w:pPr>
        <w:ind w:left="4224"/>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6"/>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L. Cohen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24"/>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Thomas J. Reid</w:t>
      </w:r>
    </w:p>
    <w:p>
      <w:pPr>
        <w:sectPr>
          <w:pgSz w:w="11900" w:h="16838" w:orient="portrait"/>
          <w:cols w:equalWidth="0" w:num="1">
            <w:col w:w="10504"/>
          </w:cols>
          <w:pgMar w:left="976" w:top="598" w:right="4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2003 STOCK OPTION PLAN</w:t>
      </w:r>
    </w:p>
    <w:p>
      <w:pPr>
        <w:spacing w:after="0" w:line="220"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(As Amended and Restated Effective April 10, 2020)</w:t>
      </w:r>
    </w:p>
    <w:p>
      <w:pPr>
        <w:spacing w:after="0" w:line="301" w:lineRule="exact"/>
        <w:rPr>
          <w:sz w:val="20"/>
          <w:szCs w:val="20"/>
          <w:color w:val="auto"/>
        </w:rPr>
      </w:pPr>
    </w:p>
    <w:p>
      <w:pPr>
        <w:ind w:left="804" w:hanging="804"/>
        <w:spacing w:after="0"/>
        <w:tabs>
          <w:tab w:leader="none" w:pos="804"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 AND PURPOSE</w:t>
      </w:r>
    </w:p>
    <w:p>
      <w:pPr>
        <w:spacing w:after="0" w:line="212" w:lineRule="exact"/>
        <w:rPr>
          <w:rFonts w:ascii="Arial" w:cs="Arial" w:eastAsia="Arial" w:hAnsi="Arial"/>
          <w:sz w:val="22"/>
          <w:szCs w:val="22"/>
          <w:b w:val="1"/>
          <w:bCs w:val="1"/>
          <w:color w:val="auto"/>
        </w:rPr>
      </w:pPr>
    </w:p>
    <w:p>
      <w:pPr>
        <w:ind w:left="4" w:right="540" w:firstLine="644"/>
        <w:spacing w:after="0" w:line="276" w:lineRule="auto"/>
        <w:tabs>
          <w:tab w:leader="none" w:pos="1072"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Background</w:t>
      </w:r>
      <w:r>
        <w:rPr>
          <w:rFonts w:ascii="Arial" w:cs="Arial" w:eastAsia="Arial" w:hAnsi="Arial"/>
          <w:sz w:val="22"/>
          <w:szCs w:val="22"/>
          <w:color w:val="auto"/>
        </w:rPr>
        <w:t>. COMCAST CORPORATION, a Pennsylvania corporation hereby amends and restates the Comcast Corporation 2003 Stock Option Plan, (the “Plan”), effective April 10, 2020.</w:t>
      </w:r>
    </w:p>
    <w:p>
      <w:pPr>
        <w:spacing w:after="0" w:line="160" w:lineRule="exact"/>
        <w:rPr>
          <w:rFonts w:ascii="Arial" w:cs="Arial" w:eastAsia="Arial" w:hAnsi="Arial"/>
          <w:sz w:val="22"/>
          <w:szCs w:val="22"/>
          <w:color w:val="auto"/>
        </w:rPr>
      </w:pPr>
    </w:p>
    <w:p>
      <w:pPr>
        <w:ind w:left="4" w:right="200" w:firstLine="644"/>
        <w:spacing w:after="0" w:line="319" w:lineRule="auto"/>
        <w:tabs>
          <w:tab w:leader="none" w:pos="1084" w:val="left"/>
        </w:tabs>
        <w:numPr>
          <w:ilvl w:val="1"/>
          <w:numId w:val="162"/>
        </w:numPr>
        <w:rPr>
          <w:rFonts w:ascii="Arial" w:cs="Arial" w:eastAsia="Arial" w:hAnsi="Arial"/>
          <w:sz w:val="19"/>
          <w:szCs w:val="19"/>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27" w:lineRule="exact"/>
        <w:rPr>
          <w:rFonts w:ascii="Arial" w:cs="Arial" w:eastAsia="Arial" w:hAnsi="Arial"/>
          <w:sz w:val="19"/>
          <w:szCs w:val="19"/>
          <w:color w:val="auto"/>
        </w:rPr>
      </w:pPr>
    </w:p>
    <w:p>
      <w:pPr>
        <w:ind w:left="4" w:right="200" w:firstLine="644"/>
        <w:spacing w:after="0" w:line="259" w:lineRule="auto"/>
        <w:tabs>
          <w:tab w:leader="none" w:pos="1072"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Committee.</w:t>
      </w:r>
    </w:p>
    <w:p>
      <w:pPr>
        <w:spacing w:after="0" w:line="174" w:lineRule="exact"/>
        <w:rPr>
          <w:rFonts w:ascii="Arial" w:cs="Arial" w:eastAsia="Arial" w:hAnsi="Arial"/>
          <w:sz w:val="22"/>
          <w:szCs w:val="22"/>
          <w:color w:val="auto"/>
        </w:rPr>
      </w:pPr>
    </w:p>
    <w:p>
      <w:pPr>
        <w:ind w:left="344" w:hanging="344"/>
        <w:spacing w:after="0"/>
        <w:tabs>
          <w:tab w:leader="none" w:pos="344"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39" w:lineRule="exact"/>
        <w:rPr>
          <w:rFonts w:ascii="Arial" w:cs="Arial" w:eastAsia="Arial" w:hAnsi="Arial"/>
          <w:sz w:val="22"/>
          <w:szCs w:val="22"/>
          <w:b w:val="1"/>
          <w:bCs w:val="1"/>
          <w:color w:val="auto"/>
        </w:rPr>
      </w:pPr>
    </w:p>
    <w:p>
      <w:pPr>
        <w:ind w:left="4" w:right="20" w:firstLine="644"/>
        <w:spacing w:after="0" w:line="266" w:lineRule="auto"/>
        <w:tabs>
          <w:tab w:leader="none" w:pos="1072" w:val="left"/>
        </w:tabs>
        <w:numPr>
          <w:ilvl w:val="1"/>
          <w:numId w:val="1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3" w:lineRule="exact"/>
        <w:rPr>
          <w:rFonts w:ascii="Arial" w:cs="Arial" w:eastAsia="Arial" w:hAnsi="Arial"/>
          <w:sz w:val="21"/>
          <w:szCs w:val="21"/>
          <w:color w:val="auto"/>
        </w:rPr>
      </w:pPr>
    </w:p>
    <w:p>
      <w:pPr>
        <w:ind w:left="4" w:right="180" w:firstLine="644"/>
        <w:spacing w:after="0" w:line="276" w:lineRule="auto"/>
        <w:tabs>
          <w:tab w:leader="none" w:pos="1084" w:val="left"/>
        </w:tabs>
        <w:numPr>
          <w:ilvl w:val="1"/>
          <w:numId w:val="1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AT&amp;T Broadband Transaction</w:t>
      </w:r>
      <w:r>
        <w:rPr>
          <w:rFonts w:ascii="Arial" w:cs="Arial" w:eastAsia="Arial" w:hAnsi="Arial"/>
          <w:sz w:val="22"/>
          <w:szCs w:val="22"/>
          <w:color w:val="auto"/>
        </w:rPr>
        <w:t>” means the acquisition of AT&amp;T Broadband Corp. (now known as Comcast Cable Communications Holdings, Inc.) by the Sponsor.</w:t>
      </w:r>
    </w:p>
    <w:p>
      <w:pPr>
        <w:spacing w:after="0" w:line="160" w:lineRule="exact"/>
        <w:rPr>
          <w:rFonts w:ascii="Arial" w:cs="Arial" w:eastAsia="Arial" w:hAnsi="Arial"/>
          <w:sz w:val="22"/>
          <w:szCs w:val="22"/>
          <w:color w:val="auto"/>
        </w:rPr>
      </w:pPr>
    </w:p>
    <w:p>
      <w:pPr>
        <w:ind w:left="1064" w:hanging="416"/>
        <w:spacing w:after="0"/>
        <w:tabs>
          <w:tab w:leader="none" w:pos="1064" w:val="left"/>
        </w:tabs>
        <w:numPr>
          <w:ilvl w:val="1"/>
          <w:numId w:val="1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Sponsor.</w:t>
      </w:r>
    </w:p>
    <w:p>
      <w:pPr>
        <w:spacing w:after="0" w:line="233" w:lineRule="exact"/>
        <w:rPr>
          <w:rFonts w:ascii="Arial" w:cs="Arial" w:eastAsia="Arial" w:hAnsi="Arial"/>
          <w:sz w:val="22"/>
          <w:szCs w:val="22"/>
          <w:color w:val="auto"/>
        </w:rPr>
      </w:pPr>
    </w:p>
    <w:p>
      <w:pPr>
        <w:ind w:left="4" w:right="640" w:firstLine="644"/>
        <w:spacing w:after="0" w:line="276" w:lineRule="auto"/>
        <w:tabs>
          <w:tab w:leader="none" w:pos="1084" w:val="left"/>
        </w:tabs>
        <w:numPr>
          <w:ilvl w:val="1"/>
          <w:numId w:val="1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Right</w:t>
      </w:r>
      <w:r>
        <w:rPr>
          <w:rFonts w:ascii="Arial" w:cs="Arial" w:eastAsia="Arial" w:hAnsi="Arial"/>
          <w:sz w:val="22"/>
          <w:szCs w:val="22"/>
          <w:color w:val="auto"/>
        </w:rPr>
        <w:t>” means any right to receive cash in lieu of Shares granted under the Plan and described in Paragraph 3(a)(iii).</w:t>
      </w:r>
    </w:p>
    <w:p>
      <w:pPr>
        <w:spacing w:after="0" w:line="160" w:lineRule="exact"/>
        <w:rPr>
          <w:rFonts w:ascii="Arial" w:cs="Arial" w:eastAsia="Arial" w:hAnsi="Arial"/>
          <w:sz w:val="22"/>
          <w:szCs w:val="22"/>
          <w:color w:val="auto"/>
        </w:rPr>
      </w:pPr>
    </w:p>
    <w:p>
      <w:pPr>
        <w:ind w:left="4" w:right="160" w:firstLine="644"/>
        <w:spacing w:after="0" w:line="319" w:lineRule="auto"/>
        <w:tabs>
          <w:tab w:leader="none" w:pos="1072" w:val="left"/>
        </w:tabs>
        <w:numPr>
          <w:ilvl w:val="1"/>
          <w:numId w:val="1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fraud; (ii) misappropriation; (iii) embezzlement; (iv) gross negligence in the performance of duties; (v) self-dealing; (vi) dishonesty; (vii) misrepresentation; (viii) conviction of a crime of a felony; (ix) material violation of any Company policy; (x) material violation of the Sponsor’s Code of Conduct or, (xi) in</w:t>
      </w:r>
    </w:p>
    <w:p>
      <w:pPr>
        <w:sectPr>
          <w:pgSz w:w="11900" w:h="16838" w:orient="portrait"/>
          <w:cols w:equalWidth="0" w:num="1">
            <w:col w:w="10584"/>
          </w:cols>
          <w:pgMar w:left="976" w:top="1323" w:right="339" w:bottom="1440" w:gutter="0" w:footer="0" w:header="0"/>
        </w:sectPr>
      </w:pPr>
    </w:p>
    <w:bookmarkStart w:id="118" w:name="page119"/>
    <w:bookmarkEnd w:id="118"/>
    <w:p>
      <w:pPr>
        <w:ind w:right="220"/>
        <w:spacing w:after="0" w:line="253" w:lineRule="auto"/>
        <w:rPr>
          <w:sz w:val="20"/>
          <w:szCs w:val="20"/>
          <w:color w:val="auto"/>
        </w:rPr>
      </w:pPr>
      <w:r>
        <w:rPr>
          <w:rFonts w:ascii="Arial" w:cs="Arial" w:eastAsia="Arial" w:hAnsi="Arial"/>
          <w:sz w:val="22"/>
          <w:szCs w:val="22"/>
          <w:color w:val="auto"/>
        </w:rPr>
        <w:t>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85" w:lineRule="exact"/>
        <w:rPr>
          <w:sz w:val="20"/>
          <w:szCs w:val="20"/>
          <w:color w:val="auto"/>
        </w:rPr>
      </w:pPr>
    </w:p>
    <w:p>
      <w:pPr>
        <w:ind w:left="1040" w:hanging="396"/>
        <w:spacing w:after="0"/>
        <w:tabs>
          <w:tab w:leader="none" w:pos="104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one or more of the following events:</w:t>
      </w:r>
    </w:p>
    <w:p>
      <w:pPr>
        <w:spacing w:after="0" w:line="233" w:lineRule="exact"/>
        <w:rPr>
          <w:rFonts w:ascii="Arial" w:cs="Arial" w:eastAsia="Arial" w:hAnsi="Arial"/>
          <w:sz w:val="22"/>
          <w:szCs w:val="22"/>
          <w:color w:val="auto"/>
        </w:rPr>
      </w:pPr>
    </w:p>
    <w:p>
      <w:pPr>
        <w:ind w:left="1940" w:right="40" w:hanging="648"/>
        <w:spacing w:after="0" w:line="290" w:lineRule="auto"/>
        <w:tabs>
          <w:tab w:leader="none" w:pos="194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following February 22, 2016, any person or “group” (as defined in Section 13(d) of the Exchange Act) (each, a “Person”), other than an employee benefit plan or trust maintained by the Sponsor, becomes the “beneficial owner” (as defined in Rule 13d-3 under the Exchange Act), directly or indirectly, of securities of the Sponsor representing 30% or more of the combined voting power of the Sponsor’s outstanding securities entitled to vote generally in the election of directors, unless a majority of the directors of the Sponsor in office immediately preceding the date on which such Person acquires such beneficial ownership, by resolution negates the effectiveness of this provision in a particular circumstance);</w:t>
      </w:r>
    </w:p>
    <w:p>
      <w:pPr>
        <w:spacing w:after="0" w:line="155" w:lineRule="exact"/>
        <w:rPr>
          <w:rFonts w:ascii="Arial" w:cs="Arial" w:eastAsia="Arial" w:hAnsi="Arial"/>
          <w:sz w:val="19"/>
          <w:szCs w:val="19"/>
          <w:color w:val="auto"/>
        </w:rPr>
      </w:pPr>
    </w:p>
    <w:p>
      <w:pPr>
        <w:ind w:left="1940" w:right="100" w:hanging="648"/>
        <w:spacing w:after="0" w:line="297" w:lineRule="auto"/>
        <w:tabs>
          <w:tab w:leader="none" w:pos="194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146" w:lineRule="exact"/>
        <w:rPr>
          <w:rFonts w:ascii="Arial" w:cs="Arial" w:eastAsia="Arial" w:hAnsi="Arial"/>
          <w:sz w:val="19"/>
          <w:szCs w:val="19"/>
          <w:color w:val="auto"/>
        </w:rPr>
      </w:pPr>
    </w:p>
    <w:p>
      <w:pPr>
        <w:ind w:left="1940" w:hanging="648"/>
        <w:spacing w:after="0" w:line="288" w:lineRule="auto"/>
        <w:tabs>
          <w:tab w:leader="none" w:pos="194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the consummation of (x) a merger, consolidation, reorganization or similar corporate transaction involving the Sponsor or any of its subsidiaries with any other corporation or entity, which would result in combined voting power of the Sponsor’s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Sponsor or such surviving entity or parent outstanding immediately after such merger, consolidation, reorganization or other similar transaction, or (y) any sale, lease, exchange or other transfer to any Person of all or substantially all of the assets of the Sponsor, in one transaction or a series of related transactions; or</w:t>
      </w:r>
    </w:p>
    <w:p>
      <w:pPr>
        <w:sectPr>
          <w:pgSz w:w="11900" w:h="16838" w:orient="portrait"/>
          <w:cols w:equalWidth="0" w:num="1">
            <w:col w:w="10560"/>
          </w:cols>
          <w:pgMar w:left="980" w:top="1333" w:right="359" w:bottom="1440" w:gutter="0" w:footer="0" w:header="0"/>
        </w:sectPr>
      </w:pPr>
    </w:p>
    <w:bookmarkStart w:id="119" w:name="page120"/>
    <w:bookmarkEnd w:id="119"/>
    <w:p>
      <w:pPr>
        <w:ind w:left="1480" w:hanging="648"/>
        <w:spacing w:after="0"/>
        <w:tabs>
          <w:tab w:leader="none" w:pos="148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the approval by the shareholders of the Sponsor of a liquidation or dissolution of the Sponsor.</w:t>
      </w:r>
    </w:p>
    <w:p>
      <w:pPr>
        <w:spacing w:after="0" w:line="254" w:lineRule="exact"/>
        <w:rPr>
          <w:rFonts w:ascii="Arial" w:cs="Arial" w:eastAsia="Arial" w:hAnsi="Arial"/>
          <w:sz w:val="19"/>
          <w:szCs w:val="19"/>
          <w:color w:val="auto"/>
        </w:rPr>
      </w:pPr>
    </w:p>
    <w:p>
      <w:pPr>
        <w:ind w:left="620" w:hanging="436"/>
        <w:spacing w:after="0"/>
        <w:tabs>
          <w:tab w:leader="none" w:pos="62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color w:val="auto"/>
        </w:rPr>
      </w:pPr>
    </w:p>
    <w:p>
      <w:pPr>
        <w:jc w:val="both"/>
        <w:ind w:left="-460" w:firstLine="644"/>
        <w:spacing w:after="0" w:line="307" w:lineRule="auto"/>
        <w:tabs>
          <w:tab w:leader="none" w:pos="62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 Plan</w:t>
      </w:r>
      <w:r>
        <w:rPr>
          <w:rFonts w:ascii="Arial" w:cs="Arial" w:eastAsia="Arial" w:hAnsi="Arial"/>
          <w:sz w:val="19"/>
          <w:szCs w:val="19"/>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137" w:lineRule="exact"/>
        <w:rPr>
          <w:rFonts w:ascii="Arial" w:cs="Arial" w:eastAsia="Arial" w:hAnsi="Arial"/>
          <w:sz w:val="19"/>
          <w:szCs w:val="19"/>
          <w:color w:val="auto"/>
        </w:rPr>
      </w:pPr>
    </w:p>
    <w:p>
      <w:pPr>
        <w:ind w:left="560" w:hanging="376"/>
        <w:spacing w:after="0"/>
        <w:tabs>
          <w:tab w:leader="none" w:pos="56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committee described in Paragraph 5, provided that for purposes of Paragraph 7:</w:t>
      </w:r>
    </w:p>
    <w:p>
      <w:pPr>
        <w:spacing w:after="0" w:line="267" w:lineRule="exact"/>
        <w:rPr>
          <w:rFonts w:ascii="Arial" w:cs="Arial" w:eastAsia="Arial" w:hAnsi="Arial"/>
          <w:sz w:val="19"/>
          <w:szCs w:val="19"/>
          <w:color w:val="auto"/>
        </w:rPr>
      </w:pPr>
    </w:p>
    <w:p>
      <w:pPr>
        <w:ind w:left="1480" w:right="400" w:hanging="648"/>
        <w:spacing w:after="0" w:line="263" w:lineRule="auto"/>
        <w:tabs>
          <w:tab w:leader="none" w:pos="148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all references to the Committee shall be treated as references to the Board with respect to any Option granted to or held by a Non-Employee Director; and</w:t>
      </w:r>
    </w:p>
    <w:p>
      <w:pPr>
        <w:spacing w:after="0" w:line="174" w:lineRule="exact"/>
        <w:rPr>
          <w:rFonts w:ascii="Arial" w:cs="Arial" w:eastAsia="Arial" w:hAnsi="Arial"/>
          <w:sz w:val="22"/>
          <w:szCs w:val="22"/>
          <w:color w:val="auto"/>
        </w:rPr>
      </w:pPr>
    </w:p>
    <w:p>
      <w:pPr>
        <w:ind w:left="1480" w:right="180" w:hanging="648"/>
        <w:spacing w:after="0" w:line="253" w:lineRule="auto"/>
        <w:tabs>
          <w:tab w:leader="none" w:pos="148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all references to the Committee shall be treated as references to the Committee’s delegate with respect to any Option granted within the scope of the delegate’s authority pursuant to Paragraph 5(b).</w:t>
      </w:r>
    </w:p>
    <w:p>
      <w:pPr>
        <w:spacing w:after="0" w:line="185" w:lineRule="exact"/>
        <w:rPr>
          <w:rFonts w:ascii="Arial" w:cs="Arial" w:eastAsia="Arial" w:hAnsi="Arial"/>
          <w:sz w:val="22"/>
          <w:szCs w:val="22"/>
          <w:color w:val="auto"/>
        </w:rPr>
      </w:pPr>
    </w:p>
    <w:p>
      <w:pPr>
        <w:ind w:left="560" w:hanging="376"/>
        <w:spacing w:after="0"/>
        <w:tabs>
          <w:tab w:leader="none" w:pos="5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Sponsor’s Class A Common Stock, par value, $0.01.</w:t>
      </w:r>
    </w:p>
    <w:p>
      <w:pPr>
        <w:spacing w:after="0" w:line="233" w:lineRule="exact"/>
        <w:rPr>
          <w:rFonts w:ascii="Arial" w:cs="Arial" w:eastAsia="Arial" w:hAnsi="Arial"/>
          <w:sz w:val="22"/>
          <w:szCs w:val="22"/>
          <w:color w:val="auto"/>
        </w:rPr>
      </w:pPr>
    </w:p>
    <w:p>
      <w:pPr>
        <w:ind w:left="620" w:hanging="436"/>
        <w:spacing w:after="0"/>
        <w:tabs>
          <w:tab w:leader="none" w:pos="62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the Sponsor and the Subsidiary Companies.</w:t>
      </w:r>
    </w:p>
    <w:p>
      <w:pPr>
        <w:spacing w:after="0" w:line="233" w:lineRule="exact"/>
        <w:rPr>
          <w:rFonts w:ascii="Arial" w:cs="Arial" w:eastAsia="Arial" w:hAnsi="Arial"/>
          <w:sz w:val="22"/>
          <w:szCs w:val="22"/>
          <w:color w:val="auto"/>
        </w:rPr>
      </w:pPr>
    </w:p>
    <w:p>
      <w:pPr>
        <w:ind w:left="560" w:hanging="376"/>
        <w:spacing w:after="0"/>
        <w:tabs>
          <w:tab w:leader="none" w:pos="5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means the date as of which an Option is granted.</w:t>
      </w:r>
    </w:p>
    <w:p>
      <w:pPr>
        <w:spacing w:after="0" w:line="233" w:lineRule="exact"/>
        <w:rPr>
          <w:rFonts w:ascii="Arial" w:cs="Arial" w:eastAsia="Arial" w:hAnsi="Arial"/>
          <w:sz w:val="22"/>
          <w:szCs w:val="22"/>
          <w:color w:val="auto"/>
        </w:rPr>
      </w:pPr>
    </w:p>
    <w:p>
      <w:pPr>
        <w:ind w:left="-1120" w:right="680" w:firstLine="1304"/>
        <w:spacing w:after="0" w:line="276" w:lineRule="auto"/>
        <w:tabs>
          <w:tab w:leader="none" w:pos="66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spacing w:after="0" w:line="160" w:lineRule="exact"/>
        <w:rPr>
          <w:rFonts w:ascii="Arial" w:cs="Arial" w:eastAsia="Arial" w:hAnsi="Arial"/>
          <w:sz w:val="22"/>
          <w:szCs w:val="22"/>
          <w:color w:val="auto"/>
        </w:rPr>
      </w:pPr>
    </w:p>
    <w:p>
      <w:pPr>
        <w:ind w:left="620" w:hanging="436"/>
        <w:spacing w:after="0"/>
        <w:tabs>
          <w:tab w:leader="none" w:pos="62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1480" w:hanging="648"/>
        <w:spacing w:after="0"/>
        <w:tabs>
          <w:tab w:leader="none" w:pos="148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For any Incentive Stock Option, a disability within the meaning of section 22(e)(3) of the Code.</w:t>
      </w:r>
    </w:p>
    <w:p>
      <w:pPr>
        <w:spacing w:after="0" w:line="254" w:lineRule="exact"/>
        <w:rPr>
          <w:rFonts w:ascii="Arial" w:cs="Arial" w:eastAsia="Arial" w:hAnsi="Arial"/>
          <w:sz w:val="19"/>
          <w:szCs w:val="19"/>
          <w:color w:val="auto"/>
        </w:rPr>
      </w:pPr>
    </w:p>
    <w:p>
      <w:pPr>
        <w:ind w:left="1480" w:hanging="648"/>
        <w:spacing w:after="0"/>
        <w:tabs>
          <w:tab w:leader="none" w:pos="148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For any Non-Qualified Option:</w:t>
      </w:r>
    </w:p>
    <w:p>
      <w:pPr>
        <w:spacing w:after="0" w:line="219" w:lineRule="exact"/>
        <w:rPr>
          <w:rFonts w:ascii="Arial" w:cs="Arial" w:eastAsia="Arial" w:hAnsi="Arial"/>
          <w:sz w:val="22"/>
          <w:szCs w:val="22"/>
          <w:color w:val="auto"/>
        </w:rPr>
      </w:pPr>
    </w:p>
    <w:p>
      <w:pPr>
        <w:ind w:left="2120" w:hanging="640"/>
        <w:spacing w:after="0" w:line="302" w:lineRule="auto"/>
        <w:tabs>
          <w:tab w:leader="none" w:pos="2120" w:val="left"/>
        </w:tabs>
        <w:numPr>
          <w:ilvl w:val="2"/>
          <w:numId w:val="165"/>
        </w:numPr>
        <w:rPr>
          <w:rFonts w:ascii="Arial" w:cs="Arial" w:eastAsia="Arial" w:hAnsi="Arial"/>
          <w:sz w:val="19"/>
          <w:szCs w:val="19"/>
          <w:color w:val="auto"/>
        </w:rPr>
      </w:pPr>
      <w:r>
        <w:rPr>
          <w:rFonts w:ascii="Arial" w:cs="Arial" w:eastAsia="Arial" w:hAnsi="Arial"/>
          <w:sz w:val="19"/>
          <w:szCs w:val="19"/>
          <w:color w:val="auto"/>
        </w:rPr>
        <w:t>An Optionee’s substantially inability to perform the Optionee’s employment duties due to partial or total disability or incapacity resulting from a mental or physical illness, injury or other health-related cause for a period of twelve (12) consecutive months or for a cumulative period of fifty-two (52) weeks in any two calendar year period; or</w:t>
      </w:r>
    </w:p>
    <w:p>
      <w:pPr>
        <w:sectPr>
          <w:pgSz w:w="11900" w:h="16838" w:orient="portrait"/>
          <w:cols w:equalWidth="0" w:num="1">
            <w:col w:w="9940"/>
          </w:cols>
          <w:pgMar w:left="1440" w:top="1333" w:right="519" w:bottom="1440" w:gutter="0" w:footer="0" w:header="0"/>
        </w:sectPr>
      </w:pPr>
    </w:p>
    <w:bookmarkStart w:id="120" w:name="page121"/>
    <w:bookmarkEnd w:id="120"/>
    <w:p>
      <w:pPr>
        <w:ind w:left="2120" w:right="200" w:hanging="640"/>
        <w:spacing w:after="0" w:line="253" w:lineRule="auto"/>
        <w:tabs>
          <w:tab w:leader="none" w:pos="2120" w:val="left"/>
        </w:tabs>
        <w:numPr>
          <w:ilvl w:val="2"/>
          <w:numId w:val="166"/>
        </w:numPr>
        <w:rPr>
          <w:rFonts w:ascii="Arial" w:cs="Arial" w:eastAsia="Arial" w:hAnsi="Arial"/>
          <w:sz w:val="22"/>
          <w:szCs w:val="22"/>
          <w:color w:val="auto"/>
        </w:rPr>
      </w:pPr>
      <w:r>
        <w:rPr>
          <w:rFonts w:ascii="Arial" w:cs="Arial" w:eastAsia="Arial" w:hAnsi="Arial"/>
          <w:sz w:val="22"/>
          <w:szCs w:val="22"/>
          <w:color w:val="auto"/>
        </w:rPr>
        <w:t>If different from the definition in Paragraph 2(n)(ii)(A) above, “Disability” as it may be defined in such Optionee’s employment agreement between the Optionee and the Sponsor or an Affiliate, if any.</w:t>
      </w:r>
    </w:p>
    <w:p>
      <w:pPr>
        <w:spacing w:after="0" w:line="185" w:lineRule="exact"/>
        <w:rPr>
          <w:rFonts w:ascii="Arial" w:cs="Arial" w:eastAsia="Arial" w:hAnsi="Arial"/>
          <w:sz w:val="22"/>
          <w:szCs w:val="22"/>
          <w:color w:val="auto"/>
        </w:rPr>
      </w:pPr>
    </w:p>
    <w:p>
      <w:pPr>
        <w:ind w:left="620" w:hanging="436"/>
        <w:spacing w:after="0"/>
        <w:tabs>
          <w:tab w:leader="none" w:pos="6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480" w:right="20" w:hanging="648"/>
        <w:spacing w:after="0" w:line="290" w:lineRule="auto"/>
        <w:tabs>
          <w:tab w:leader="none" w:pos="1480" w:val="left"/>
        </w:tabs>
        <w:numPr>
          <w:ilvl w:val="1"/>
          <w:numId w:val="167"/>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55" w:lineRule="exact"/>
        <w:rPr>
          <w:rFonts w:ascii="Arial" w:cs="Arial" w:eastAsia="Arial" w:hAnsi="Arial"/>
          <w:sz w:val="19"/>
          <w:szCs w:val="19"/>
          <w:color w:val="auto"/>
        </w:rPr>
      </w:pPr>
    </w:p>
    <w:p>
      <w:pPr>
        <w:ind w:left="1480" w:hanging="648"/>
        <w:spacing w:after="0" w:line="294" w:lineRule="auto"/>
        <w:tabs>
          <w:tab w:leader="none" w:pos="1480" w:val="left"/>
        </w:tabs>
        <w:numPr>
          <w:ilvl w:val="1"/>
          <w:numId w:val="167"/>
        </w:numPr>
        <w:rPr>
          <w:rFonts w:ascii="Arial" w:cs="Arial" w:eastAsia="Arial" w:hAnsi="Arial"/>
          <w:sz w:val="19"/>
          <w:szCs w:val="19"/>
          <w:color w:val="auto"/>
        </w:rPr>
      </w:pPr>
      <w:r>
        <w:rPr>
          <w:rFonts w:ascii="Arial" w:cs="Arial" w:eastAsia="Arial" w:hAnsi="Arial"/>
          <w:sz w:val="19"/>
          <w:szCs w:val="19"/>
          <w:u w:val="single" w:color="auto"/>
          <w:color w:val="auto"/>
        </w:rPr>
        <w:t>Option Exercise and Tax Withholding</w:t>
      </w:r>
      <w:r>
        <w:rPr>
          <w:rFonts w:ascii="Arial" w:cs="Arial" w:eastAsia="Arial" w:hAnsi="Arial"/>
          <w:sz w:val="19"/>
          <w:szCs w:val="19"/>
          <w:color w:val="auto"/>
        </w:rPr>
        <w:t>. For purposes of Paragraph 7(d) and Paragraph 15 (except to the extent that the Optionee pays the full option price and all applicable withholding taxes in cash, by certified check or surrender or attestation to ownership of Shares, as described in Paragraph 7(d) (i), (ii) and (iii),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149" w:lineRule="exact"/>
        <w:rPr>
          <w:rFonts w:ascii="Arial" w:cs="Arial" w:eastAsia="Arial" w:hAnsi="Arial"/>
          <w:sz w:val="19"/>
          <w:szCs w:val="19"/>
          <w:color w:val="auto"/>
        </w:rPr>
      </w:pPr>
    </w:p>
    <w:p>
      <w:pPr>
        <w:ind w:left="-460" w:right="240" w:firstLine="644"/>
        <w:spacing w:after="0" w:line="276" w:lineRule="auto"/>
        <w:tabs>
          <w:tab w:leader="none" w:pos="6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has the meaning given to such term in General Instructions A.1(a)(5) to Form S-8 under the Securities Act of 1933, as amended, and any successor thereto.</w:t>
      </w:r>
    </w:p>
    <w:p>
      <w:pPr>
        <w:spacing w:after="0" w:line="160" w:lineRule="exact"/>
        <w:rPr>
          <w:rFonts w:ascii="Arial" w:cs="Arial" w:eastAsia="Arial" w:hAnsi="Arial"/>
          <w:sz w:val="22"/>
          <w:szCs w:val="22"/>
          <w:color w:val="auto"/>
        </w:rPr>
      </w:pPr>
    </w:p>
    <w:p>
      <w:pPr>
        <w:ind w:left="-460" w:right="160" w:firstLine="644"/>
        <w:spacing w:after="0" w:line="249" w:lineRule="auto"/>
        <w:tabs>
          <w:tab w:leader="none" w:pos="6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93" w:lineRule="exact"/>
        <w:rPr>
          <w:rFonts w:ascii="Arial" w:cs="Arial" w:eastAsia="Arial" w:hAnsi="Arial"/>
          <w:sz w:val="22"/>
          <w:szCs w:val="22"/>
          <w:color w:val="auto"/>
        </w:rPr>
      </w:pPr>
    </w:p>
    <w:p>
      <w:pPr>
        <w:ind w:left="-460" w:right="20" w:firstLine="644"/>
        <w:spacing w:after="0" w:line="276" w:lineRule="auto"/>
        <w:tabs>
          <w:tab w:leader="none" w:pos="58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Non-Employee Director</w:t>
      </w:r>
      <w:r>
        <w:rPr>
          <w:rFonts w:ascii="Arial" w:cs="Arial" w:eastAsia="Arial" w:hAnsi="Arial"/>
          <w:sz w:val="22"/>
          <w:szCs w:val="22"/>
          <w:color w:val="auto"/>
        </w:rPr>
        <w:t>” means an individual who is a member of the Board, and who is not an employee of a Company, including an individual who is a</w:t>
      </w:r>
    </w:p>
    <w:p>
      <w:pPr>
        <w:sectPr>
          <w:pgSz w:w="11900" w:h="16838" w:orient="portrait"/>
          <w:cols w:equalWidth="0" w:num="1">
            <w:col w:w="10100"/>
          </w:cols>
          <w:pgMar w:left="1440" w:top="1333" w:right="359" w:bottom="1440" w:gutter="0" w:footer="0" w:header="0"/>
        </w:sectPr>
      </w:pPr>
    </w:p>
    <w:bookmarkStart w:id="121" w:name="page122"/>
    <w:bookmarkEnd w:id="121"/>
    <w:p>
      <w:pPr>
        <w:spacing w:after="0"/>
        <w:rPr>
          <w:sz w:val="20"/>
          <w:szCs w:val="20"/>
          <w:color w:val="auto"/>
        </w:rPr>
      </w:pPr>
      <w:r>
        <w:rPr>
          <w:rFonts w:ascii="Arial" w:cs="Arial" w:eastAsia="Arial" w:hAnsi="Arial"/>
          <w:sz w:val="21"/>
          <w:szCs w:val="21"/>
          <w:color w:val="auto"/>
        </w:rPr>
        <w:t>member of the Board and who previously was, but at the time of reference is not, an employee of a Company.</w:t>
      </w:r>
    </w:p>
    <w:p>
      <w:pPr>
        <w:spacing w:after="0" w:line="231" w:lineRule="exact"/>
        <w:rPr>
          <w:sz w:val="20"/>
          <w:szCs w:val="20"/>
          <w:color w:val="auto"/>
        </w:rPr>
      </w:pPr>
    </w:p>
    <w:p>
      <w:pPr>
        <w:ind w:left="1060" w:hanging="416"/>
        <w:spacing w:after="0"/>
        <w:tabs>
          <w:tab w:leader="none" w:pos="10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Non-Qualified Option</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1940" w:right="80" w:hanging="648"/>
        <w:spacing w:after="0" w:line="343" w:lineRule="auto"/>
        <w:tabs>
          <w:tab w:leader="none" w:pos="194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an Option granted under the Plan, designated by the Committee at the time of such grant as a Non-Qualified Option and containing the terms specified herein for Non-Qualified Options; and</w:t>
      </w:r>
    </w:p>
    <w:p>
      <w:pPr>
        <w:spacing w:after="0" w:line="104" w:lineRule="exact"/>
        <w:rPr>
          <w:rFonts w:ascii="Arial" w:cs="Arial" w:eastAsia="Arial" w:hAnsi="Arial"/>
          <w:sz w:val="19"/>
          <w:szCs w:val="19"/>
          <w:color w:val="auto"/>
        </w:rPr>
      </w:pPr>
    </w:p>
    <w:p>
      <w:pPr>
        <w:ind w:left="1940" w:right="140" w:hanging="648"/>
        <w:spacing w:after="0" w:line="271" w:lineRule="auto"/>
        <w:tabs>
          <w:tab w:leader="none" w:pos="194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67" w:lineRule="exact"/>
        <w:rPr>
          <w:rFonts w:ascii="Arial" w:cs="Arial" w:eastAsia="Arial" w:hAnsi="Arial"/>
          <w:sz w:val="21"/>
          <w:szCs w:val="21"/>
          <w:color w:val="auto"/>
        </w:rPr>
      </w:pPr>
    </w:p>
    <w:p>
      <w:pPr>
        <w:ind w:left="1020" w:hanging="376"/>
        <w:spacing w:after="0"/>
        <w:tabs>
          <w:tab w:leader="none" w:pos="10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means an officer of the Sponsor (as defined in section 16 of the 1934 Act).</w:t>
      </w:r>
    </w:p>
    <w:p>
      <w:pPr>
        <w:spacing w:after="0" w:line="233" w:lineRule="exact"/>
        <w:rPr>
          <w:rFonts w:ascii="Arial" w:cs="Arial" w:eastAsia="Arial" w:hAnsi="Arial"/>
          <w:sz w:val="22"/>
          <w:szCs w:val="22"/>
          <w:color w:val="auto"/>
        </w:rPr>
      </w:pPr>
    </w:p>
    <w:p>
      <w:pPr>
        <w:ind w:left="1080" w:hanging="436"/>
        <w:spacing w:after="0"/>
        <w:tabs>
          <w:tab w:leader="none" w:pos="108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w:t>
      </w:r>
      <w:r>
        <w:rPr>
          <w:rFonts w:ascii="Arial" w:cs="Arial" w:eastAsia="Arial" w:hAnsi="Arial"/>
          <w:sz w:val="19"/>
          <w:szCs w:val="19"/>
          <w:color w:val="auto"/>
        </w:rPr>
        <w:t>” means any stock option granted under the Plan and described in Paragraph 3(a)(i) or Paragraph 3(a)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(ii).</w:t>
      </w:r>
    </w:p>
    <w:p>
      <w:pPr>
        <w:spacing w:after="0" w:line="215" w:lineRule="exact"/>
        <w:rPr>
          <w:sz w:val="20"/>
          <w:szCs w:val="20"/>
          <w:color w:val="auto"/>
        </w:rPr>
      </w:pPr>
    </w:p>
    <w:p>
      <w:pPr>
        <w:ind w:right="140" w:firstLine="644"/>
        <w:spacing w:after="0" w:line="276" w:lineRule="auto"/>
        <w:tabs>
          <w:tab w:leader="none" w:pos="10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Optionee</w:t>
      </w:r>
      <w:r>
        <w:rPr>
          <w:rFonts w:ascii="Arial" w:cs="Arial" w:eastAsia="Arial" w:hAnsi="Arial"/>
          <w:sz w:val="22"/>
          <w:szCs w:val="22"/>
          <w:color w:val="auto"/>
        </w:rPr>
        <w:t>” means a person to whom an Option has been granted under the Plan, which Option has not been exercised in full and has not expired or terminated.</w:t>
      </w:r>
    </w:p>
    <w:p>
      <w:pPr>
        <w:spacing w:after="0" w:line="160" w:lineRule="exact"/>
        <w:rPr>
          <w:rFonts w:ascii="Arial" w:cs="Arial" w:eastAsia="Arial" w:hAnsi="Arial"/>
          <w:sz w:val="22"/>
          <w:szCs w:val="22"/>
          <w:color w:val="auto"/>
        </w:rPr>
      </w:pPr>
    </w:p>
    <w:p>
      <w:pPr>
        <w:ind w:left="1120" w:hanging="476"/>
        <w:spacing w:after="0"/>
        <w:tabs>
          <w:tab w:leader="none" w:pos="11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Available Shares</w:t>
      </w:r>
      <w:r>
        <w:rPr>
          <w:rFonts w:ascii="Arial" w:cs="Arial" w:eastAsia="Arial" w:hAnsi="Arial"/>
          <w:sz w:val="22"/>
          <w:szCs w:val="22"/>
          <w:color w:val="auto"/>
        </w:rPr>
        <w:t>” means, as of any date, the sum of:</w:t>
      </w:r>
    </w:p>
    <w:p>
      <w:pPr>
        <w:spacing w:after="0" w:line="233" w:lineRule="exact"/>
        <w:rPr>
          <w:rFonts w:ascii="Arial" w:cs="Arial" w:eastAsia="Arial" w:hAnsi="Arial"/>
          <w:sz w:val="22"/>
          <w:szCs w:val="22"/>
          <w:color w:val="auto"/>
        </w:rPr>
      </w:pPr>
    </w:p>
    <w:p>
      <w:pPr>
        <w:ind w:left="1940" w:hanging="648"/>
        <w:spacing w:after="0" w:line="312" w:lineRule="auto"/>
        <w:tabs>
          <w:tab w:leader="none" w:pos="194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133" w:lineRule="exact"/>
        <w:rPr>
          <w:rFonts w:ascii="Arial" w:cs="Arial" w:eastAsia="Arial" w:hAnsi="Arial"/>
          <w:sz w:val="19"/>
          <w:szCs w:val="19"/>
          <w:color w:val="auto"/>
        </w:rPr>
      </w:pPr>
    </w:p>
    <w:p>
      <w:pPr>
        <w:ind w:left="1940" w:hanging="648"/>
        <w:spacing w:after="0"/>
        <w:tabs>
          <w:tab w:leader="none" w:pos="194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excess, if any of:</w:t>
      </w:r>
    </w:p>
    <w:p>
      <w:pPr>
        <w:spacing w:after="0" w:line="219" w:lineRule="exact"/>
        <w:rPr>
          <w:rFonts w:ascii="Arial" w:cs="Arial" w:eastAsia="Arial" w:hAnsi="Arial"/>
          <w:sz w:val="22"/>
          <w:szCs w:val="22"/>
          <w:color w:val="auto"/>
        </w:rPr>
      </w:pPr>
    </w:p>
    <w:p>
      <w:pPr>
        <w:ind w:left="2580" w:right="40" w:hanging="640"/>
        <w:spacing w:after="0" w:line="263" w:lineRule="auto"/>
        <w:tabs>
          <w:tab w:leader="none" w:pos="2580" w:val="left"/>
        </w:tabs>
        <w:numPr>
          <w:ilvl w:val="2"/>
          <w:numId w:val="169"/>
        </w:numPr>
        <w:rPr>
          <w:rFonts w:ascii="Arial" w:cs="Arial" w:eastAsia="Arial" w:hAnsi="Arial"/>
          <w:sz w:val="22"/>
          <w:szCs w:val="22"/>
          <w:color w:val="auto"/>
        </w:rPr>
      </w:pPr>
      <w:r>
        <w:rPr>
          <w:rFonts w:ascii="Arial" w:cs="Arial" w:eastAsia="Arial" w:hAnsi="Arial"/>
          <w:sz w:val="22"/>
          <w:szCs w:val="22"/>
          <w:color w:val="auto"/>
        </w:rPr>
        <w:t>the total number of Shares owned by an Optionee or such Optionee’s Family Member other than the Shares described in Paragraph 2(w)(i); over</w:t>
      </w:r>
    </w:p>
    <w:p>
      <w:pPr>
        <w:spacing w:after="0" w:line="174" w:lineRule="exact"/>
        <w:rPr>
          <w:rFonts w:ascii="Arial" w:cs="Arial" w:eastAsia="Arial" w:hAnsi="Arial"/>
          <w:sz w:val="22"/>
          <w:szCs w:val="22"/>
          <w:color w:val="auto"/>
        </w:rPr>
      </w:pPr>
    </w:p>
    <w:p>
      <w:pPr>
        <w:ind w:left="2580" w:hanging="640"/>
        <w:spacing w:after="0"/>
        <w:tabs>
          <w:tab w:leader="none" w:pos="2580" w:val="left"/>
        </w:tabs>
        <w:numPr>
          <w:ilvl w:val="2"/>
          <w:numId w:val="169"/>
        </w:numPr>
        <w:rPr>
          <w:rFonts w:ascii="Arial" w:cs="Arial" w:eastAsia="Arial" w:hAnsi="Arial"/>
          <w:sz w:val="22"/>
          <w:szCs w:val="22"/>
          <w:color w:val="auto"/>
        </w:rPr>
      </w:pPr>
      <w:r>
        <w:rPr>
          <w:rFonts w:ascii="Arial" w:cs="Arial" w:eastAsia="Arial" w:hAnsi="Arial"/>
          <w:sz w:val="22"/>
          <w:szCs w:val="22"/>
          <w:color w:val="auto"/>
        </w:rPr>
        <w:t>the sum of:</w:t>
      </w:r>
    </w:p>
    <w:p>
      <w:pPr>
        <w:spacing w:after="0" w:line="219" w:lineRule="exact"/>
        <w:rPr>
          <w:rFonts w:ascii="Arial" w:cs="Arial" w:eastAsia="Arial" w:hAnsi="Arial"/>
          <w:sz w:val="22"/>
          <w:szCs w:val="22"/>
          <w:color w:val="auto"/>
        </w:rPr>
      </w:pPr>
    </w:p>
    <w:p>
      <w:pPr>
        <w:ind w:left="1940" w:right="700" w:firstLine="648"/>
        <w:spacing w:after="0" w:line="276" w:lineRule="auto"/>
        <w:tabs>
          <w:tab w:leader="none" w:pos="3020" w:val="left"/>
        </w:tabs>
        <w:numPr>
          <w:ilvl w:val="3"/>
          <w:numId w:val="169"/>
        </w:numPr>
        <w:rPr>
          <w:rFonts w:ascii="Arial" w:cs="Arial" w:eastAsia="Arial" w:hAnsi="Arial"/>
          <w:sz w:val="22"/>
          <w:szCs w:val="22"/>
          <w:color w:val="auto"/>
        </w:rPr>
      </w:pPr>
      <w:r>
        <w:rPr>
          <w:rFonts w:ascii="Arial" w:cs="Arial" w:eastAsia="Arial" w:hAnsi="Arial"/>
          <w:sz w:val="22"/>
          <w:szCs w:val="22"/>
          <w:color w:val="auto"/>
        </w:rPr>
        <w:t>the number of such Shares owned by such Optionee or such Optionee’s Family Member for less than six months; plus</w:t>
      </w:r>
    </w:p>
    <w:p>
      <w:pPr>
        <w:spacing w:after="0" w:line="160" w:lineRule="exact"/>
        <w:rPr>
          <w:rFonts w:ascii="Arial" w:cs="Arial" w:eastAsia="Arial" w:hAnsi="Arial"/>
          <w:sz w:val="22"/>
          <w:szCs w:val="22"/>
          <w:color w:val="auto"/>
        </w:rPr>
      </w:pPr>
    </w:p>
    <w:p>
      <w:pPr>
        <w:ind w:left="1940" w:right="20" w:firstLine="648"/>
        <w:spacing w:after="0" w:line="254" w:lineRule="auto"/>
        <w:tabs>
          <w:tab w:leader="none" w:pos="3020" w:val="left"/>
        </w:tabs>
        <w:numPr>
          <w:ilvl w:val="3"/>
          <w:numId w:val="169"/>
        </w:numPr>
        <w:rPr>
          <w:rFonts w:ascii="Arial" w:cs="Arial" w:eastAsia="Arial" w:hAnsi="Arial"/>
          <w:sz w:val="22"/>
          <w:szCs w:val="22"/>
          <w:color w:val="auto"/>
        </w:rPr>
      </w:pPr>
      <w:r>
        <w:rPr>
          <w:rFonts w:ascii="Arial" w:cs="Arial" w:eastAsia="Arial" w:hAnsi="Arial"/>
          <w:sz w:val="22"/>
          <w:szCs w:val="22"/>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ectPr>
          <w:pgSz w:w="11900" w:h="16838" w:orient="portrait"/>
          <w:cols w:equalWidth="0" w:num="1">
            <w:col w:w="10540"/>
          </w:cols>
          <w:pgMar w:left="980" w:top="1333" w:right="379" w:bottom="1440" w:gutter="0" w:footer="0" w:header="0"/>
        </w:sectPr>
      </w:pPr>
    </w:p>
    <w:bookmarkStart w:id="122" w:name="page123"/>
    <w:bookmarkEnd w:id="122"/>
    <w:p>
      <w:pPr>
        <w:ind w:left="1940" w:right="160" w:firstLine="648"/>
        <w:spacing w:after="0" w:line="249" w:lineRule="auto"/>
        <w:tabs>
          <w:tab w:leader="none" w:pos="30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193" w:lineRule="exact"/>
        <w:rPr>
          <w:rFonts w:ascii="Arial" w:cs="Arial" w:eastAsia="Arial" w:hAnsi="Arial"/>
          <w:sz w:val="22"/>
          <w:szCs w:val="22"/>
          <w:color w:val="auto"/>
        </w:rPr>
      </w:pPr>
    </w:p>
    <w:p>
      <w:pPr>
        <w:ind w:left="1940" w:firstLine="648"/>
        <w:spacing w:after="0" w:line="307" w:lineRule="auto"/>
        <w:tabs>
          <w:tab w:leader="none" w:pos="302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number of such Shares owned by such Optionee or such Optionee’s Family 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138"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For purposes of this Paragraph 2(w),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an Optionee or such Optionee’s Family Member immediately before the consummation of the AT&amp;T Broadband Transaction that have converted into Common Stock.</w:t>
      </w:r>
    </w:p>
    <w:p>
      <w:pPr>
        <w:spacing w:after="0" w:line="192" w:lineRule="exact"/>
        <w:rPr>
          <w:sz w:val="20"/>
          <w:szCs w:val="20"/>
          <w:color w:val="auto"/>
        </w:rPr>
      </w:pPr>
    </w:p>
    <w:p>
      <w:pPr>
        <w:ind w:left="1080" w:hanging="436"/>
        <w:spacing w:after="0"/>
        <w:tabs>
          <w:tab w:leader="none" w:pos="108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right="560" w:firstLine="644"/>
        <w:spacing w:after="0" w:line="276" w:lineRule="auto"/>
        <w:tabs>
          <w:tab w:leader="none" w:pos="108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corporation, a partnership, an association, a trust or any other entity or organization.</w:t>
      </w:r>
    </w:p>
    <w:p>
      <w:pPr>
        <w:spacing w:after="0" w:line="160" w:lineRule="exact"/>
        <w:rPr>
          <w:rFonts w:ascii="Arial" w:cs="Arial" w:eastAsia="Arial" w:hAnsi="Arial"/>
          <w:sz w:val="22"/>
          <w:szCs w:val="22"/>
          <w:color w:val="auto"/>
        </w:rPr>
      </w:pPr>
    </w:p>
    <w:p>
      <w:pPr>
        <w:ind w:left="1060" w:hanging="416"/>
        <w:spacing w:after="0"/>
        <w:tabs>
          <w:tab w:leader="none" w:pos="10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2003 Stock Option Plan.</w:t>
      </w:r>
    </w:p>
    <w:p>
      <w:pPr>
        <w:spacing w:after="0" w:line="233" w:lineRule="exact"/>
        <w:rPr>
          <w:sz w:val="20"/>
          <w:szCs w:val="20"/>
          <w:color w:val="auto"/>
        </w:rPr>
      </w:pPr>
    </w:p>
    <w:p>
      <w:pPr>
        <w:ind w:left="1160" w:hanging="516"/>
        <w:spacing w:after="0"/>
        <w:tabs>
          <w:tab w:leader="none" w:pos="116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or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940" w:hanging="648"/>
        <w:spacing w:after="0"/>
        <w:tabs>
          <w:tab w:leader="none" w:pos="194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Except as provided in this Paragraph 2(aa), a share or shares of Common Stock.</w:t>
      </w:r>
    </w:p>
    <w:p>
      <w:pPr>
        <w:spacing w:after="0" w:line="219" w:lineRule="exact"/>
        <w:rPr>
          <w:rFonts w:ascii="Arial" w:cs="Arial" w:eastAsia="Arial" w:hAnsi="Arial"/>
          <w:sz w:val="22"/>
          <w:szCs w:val="22"/>
          <w:color w:val="auto"/>
        </w:rPr>
      </w:pPr>
    </w:p>
    <w:p>
      <w:pPr>
        <w:jc w:val="both"/>
        <w:ind w:left="1940" w:right="20" w:hanging="648"/>
        <w:spacing w:after="0" w:line="302" w:lineRule="auto"/>
        <w:tabs>
          <w:tab w:leader="none" w:pos="194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The term “Share” or “Shares” also means such other securities issued by the Sponsor as may be the subject of an adjustment under Paragraph 10, or for purposes of Paragraph 2(w) and Paragraph 15, as may have been the subject of a similar adjustment under similar provisions of a Comcast Plan as now in effect or as may have been in effect before the AT&amp;T Broadband Transaction.</w:t>
      </w:r>
    </w:p>
    <w:p>
      <w:pPr>
        <w:spacing w:after="0" w:line="142" w:lineRule="exact"/>
        <w:rPr>
          <w:rFonts w:ascii="Arial" w:cs="Arial" w:eastAsia="Arial" w:hAnsi="Arial"/>
          <w:sz w:val="19"/>
          <w:szCs w:val="19"/>
          <w:color w:val="auto"/>
        </w:rPr>
      </w:pPr>
    </w:p>
    <w:p>
      <w:pPr>
        <w:ind w:left="1180" w:hanging="536"/>
        <w:spacing w:after="0"/>
        <w:tabs>
          <w:tab w:leader="none" w:pos="118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[RESERVED]</w:t>
      </w:r>
    </w:p>
    <w:p>
      <w:pPr>
        <w:sectPr>
          <w:pgSz w:w="11900" w:h="16838" w:orient="portrait"/>
          <w:cols w:equalWidth="0" w:num="1">
            <w:col w:w="10540"/>
          </w:cols>
          <w:pgMar w:left="980" w:top="1333" w:right="379" w:bottom="1440" w:gutter="0" w:footer="0" w:header="0"/>
        </w:sectPr>
      </w:pPr>
    </w:p>
    <w:bookmarkStart w:id="123" w:name="page124"/>
    <w:bookmarkEnd w:id="123"/>
    <w:p>
      <w:pPr>
        <w:ind w:left="4" w:right="460" w:firstLine="644"/>
        <w:spacing w:after="0" w:line="301" w:lineRule="auto"/>
        <w:tabs>
          <w:tab w:leader="none" w:pos="1168" w:val="left"/>
        </w:tabs>
        <w:numPr>
          <w:ilvl w:val="1"/>
          <w:numId w:val="1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Sponsor</w:t>
      </w:r>
      <w:r>
        <w:rPr>
          <w:rFonts w:ascii="Arial" w:cs="Arial" w:eastAsia="Arial" w:hAnsi="Arial"/>
          <w:sz w:val="21"/>
          <w:szCs w:val="21"/>
          <w:color w:val="auto"/>
        </w:rPr>
        <w:t>” means Comcast Corporation, a Pennsylvania corporation, including any successor thereto by merger, consolidation, acquisition of all or substantially all the assets thereof, or otherwise.</w:t>
      </w:r>
    </w:p>
    <w:p>
      <w:pPr>
        <w:spacing w:after="0" w:line="136" w:lineRule="exact"/>
        <w:rPr>
          <w:rFonts w:ascii="Arial" w:cs="Arial" w:eastAsia="Arial" w:hAnsi="Arial"/>
          <w:sz w:val="21"/>
          <w:szCs w:val="21"/>
          <w:color w:val="auto"/>
        </w:rPr>
      </w:pPr>
    </w:p>
    <w:p>
      <w:pPr>
        <w:ind w:left="4" w:right="520" w:firstLine="644"/>
        <w:spacing w:after="0" w:line="276" w:lineRule="auto"/>
        <w:tabs>
          <w:tab w:leader="none" w:pos="1192" w:val="left"/>
        </w:tabs>
        <w:numPr>
          <w:ilvl w:val="1"/>
          <w:numId w:val="1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Companies</w:t>
      </w:r>
      <w:r>
        <w:rPr>
          <w:rFonts w:ascii="Arial" w:cs="Arial" w:eastAsia="Arial" w:hAnsi="Arial"/>
          <w:sz w:val="22"/>
          <w:szCs w:val="22"/>
          <w:color w:val="auto"/>
        </w:rPr>
        <w:t>” means all business entities that, at the time in question, are subsidiaries of the Sponsor within the meaning of section 424(f) of the Code.</w:t>
      </w:r>
    </w:p>
    <w:p>
      <w:pPr>
        <w:spacing w:after="0" w:line="160" w:lineRule="exact"/>
        <w:rPr>
          <w:rFonts w:ascii="Arial" w:cs="Arial" w:eastAsia="Arial" w:hAnsi="Arial"/>
          <w:sz w:val="22"/>
          <w:szCs w:val="22"/>
          <w:color w:val="auto"/>
        </w:rPr>
      </w:pPr>
    </w:p>
    <w:p>
      <w:pPr>
        <w:jc w:val="both"/>
        <w:ind w:left="4" w:right="260" w:firstLine="644"/>
        <w:spacing w:after="0" w:line="307" w:lineRule="auto"/>
        <w:tabs>
          <w:tab w:leader="none" w:pos="1168" w:val="left"/>
        </w:tabs>
        <w:numPr>
          <w:ilvl w:val="1"/>
          <w:numId w:val="1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Ten Percent Shareholder</w:t>
      </w:r>
      <w:r>
        <w:rPr>
          <w:rFonts w:ascii="Arial" w:cs="Arial" w:eastAsia="Arial" w:hAnsi="Arial"/>
          <w:sz w:val="19"/>
          <w:szCs w:val="19"/>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37" w:lineRule="exact"/>
        <w:rPr>
          <w:rFonts w:ascii="Arial" w:cs="Arial" w:eastAsia="Arial" w:hAnsi="Arial"/>
          <w:sz w:val="19"/>
          <w:szCs w:val="19"/>
          <w:color w:val="auto"/>
        </w:rPr>
      </w:pPr>
    </w:p>
    <w:p>
      <w:pPr>
        <w:ind w:left="1104" w:hanging="456"/>
        <w:spacing w:after="0"/>
        <w:tabs>
          <w:tab w:leader="none" w:pos="1104" w:val="left"/>
        </w:tabs>
        <w:numPr>
          <w:ilvl w:val="1"/>
          <w:numId w:val="1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Terminating Event</w:t>
      </w:r>
      <w:r>
        <w:rPr>
          <w:rFonts w:ascii="Arial" w:cs="Arial" w:eastAsia="Arial" w:hAnsi="Arial"/>
          <w:sz w:val="22"/>
          <w:szCs w:val="22"/>
          <w:color w:val="auto"/>
        </w:rPr>
        <w:t>” means a Change in Control.</w:t>
      </w:r>
    </w:p>
    <w:p>
      <w:pPr>
        <w:spacing w:after="0" w:line="233" w:lineRule="exact"/>
        <w:rPr>
          <w:rFonts w:ascii="Arial" w:cs="Arial" w:eastAsia="Arial" w:hAnsi="Arial"/>
          <w:sz w:val="22"/>
          <w:szCs w:val="22"/>
          <w:color w:val="auto"/>
        </w:rPr>
      </w:pPr>
    </w:p>
    <w:p>
      <w:pPr>
        <w:ind w:left="4" w:right="40" w:firstLine="644"/>
        <w:spacing w:after="0" w:line="276" w:lineRule="auto"/>
        <w:tabs>
          <w:tab w:leader="none" w:pos="1192" w:val="left"/>
        </w:tabs>
        <w:numPr>
          <w:ilvl w:val="1"/>
          <w:numId w:val="1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a Company, together with such Person’s Affiliates, provided that the term “Third Party” shall not include the Sponsor or an Affiliate of the Sponsor.</w:t>
      </w:r>
    </w:p>
    <w:p>
      <w:pPr>
        <w:spacing w:after="0" w:line="160" w:lineRule="exact"/>
        <w:rPr>
          <w:rFonts w:ascii="Arial" w:cs="Arial" w:eastAsia="Arial" w:hAnsi="Arial"/>
          <w:sz w:val="22"/>
          <w:szCs w:val="22"/>
          <w:color w:val="auto"/>
        </w:rPr>
      </w:pPr>
    </w:p>
    <w:p>
      <w:pPr>
        <w:ind w:left="1184" w:hanging="536"/>
        <w:spacing w:after="0"/>
        <w:tabs>
          <w:tab w:leader="none" w:pos="1184" w:val="left"/>
        </w:tabs>
        <w:numPr>
          <w:ilvl w:val="1"/>
          <w:numId w:val="1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1933 Act</w:t>
      </w:r>
      <w:r>
        <w:rPr>
          <w:rFonts w:ascii="Arial" w:cs="Arial" w:eastAsia="Arial" w:hAnsi="Arial"/>
          <w:sz w:val="22"/>
          <w:szCs w:val="22"/>
          <w:color w:val="auto"/>
        </w:rPr>
        <w:t>” means the Securities Act of 1933, as amended.</w:t>
      </w:r>
    </w:p>
    <w:p>
      <w:pPr>
        <w:spacing w:after="0" w:line="233" w:lineRule="exact"/>
        <w:rPr>
          <w:rFonts w:ascii="Arial" w:cs="Arial" w:eastAsia="Arial" w:hAnsi="Arial"/>
          <w:sz w:val="22"/>
          <w:szCs w:val="22"/>
          <w:color w:val="auto"/>
        </w:rPr>
      </w:pPr>
    </w:p>
    <w:p>
      <w:pPr>
        <w:ind w:left="1084" w:hanging="436"/>
        <w:spacing w:after="0"/>
        <w:tabs>
          <w:tab w:leader="none" w:pos="1084" w:val="left"/>
        </w:tabs>
        <w:numPr>
          <w:ilvl w:val="1"/>
          <w:numId w:val="1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227" w:lineRule="exact"/>
        <w:rPr>
          <w:rFonts w:ascii="Arial" w:cs="Arial" w:eastAsia="Arial" w:hAnsi="Arial"/>
          <w:sz w:val="22"/>
          <w:szCs w:val="22"/>
          <w:color w:val="auto"/>
        </w:rPr>
      </w:pPr>
    </w:p>
    <w:p>
      <w:pPr>
        <w:ind w:left="344" w:hanging="344"/>
        <w:spacing w:after="0"/>
        <w:tabs>
          <w:tab w:leader="none" w:pos="344"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RIGHTS TO BE GRANTED</w:t>
      </w:r>
    </w:p>
    <w:p>
      <w:pPr>
        <w:spacing w:after="0" w:line="239" w:lineRule="exact"/>
        <w:rPr>
          <w:rFonts w:ascii="Arial" w:cs="Arial" w:eastAsia="Arial" w:hAnsi="Arial"/>
          <w:sz w:val="22"/>
          <w:szCs w:val="22"/>
          <w:b w:val="1"/>
          <w:bCs w:val="1"/>
          <w:color w:val="auto"/>
        </w:rPr>
      </w:pPr>
    </w:p>
    <w:p>
      <w:pPr>
        <w:ind w:left="1064" w:hanging="416"/>
        <w:spacing w:after="0"/>
        <w:tabs>
          <w:tab w:leader="none" w:pos="1064" w:val="left"/>
        </w:tabs>
        <w:numPr>
          <w:ilvl w:val="1"/>
          <w:numId w:val="174"/>
        </w:numPr>
        <w:rPr>
          <w:rFonts w:ascii="Arial" w:cs="Arial" w:eastAsia="Arial" w:hAnsi="Arial"/>
          <w:sz w:val="21"/>
          <w:szCs w:val="21"/>
          <w:color w:val="auto"/>
        </w:rPr>
      </w:pPr>
      <w:r>
        <w:rPr>
          <w:rFonts w:ascii="Arial" w:cs="Arial" w:eastAsia="Arial" w:hAnsi="Arial"/>
          <w:sz w:val="21"/>
          <w:szCs w:val="21"/>
          <w:u w:val="single" w:color="auto"/>
          <w:color w:val="auto"/>
        </w:rPr>
        <w:t>Types of Options and Other Rights Available for Grant</w:t>
      </w:r>
      <w:r>
        <w:rPr>
          <w:rFonts w:ascii="Arial" w:cs="Arial" w:eastAsia="Arial" w:hAnsi="Arial"/>
          <w:sz w:val="21"/>
          <w:szCs w:val="21"/>
          <w:color w:val="auto"/>
        </w:rPr>
        <w:t>. Rights that may be granted under the Plan are:</w:t>
      </w:r>
    </w:p>
    <w:p>
      <w:pPr>
        <w:spacing w:after="0" w:line="244" w:lineRule="exact"/>
        <w:rPr>
          <w:rFonts w:ascii="Arial" w:cs="Arial" w:eastAsia="Arial" w:hAnsi="Arial"/>
          <w:sz w:val="21"/>
          <w:szCs w:val="21"/>
          <w:color w:val="auto"/>
        </w:rPr>
      </w:pPr>
    </w:p>
    <w:p>
      <w:pPr>
        <w:ind w:left="1944" w:right="100" w:hanging="648"/>
        <w:spacing w:after="0" w:line="253" w:lineRule="auto"/>
        <w:tabs>
          <w:tab w:leader="none" w:pos="1944" w:val="left"/>
        </w:tabs>
        <w:numPr>
          <w:ilvl w:val="2"/>
          <w:numId w:val="174"/>
        </w:numPr>
        <w:rPr>
          <w:rFonts w:ascii="Arial" w:cs="Arial" w:eastAsia="Arial" w:hAnsi="Arial"/>
          <w:sz w:val="22"/>
          <w:szCs w:val="22"/>
          <w:color w:val="auto"/>
        </w:rPr>
      </w:pPr>
      <w:r>
        <w:rPr>
          <w:rFonts w:ascii="Arial" w:cs="Arial" w:eastAsia="Arial" w:hAnsi="Arial"/>
          <w:sz w:val="22"/>
          <w:szCs w:val="22"/>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85" w:lineRule="exact"/>
        <w:rPr>
          <w:rFonts w:ascii="Arial" w:cs="Arial" w:eastAsia="Arial" w:hAnsi="Arial"/>
          <w:sz w:val="22"/>
          <w:szCs w:val="22"/>
          <w:color w:val="auto"/>
        </w:rPr>
      </w:pPr>
    </w:p>
    <w:p>
      <w:pPr>
        <w:ind w:left="1944" w:hanging="648"/>
        <w:spacing w:after="0" w:line="265" w:lineRule="exact"/>
        <w:tabs>
          <w:tab w:leader="none" w:pos="1944" w:val="left"/>
        </w:tabs>
        <w:numPr>
          <w:ilvl w:val="2"/>
          <w:numId w:val="174"/>
        </w:numPr>
        <w:rPr>
          <w:rFonts w:ascii="Arial" w:cs="Arial" w:eastAsia="Arial" w:hAnsi="Arial"/>
          <w:sz w:val="19"/>
          <w:szCs w:val="19"/>
          <w:color w:val="auto"/>
        </w:rPr>
      </w:pPr>
      <w:r>
        <w:rPr>
          <w:rFonts w:ascii="Arial" w:cs="Arial" w:eastAsia="Arial" w:hAnsi="Arial"/>
          <w:sz w:val="19"/>
          <w:szCs w:val="19"/>
          <w:color w:val="auto"/>
        </w:rPr>
        <w:t>Non</w:t>
      </w:r>
      <w:r>
        <w:rPr>
          <w:rFonts w:ascii="MS PGothic" w:cs="MS PGothic" w:eastAsia="MS PGothic" w:hAnsi="MS PGothic"/>
          <w:sz w:val="19"/>
          <w:szCs w:val="19"/>
          <w:color w:val="auto"/>
        </w:rPr>
        <w:t>‑</w:t>
      </w:r>
      <w:r>
        <w:rPr>
          <w:rFonts w:ascii="Arial" w:cs="Arial" w:eastAsia="Arial" w:hAnsi="Arial"/>
          <w:sz w:val="19"/>
          <w:szCs w:val="19"/>
          <w:color w:val="auto"/>
        </w:rPr>
        <w:t>Qualified Options, which give the Optionee the right for a specified time period to purchase a specified number of Shares for a price not less than the Fair Market Value on the Date of Grant; and</w:t>
      </w:r>
    </w:p>
    <w:p>
      <w:pPr>
        <w:spacing w:after="0" w:line="199" w:lineRule="exact"/>
        <w:rPr>
          <w:rFonts w:ascii="Arial" w:cs="Arial" w:eastAsia="Arial" w:hAnsi="Arial"/>
          <w:sz w:val="19"/>
          <w:szCs w:val="19"/>
          <w:color w:val="auto"/>
        </w:rPr>
      </w:pPr>
    </w:p>
    <w:p>
      <w:pPr>
        <w:ind w:left="1944" w:right="140" w:hanging="648"/>
        <w:spacing w:after="0" w:line="263" w:lineRule="auto"/>
        <w:tabs>
          <w:tab w:leader="none" w:pos="1944" w:val="left"/>
        </w:tabs>
        <w:numPr>
          <w:ilvl w:val="2"/>
          <w:numId w:val="174"/>
        </w:numPr>
        <w:rPr>
          <w:rFonts w:ascii="Arial" w:cs="Arial" w:eastAsia="Arial" w:hAnsi="Arial"/>
          <w:sz w:val="21"/>
          <w:szCs w:val="21"/>
          <w:color w:val="auto"/>
        </w:rPr>
      </w:pPr>
      <w:r>
        <w:rPr>
          <w:rFonts w:ascii="Arial" w:cs="Arial" w:eastAsia="Arial" w:hAnsi="Arial"/>
          <w:sz w:val="21"/>
          <w:szCs w:val="21"/>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w:t>
      </w:r>
    </w:p>
    <w:p>
      <w:pPr>
        <w:sectPr>
          <w:pgSz w:w="11900" w:h="16838" w:orient="portrait"/>
          <w:cols w:equalWidth="0" w:num="1">
            <w:col w:w="10584"/>
          </w:cols>
          <w:pgMar w:left="976" w:top="1333" w:right="339" w:bottom="1440" w:gutter="0" w:footer="0" w:header="0"/>
        </w:sectPr>
      </w:pPr>
    </w:p>
    <w:bookmarkStart w:id="124" w:name="page125"/>
    <w:bookmarkEnd w:id="124"/>
    <w:p>
      <w:pPr>
        <w:ind w:left="1944"/>
        <w:spacing w:after="0"/>
        <w:rPr>
          <w:sz w:val="20"/>
          <w:szCs w:val="20"/>
          <w:color w:val="auto"/>
        </w:rPr>
      </w:pPr>
      <w:r>
        <w:rPr>
          <w:rFonts w:ascii="Arial" w:cs="Arial" w:eastAsia="Arial" w:hAnsi="Arial"/>
          <w:sz w:val="19"/>
          <w:szCs w:val="19"/>
          <w:color w:val="auto"/>
        </w:rPr>
        <w:t>Value of Share on the date of grant of a Cash Right, in lieu of exercising a Non-Qualified Option.</w:t>
      </w:r>
    </w:p>
    <w:p>
      <w:pPr>
        <w:spacing w:after="0" w:line="241" w:lineRule="exact"/>
        <w:rPr>
          <w:sz w:val="20"/>
          <w:szCs w:val="20"/>
          <w:color w:val="auto"/>
        </w:rPr>
      </w:pPr>
    </w:p>
    <w:p>
      <w:pPr>
        <w:ind w:left="4" w:right="80" w:firstLine="644"/>
        <w:spacing w:after="0" w:line="301" w:lineRule="auto"/>
        <w:tabs>
          <w:tab w:leader="none" w:pos="1084" w:val="left"/>
        </w:tabs>
        <w:numPr>
          <w:ilvl w:val="1"/>
          <w:numId w:val="175"/>
        </w:numPr>
        <w:rPr>
          <w:rFonts w:ascii="Arial" w:cs="Arial" w:eastAsia="Arial" w:hAnsi="Arial"/>
          <w:sz w:val="21"/>
          <w:szCs w:val="21"/>
          <w:color w:val="auto"/>
        </w:rPr>
      </w:pPr>
      <w:r>
        <w:rPr>
          <w:rFonts w:ascii="Arial" w:cs="Arial" w:eastAsia="Arial" w:hAnsi="Arial"/>
          <w:sz w:val="21"/>
          <w:szCs w:val="21"/>
          <w:u w:val="single" w:color="auto"/>
          <w:color w:val="auto"/>
        </w:rPr>
        <w:t>Limit on Grant of Options</w:t>
      </w:r>
      <w:r>
        <w:rPr>
          <w:rFonts w:ascii="Arial" w:cs="Arial" w:eastAsia="Arial" w:hAnsi="Arial"/>
          <w:sz w:val="21"/>
          <w:szCs w:val="21"/>
          <w:color w:val="auto"/>
        </w:rPr>
        <w:t>. The maximum number of Shares for which Options may be granted to any single individual in any calendar year, adjusted as provided in Paragraph 10, shall be 30,000,000 Shares.</w:t>
      </w:r>
    </w:p>
    <w:p>
      <w:pPr>
        <w:spacing w:after="0" w:line="136" w:lineRule="exact"/>
        <w:rPr>
          <w:rFonts w:ascii="Arial" w:cs="Arial" w:eastAsia="Arial" w:hAnsi="Arial"/>
          <w:sz w:val="21"/>
          <w:szCs w:val="21"/>
          <w:color w:val="auto"/>
        </w:rPr>
      </w:pPr>
    </w:p>
    <w:p>
      <w:pPr>
        <w:ind w:left="4" w:right="20" w:firstLine="644"/>
        <w:spacing w:after="0" w:line="259" w:lineRule="auto"/>
        <w:tabs>
          <w:tab w:leader="none" w:pos="1072" w:val="left"/>
        </w:tabs>
        <w:numPr>
          <w:ilvl w:val="1"/>
          <w:numId w:val="175"/>
        </w:numPr>
        <w:rPr>
          <w:rFonts w:ascii="Arial" w:cs="Arial" w:eastAsia="Arial" w:hAnsi="Arial"/>
          <w:sz w:val="22"/>
          <w:szCs w:val="22"/>
          <w:color w:val="auto"/>
        </w:rPr>
      </w:pPr>
      <w:r>
        <w:rPr>
          <w:rFonts w:ascii="Arial" w:cs="Arial" w:eastAsia="Arial" w:hAnsi="Arial"/>
          <w:sz w:val="22"/>
          <w:szCs w:val="22"/>
          <w:u w:val="single" w:color="auto"/>
          <w:color w:val="auto"/>
        </w:rPr>
        <w:t>Limit on Term of Options</w:t>
      </w:r>
      <w:r>
        <w:rPr>
          <w:rFonts w:ascii="Arial" w:cs="Arial" w:eastAsia="Arial" w:hAnsi="Arial"/>
          <w:sz w:val="22"/>
          <w:szCs w:val="22"/>
          <w:color w:val="auto"/>
        </w:rPr>
        <w:t>. In no event shall (i) an Incentive Stock Option be exercisable after five years from the Date of Grant in the case of a grant to a Ten Percent Shareholder and (ii) any other Option be exercisable after ten years from the Date of Grant.</w:t>
      </w:r>
    </w:p>
    <w:p>
      <w:pPr>
        <w:spacing w:after="0" w:line="174" w:lineRule="exact"/>
        <w:rPr>
          <w:rFonts w:ascii="Arial" w:cs="Arial" w:eastAsia="Arial" w:hAnsi="Arial"/>
          <w:sz w:val="22"/>
          <w:szCs w:val="22"/>
          <w:color w:val="auto"/>
        </w:rPr>
      </w:pPr>
    </w:p>
    <w:p>
      <w:pPr>
        <w:ind w:left="344" w:hanging="344"/>
        <w:spacing w:after="0"/>
        <w:tabs>
          <w:tab w:leader="none" w:pos="344"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PLAN</w:t>
      </w:r>
    </w:p>
    <w:p>
      <w:pPr>
        <w:spacing w:after="0" w:line="239" w:lineRule="exact"/>
        <w:rPr>
          <w:rFonts w:ascii="Arial" w:cs="Arial" w:eastAsia="Arial" w:hAnsi="Arial"/>
          <w:sz w:val="22"/>
          <w:szCs w:val="22"/>
          <w:b w:val="1"/>
          <w:bCs w:val="1"/>
          <w:color w:val="auto"/>
        </w:rPr>
      </w:pPr>
    </w:p>
    <w:p>
      <w:pPr>
        <w:ind w:left="4" w:firstLine="644"/>
        <w:spacing w:after="0" w:line="297" w:lineRule="auto"/>
        <w:tabs>
          <w:tab w:leader="none" w:pos="1072" w:val="left"/>
        </w:tabs>
        <w:numPr>
          <w:ilvl w:val="1"/>
          <w:numId w:val="176"/>
        </w:numPr>
        <w:rPr>
          <w:rFonts w:ascii="Arial" w:cs="Arial" w:eastAsia="Arial" w:hAnsi="Arial"/>
          <w:sz w:val="19"/>
          <w:szCs w:val="19"/>
          <w:color w:val="auto"/>
        </w:rPr>
      </w:pPr>
      <w:r>
        <w:rPr>
          <w:rFonts w:ascii="Arial" w:cs="Arial" w:eastAsia="Arial" w:hAnsi="Arial"/>
          <w:sz w:val="19"/>
          <w:szCs w:val="19"/>
          <w:u w:val="single" w:color="auto"/>
          <w:color w:val="auto"/>
        </w:rPr>
        <w:t>Shares Available For Grant</w:t>
      </w:r>
      <w:r>
        <w:rPr>
          <w:rFonts w:ascii="Arial" w:cs="Arial" w:eastAsia="Arial" w:hAnsi="Arial"/>
          <w:sz w:val="19"/>
          <w:szCs w:val="19"/>
          <w:color w:val="auto"/>
        </w:rPr>
        <w:t>. Subject to adjustment as provided in Paragraph 10, not more than 688 million Shares in the aggregate may be issued pursuant to the Plan upon exercise of Options, provided that subject to the approval of the Sponsor’s shareholders at the Sponsor’s Annual Meeting of Shareholders to be held in 2020, the number of Shares in the aggregate that may be issued under the Plan pursuant to the exercise of Options, subject to adjustment in accordance with Paragraph 10, shall be increased from 688 million to 1,039,000,000. Shares delivered pursuant to the exercise of an Option may, at the Sponsor’s option, be either treasury Shares or Shares originally issued for such purpose.</w:t>
      </w:r>
    </w:p>
    <w:p>
      <w:pPr>
        <w:spacing w:after="0" w:line="146" w:lineRule="exact"/>
        <w:rPr>
          <w:rFonts w:ascii="Arial" w:cs="Arial" w:eastAsia="Arial" w:hAnsi="Arial"/>
          <w:sz w:val="19"/>
          <w:szCs w:val="19"/>
          <w:color w:val="auto"/>
        </w:rPr>
      </w:pPr>
    </w:p>
    <w:p>
      <w:pPr>
        <w:jc w:val="both"/>
        <w:ind w:left="4" w:right="40" w:firstLine="644"/>
        <w:spacing w:after="0" w:line="259" w:lineRule="auto"/>
        <w:tabs>
          <w:tab w:leader="none" w:pos="1084" w:val="left"/>
        </w:tabs>
        <w:numPr>
          <w:ilvl w:val="1"/>
          <w:numId w:val="176"/>
        </w:numPr>
        <w:rPr>
          <w:rFonts w:ascii="Arial" w:cs="Arial" w:eastAsia="Arial" w:hAnsi="Arial"/>
          <w:sz w:val="22"/>
          <w:szCs w:val="22"/>
          <w:color w:val="auto"/>
        </w:rPr>
      </w:pPr>
      <w:r>
        <w:rPr>
          <w:rFonts w:ascii="Arial" w:cs="Arial" w:eastAsia="Arial" w:hAnsi="Arial"/>
          <w:sz w:val="22"/>
          <w:szCs w:val="22"/>
          <w:u w:val="single" w:color="auto"/>
          <w:color w:val="auto"/>
        </w:rPr>
        <w:t>Shares Returned to the Reserve</w:t>
      </w:r>
      <w:r>
        <w:rPr>
          <w:rFonts w:ascii="Arial" w:cs="Arial" w:eastAsia="Arial" w:hAnsi="Arial"/>
          <w:sz w:val="22"/>
          <w:szCs w:val="22"/>
          <w:color w:val="auto"/>
        </w:rPr>
        <w:t>. For avoidance of doubt, if an Option covering Shares is forfeited, terminates or expires without having been exercised in full, the Shares underlying such forfeited, terminated or expired Option shall return to the pool of Shares available for issuance under the Plan.</w:t>
      </w:r>
    </w:p>
    <w:p>
      <w:pPr>
        <w:spacing w:after="0" w:line="180" w:lineRule="exact"/>
        <w:rPr>
          <w:rFonts w:ascii="Arial" w:cs="Arial" w:eastAsia="Arial" w:hAnsi="Arial"/>
          <w:sz w:val="22"/>
          <w:szCs w:val="22"/>
          <w:color w:val="auto"/>
        </w:rPr>
      </w:pPr>
    </w:p>
    <w:p>
      <w:pPr>
        <w:ind w:left="4" w:firstLine="644"/>
        <w:spacing w:after="0" w:line="294" w:lineRule="auto"/>
        <w:tabs>
          <w:tab w:leader="none" w:pos="1072" w:val="left"/>
        </w:tabs>
        <w:numPr>
          <w:ilvl w:val="1"/>
          <w:numId w:val="176"/>
        </w:numPr>
        <w:rPr>
          <w:rFonts w:ascii="Arial" w:cs="Arial" w:eastAsia="Arial" w:hAnsi="Arial"/>
          <w:sz w:val="19"/>
          <w:szCs w:val="19"/>
          <w:color w:val="auto"/>
        </w:rPr>
      </w:pPr>
      <w:r>
        <w:rPr>
          <w:rFonts w:ascii="Arial" w:cs="Arial" w:eastAsia="Arial" w:hAnsi="Arial"/>
          <w:sz w:val="19"/>
          <w:szCs w:val="19"/>
          <w:u w:val="single" w:color="auto"/>
          <w:color w:val="auto"/>
        </w:rPr>
        <w:t>Share Recycling Prohibitions</w:t>
      </w:r>
      <w:r>
        <w:rPr>
          <w:rFonts w:ascii="Arial" w:cs="Arial" w:eastAsia="Arial" w:hAnsi="Arial"/>
          <w:sz w:val="19"/>
          <w:szCs w:val="19"/>
          <w:color w:val="auto"/>
        </w:rPr>
        <w:t>. If (i) the Sponsor withholds Shares to satisfy an Optionee’s tax liabilities as provided in Paragraph 15(b) and Paragraph 15(c) or (ii) an Option covering Shares is exercised pursuant to the cashless exercise provisions of Paragraph 7(d)(iv), other Options may not be granted covering the Shares so withheld to satisfy the Optionee’s tax liabilities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 received by the Sponsor on account of the payment of the option price for an Option by Optionees.</w:t>
      </w:r>
    </w:p>
    <w:p>
      <w:pPr>
        <w:spacing w:after="0" w:line="145" w:lineRule="exact"/>
        <w:rPr>
          <w:rFonts w:ascii="Arial" w:cs="Arial" w:eastAsia="Arial" w:hAnsi="Arial"/>
          <w:sz w:val="19"/>
          <w:szCs w:val="19"/>
          <w:color w:val="auto"/>
        </w:rPr>
      </w:pPr>
    </w:p>
    <w:p>
      <w:pPr>
        <w:ind w:left="344" w:hanging="344"/>
        <w:spacing w:after="0"/>
        <w:tabs>
          <w:tab w:leader="none" w:pos="344"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PLAN</w:t>
      </w:r>
    </w:p>
    <w:p>
      <w:pPr>
        <w:spacing w:after="0" w:line="239" w:lineRule="exact"/>
        <w:rPr>
          <w:rFonts w:ascii="Arial" w:cs="Arial" w:eastAsia="Arial" w:hAnsi="Arial"/>
          <w:sz w:val="22"/>
          <w:szCs w:val="22"/>
          <w:b w:val="1"/>
          <w:bCs w:val="1"/>
          <w:color w:val="auto"/>
        </w:rPr>
      </w:pPr>
    </w:p>
    <w:p>
      <w:pPr>
        <w:ind w:left="4" w:right="80" w:firstLine="644"/>
        <w:spacing w:after="0" w:line="259" w:lineRule="auto"/>
        <w:tabs>
          <w:tab w:leader="none" w:pos="1072" w:val="left"/>
        </w:tabs>
        <w:numPr>
          <w:ilvl w:val="1"/>
          <w:numId w:val="176"/>
        </w:numPr>
        <w:rPr>
          <w:rFonts w:ascii="Arial" w:cs="Arial" w:eastAsia="Arial" w:hAnsi="Arial"/>
          <w:sz w:val="22"/>
          <w:szCs w:val="22"/>
          <w:color w:val="auto"/>
        </w:rPr>
      </w:pPr>
      <w:r>
        <w:rPr>
          <w:rFonts w:ascii="Arial" w:cs="Arial" w:eastAsia="Arial" w:hAnsi="Arial"/>
          <w:sz w:val="22"/>
          <w:szCs w:val="22"/>
          <w:u w:val="single" w:color="auto"/>
          <w:color w:val="auto"/>
        </w:rPr>
        <w:t>Committee</w:t>
      </w:r>
      <w:r>
        <w:rPr>
          <w:rFonts w:ascii="Arial" w:cs="Arial" w:eastAsia="Arial" w:hAnsi="Arial"/>
          <w:sz w:val="22"/>
          <w:szCs w:val="22"/>
          <w:color w:val="auto"/>
        </w:rPr>
        <w:t>. The Plan shall be administered by the Compensation Committee of the Board or any other committee or subcommittee designated by the Board, provided that the committee administering the Plan is composed of two or more non-employee members of the Board.</w:t>
      </w:r>
    </w:p>
    <w:p>
      <w:pPr>
        <w:sectPr>
          <w:pgSz w:w="11900" w:h="16838" w:orient="portrait"/>
          <w:cols w:equalWidth="0" w:num="1">
            <w:col w:w="10544"/>
          </w:cols>
          <w:pgMar w:left="976" w:top="1306" w:right="379" w:bottom="1440" w:gutter="0" w:footer="0" w:header="0"/>
        </w:sectPr>
      </w:pPr>
    </w:p>
    <w:bookmarkStart w:id="125" w:name="page126"/>
    <w:bookmarkEnd w:id="125"/>
    <w:p>
      <w:pPr>
        <w:ind w:left="4" w:firstLine="644"/>
        <w:spacing w:after="0" w:line="307" w:lineRule="auto"/>
        <w:tabs>
          <w:tab w:leader="none" w:pos="1354" w:val="left"/>
        </w:tabs>
        <w:numPr>
          <w:ilvl w:val="1"/>
          <w:numId w:val="177"/>
        </w:numPr>
        <w:rPr>
          <w:rFonts w:ascii="Arial" w:cs="Arial" w:eastAsia="Arial" w:hAnsi="Arial"/>
          <w:sz w:val="19"/>
          <w:szCs w:val="19"/>
          <w:color w:val="auto"/>
        </w:rPr>
      </w:pPr>
      <w:r>
        <w:rPr>
          <w:rFonts w:ascii="Arial" w:cs="Arial" w:eastAsia="Arial" w:hAnsi="Arial"/>
          <w:sz w:val="19"/>
          <w:szCs w:val="19"/>
          <w:u w:val="single" w:color="auto"/>
          <w:color w:val="auto"/>
        </w:rPr>
        <w:t>Delegation of Authority</w:t>
      </w:r>
      <w:r>
        <w:rPr>
          <w:rFonts w:ascii="Arial" w:cs="Arial" w:eastAsia="Arial" w:hAnsi="Arial"/>
          <w:sz w:val="19"/>
          <w:szCs w:val="19"/>
          <w:color w:val="auto"/>
        </w:rPr>
        <w:t>. The Committee may delegate its authority with respect to the grant, amendment, interpretation and administration of Options to a person, persons or committee, in its sole and absolute discretion. Actions taken by the Committee’s duly-authorized delegate shall have the same force and effect as actions taken by the Committee. Any delegation of authority pursuant to this Paragraph 5(b) shall continue in effect until the earliest of:</w:t>
      </w:r>
    </w:p>
    <w:p>
      <w:pPr>
        <w:spacing w:after="0" w:line="137" w:lineRule="exact"/>
        <w:rPr>
          <w:rFonts w:ascii="Arial" w:cs="Arial" w:eastAsia="Arial" w:hAnsi="Arial"/>
          <w:sz w:val="19"/>
          <w:szCs w:val="19"/>
          <w:color w:val="auto"/>
        </w:rPr>
      </w:pPr>
    </w:p>
    <w:p>
      <w:pPr>
        <w:ind w:left="1944" w:right="420" w:hanging="648"/>
        <w:spacing w:after="0" w:line="263" w:lineRule="auto"/>
        <w:tabs>
          <w:tab w:leader="none" w:pos="1944" w:val="left"/>
        </w:tabs>
        <w:numPr>
          <w:ilvl w:val="2"/>
          <w:numId w:val="177"/>
        </w:numPr>
        <w:rPr>
          <w:rFonts w:ascii="Arial" w:cs="Arial" w:eastAsia="Arial" w:hAnsi="Arial"/>
          <w:sz w:val="22"/>
          <w:szCs w:val="22"/>
          <w:color w:val="auto"/>
        </w:rPr>
      </w:pPr>
      <w:r>
        <w:rPr>
          <w:rFonts w:ascii="Arial" w:cs="Arial" w:eastAsia="Arial" w:hAnsi="Arial"/>
          <w:sz w:val="22"/>
          <w:szCs w:val="22"/>
          <w:color w:val="auto"/>
        </w:rPr>
        <w:t>such time as the Committee shall, in its sole and absolute discretion, revoke such delegation of authority;</w:t>
      </w:r>
    </w:p>
    <w:p>
      <w:pPr>
        <w:spacing w:after="0" w:line="174" w:lineRule="exact"/>
        <w:rPr>
          <w:rFonts w:ascii="Arial" w:cs="Arial" w:eastAsia="Arial" w:hAnsi="Arial"/>
          <w:sz w:val="22"/>
          <w:szCs w:val="22"/>
          <w:color w:val="auto"/>
        </w:rPr>
      </w:pPr>
    </w:p>
    <w:p>
      <w:pPr>
        <w:ind w:left="1944" w:right="80" w:hanging="648"/>
        <w:spacing w:after="0" w:line="253" w:lineRule="auto"/>
        <w:tabs>
          <w:tab w:leader="none" w:pos="1944" w:val="left"/>
        </w:tabs>
        <w:numPr>
          <w:ilvl w:val="2"/>
          <w:numId w:val="177"/>
        </w:numPr>
        <w:rPr>
          <w:rFonts w:ascii="Arial" w:cs="Arial" w:eastAsia="Arial" w:hAnsi="Arial"/>
          <w:sz w:val="22"/>
          <w:szCs w:val="22"/>
          <w:color w:val="auto"/>
        </w:rPr>
      </w:pPr>
      <w:r>
        <w:rPr>
          <w:rFonts w:ascii="Arial" w:cs="Arial" w:eastAsia="Arial" w:hAnsi="Arial"/>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85" w:lineRule="exact"/>
        <w:rPr>
          <w:rFonts w:ascii="Arial" w:cs="Arial" w:eastAsia="Arial" w:hAnsi="Arial"/>
          <w:sz w:val="22"/>
          <w:szCs w:val="22"/>
          <w:color w:val="auto"/>
        </w:rPr>
      </w:pPr>
    </w:p>
    <w:p>
      <w:pPr>
        <w:ind w:left="1944" w:right="780" w:hanging="648"/>
        <w:spacing w:after="0" w:line="263" w:lineRule="auto"/>
        <w:tabs>
          <w:tab w:leader="none" w:pos="1944" w:val="left"/>
        </w:tabs>
        <w:numPr>
          <w:ilvl w:val="2"/>
          <w:numId w:val="177"/>
        </w:numPr>
        <w:rPr>
          <w:rFonts w:ascii="Arial" w:cs="Arial" w:eastAsia="Arial" w:hAnsi="Arial"/>
          <w:sz w:val="22"/>
          <w:szCs w:val="22"/>
          <w:color w:val="auto"/>
        </w:rPr>
      </w:pPr>
      <w:r>
        <w:rPr>
          <w:rFonts w:ascii="Arial" w:cs="Arial" w:eastAsia="Arial" w:hAnsi="Arial"/>
          <w:sz w:val="22"/>
          <w:szCs w:val="22"/>
          <w:color w:val="auto"/>
        </w:rPr>
        <w:t>the delegate shall notify the Committee that he or she declines to continue to exercise such authority.</w:t>
      </w:r>
    </w:p>
    <w:p>
      <w:pPr>
        <w:spacing w:after="0" w:line="174" w:lineRule="exact"/>
        <w:rPr>
          <w:rFonts w:ascii="Arial" w:cs="Arial" w:eastAsia="Arial" w:hAnsi="Arial"/>
          <w:sz w:val="22"/>
          <w:szCs w:val="22"/>
          <w:color w:val="auto"/>
        </w:rPr>
      </w:pPr>
    </w:p>
    <w:p>
      <w:pPr>
        <w:ind w:left="4" w:right="20" w:firstLine="644"/>
        <w:spacing w:after="0" w:line="259" w:lineRule="auto"/>
        <w:tabs>
          <w:tab w:leader="none" w:pos="1072" w:val="left"/>
        </w:tabs>
        <w:numPr>
          <w:ilvl w:val="1"/>
          <w:numId w:val="177"/>
        </w:numPr>
        <w:rPr>
          <w:rFonts w:ascii="Arial" w:cs="Arial" w:eastAsia="Arial" w:hAnsi="Arial"/>
          <w:sz w:val="22"/>
          <w:szCs w:val="22"/>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180" w:lineRule="exact"/>
        <w:rPr>
          <w:rFonts w:ascii="Arial" w:cs="Arial" w:eastAsia="Arial" w:hAnsi="Arial"/>
          <w:sz w:val="22"/>
          <w:szCs w:val="22"/>
          <w:color w:val="auto"/>
        </w:rPr>
      </w:pPr>
    </w:p>
    <w:p>
      <w:pPr>
        <w:ind w:left="4" w:right="140" w:firstLine="644"/>
        <w:spacing w:after="0" w:line="249" w:lineRule="auto"/>
        <w:tabs>
          <w:tab w:leader="none" w:pos="1084" w:val="left"/>
        </w:tabs>
        <w:numPr>
          <w:ilvl w:val="1"/>
          <w:numId w:val="177"/>
        </w:numPr>
        <w:rPr>
          <w:rFonts w:ascii="Arial" w:cs="Arial" w:eastAsia="Arial" w:hAnsi="Arial"/>
          <w:sz w:val="22"/>
          <w:szCs w:val="22"/>
          <w:color w:val="auto"/>
        </w:rPr>
      </w:pPr>
      <w:r>
        <w:rPr>
          <w:rFonts w:ascii="Arial" w:cs="Arial" w:eastAsia="Arial" w:hAnsi="Arial"/>
          <w:sz w:val="22"/>
          <w:szCs w:val="22"/>
          <w:u w:val="single" w:color="auto"/>
          <w:color w:val="auto"/>
        </w:rPr>
        <w:t>Exculpation</w:t>
      </w:r>
      <w:r>
        <w:rPr>
          <w:rFonts w:ascii="Arial" w:cs="Arial" w:eastAsia="Arial" w:hAnsi="Arial"/>
          <w:sz w:val="22"/>
          <w:szCs w:val="22"/>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the provisions of this Paragraph 5(d) shall not apply to the responsibility or liability of a member of the Committee pursuant to any criminal statute.</w:t>
      </w:r>
    </w:p>
    <w:p>
      <w:pPr>
        <w:spacing w:after="0" w:line="193" w:lineRule="exact"/>
        <w:rPr>
          <w:rFonts w:ascii="Arial" w:cs="Arial" w:eastAsia="Arial" w:hAnsi="Arial"/>
          <w:sz w:val="22"/>
          <w:szCs w:val="22"/>
          <w:color w:val="auto"/>
        </w:rPr>
      </w:pPr>
    </w:p>
    <w:p>
      <w:pPr>
        <w:ind w:left="4" w:right="20" w:firstLine="644"/>
        <w:spacing w:after="0" w:line="264" w:lineRule="auto"/>
        <w:tabs>
          <w:tab w:leader="none" w:pos="1072" w:val="left"/>
        </w:tabs>
        <w:numPr>
          <w:ilvl w:val="1"/>
          <w:numId w:val="177"/>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68" w:lineRule="exact"/>
        <w:rPr>
          <w:rFonts w:ascii="Arial" w:cs="Arial" w:eastAsia="Arial" w:hAnsi="Arial"/>
          <w:sz w:val="21"/>
          <w:szCs w:val="21"/>
          <w:color w:val="auto"/>
        </w:rPr>
      </w:pPr>
    </w:p>
    <w:p>
      <w:pPr>
        <w:ind w:left="344" w:hanging="344"/>
        <w:spacing w:after="0"/>
        <w:tabs>
          <w:tab w:leader="none" w:pos="344"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39" w:lineRule="exact"/>
        <w:rPr>
          <w:rFonts w:ascii="Arial" w:cs="Arial" w:eastAsia="Arial" w:hAnsi="Arial"/>
          <w:sz w:val="22"/>
          <w:szCs w:val="22"/>
          <w:b w:val="1"/>
          <w:bCs w:val="1"/>
          <w:color w:val="auto"/>
        </w:rPr>
      </w:pPr>
    </w:p>
    <w:p>
      <w:pPr>
        <w:ind w:left="4" w:right="60" w:firstLine="644"/>
        <w:spacing w:after="0" w:line="259" w:lineRule="auto"/>
        <w:tabs>
          <w:tab w:leader="none" w:pos="1072" w:val="left"/>
        </w:tabs>
        <w:numPr>
          <w:ilvl w:val="1"/>
          <w:numId w:val="178"/>
        </w:numPr>
        <w:rPr>
          <w:rFonts w:ascii="Arial" w:cs="Arial" w:eastAsia="Arial" w:hAnsi="Arial"/>
          <w:sz w:val="22"/>
          <w:szCs w:val="22"/>
          <w:color w:val="auto"/>
        </w:rPr>
      </w:pPr>
      <w:r>
        <w:rPr>
          <w:rFonts w:ascii="Arial" w:cs="Arial" w:eastAsia="Arial" w:hAnsi="Arial"/>
          <w:sz w:val="22"/>
          <w:szCs w:val="22"/>
          <w:color w:val="auto"/>
        </w:rPr>
        <w:t>Eligible individuals to whom Options may be granted shall be employees, officers or directors of a Company who are selected by the Committee for the grant of Options. Eligible individuals to whom Cash Rights may be granted shall be individuals</w:t>
      </w:r>
    </w:p>
    <w:p>
      <w:pPr>
        <w:sectPr>
          <w:pgSz w:w="11900" w:h="16838" w:orient="portrait"/>
          <w:cols w:equalWidth="0" w:num="1">
            <w:col w:w="10544"/>
          </w:cols>
          <w:pgMar w:left="976" w:top="1333" w:right="379" w:bottom="1440" w:gutter="0" w:footer="0" w:header="0"/>
        </w:sectPr>
      </w:pPr>
    </w:p>
    <w:bookmarkStart w:id="126" w:name="page127"/>
    <w:bookmarkEnd w:id="126"/>
    <w:p>
      <w:pPr>
        <w:ind w:left="4" w:right="160"/>
        <w:spacing w:after="0" w:line="302" w:lineRule="auto"/>
        <w:rPr>
          <w:sz w:val="20"/>
          <w:szCs w:val="20"/>
          <w:color w:val="auto"/>
        </w:rPr>
      </w:pPr>
      <w:r>
        <w:rPr>
          <w:rFonts w:ascii="Arial" w:cs="Arial" w:eastAsia="Arial" w:hAnsi="Arial"/>
          <w:sz w:val="19"/>
          <w:szCs w:val="19"/>
          <w:color w:val="auto"/>
        </w:rPr>
        <w:t>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42" w:lineRule="exact"/>
        <w:rPr>
          <w:sz w:val="20"/>
          <w:szCs w:val="20"/>
          <w:color w:val="auto"/>
        </w:rPr>
      </w:pPr>
    </w:p>
    <w:p>
      <w:pPr>
        <w:ind w:left="4" w:firstLine="644"/>
        <w:spacing w:after="0" w:line="300" w:lineRule="auto"/>
        <w:tabs>
          <w:tab w:leader="none" w:pos="1084" w:val="left"/>
        </w:tabs>
        <w:numPr>
          <w:ilvl w:val="1"/>
          <w:numId w:val="179"/>
        </w:numPr>
        <w:rPr>
          <w:rFonts w:ascii="Arial" w:cs="Arial" w:eastAsia="Arial" w:hAnsi="Arial"/>
          <w:sz w:val="19"/>
          <w:szCs w:val="19"/>
          <w:color w:val="auto"/>
        </w:rPr>
      </w:pPr>
      <w:r>
        <w:rPr>
          <w:rFonts w:ascii="Arial" w:cs="Arial" w:eastAsia="Arial" w:hAnsi="Arial"/>
          <w:sz w:val="19"/>
          <w:szCs w:val="19"/>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40" w:lineRule="exact"/>
        <w:rPr>
          <w:rFonts w:ascii="Arial" w:cs="Arial" w:eastAsia="Arial" w:hAnsi="Arial"/>
          <w:sz w:val="19"/>
          <w:szCs w:val="19"/>
          <w:color w:val="auto"/>
        </w:rPr>
      </w:pPr>
    </w:p>
    <w:p>
      <w:pPr>
        <w:ind w:left="344" w:hanging="344"/>
        <w:spacing w:after="0"/>
        <w:tabs>
          <w:tab w:leader="none" w:pos="344"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OPTION DOCUMENTS AND TERMS – IN GENERAL</w:t>
      </w:r>
    </w:p>
    <w:p>
      <w:pPr>
        <w:spacing w:after="0" w:line="239" w:lineRule="exact"/>
        <w:rPr>
          <w:sz w:val="20"/>
          <w:szCs w:val="20"/>
          <w:color w:val="auto"/>
        </w:rPr>
      </w:pPr>
    </w:p>
    <w:p>
      <w:pPr>
        <w:ind w:left="4" w:right="120" w:firstLine="648"/>
        <w:spacing w:after="0" w:line="250" w:lineRule="auto"/>
        <w:rPr>
          <w:sz w:val="20"/>
          <w:szCs w:val="20"/>
          <w:color w:val="auto"/>
        </w:rPr>
      </w:pPr>
      <w:r>
        <w:rPr>
          <w:rFonts w:ascii="Arial" w:cs="Arial" w:eastAsia="Arial" w:hAnsi="Arial"/>
          <w:sz w:val="22"/>
          <w:szCs w:val="22"/>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88" w:lineRule="exact"/>
        <w:rPr>
          <w:sz w:val="20"/>
          <w:szCs w:val="20"/>
          <w:color w:val="auto"/>
        </w:rPr>
      </w:pPr>
    </w:p>
    <w:p>
      <w:pPr>
        <w:ind w:left="4" w:right="4640" w:firstLine="644"/>
        <w:spacing w:after="0" w:line="276" w:lineRule="auto"/>
        <w:tabs>
          <w:tab w:leader="none" w:pos="1072" w:val="left"/>
        </w:tabs>
        <w:numPr>
          <w:ilvl w:val="1"/>
          <w:numId w:val="181"/>
        </w:numPr>
        <w:rPr>
          <w:rFonts w:ascii="Arial" w:cs="Arial" w:eastAsia="Arial" w:hAnsi="Arial"/>
          <w:sz w:val="22"/>
          <w:szCs w:val="22"/>
          <w:color w:val="auto"/>
        </w:rPr>
      </w:pPr>
      <w:r>
        <w:rPr>
          <w:rFonts w:ascii="Arial" w:cs="Arial" w:eastAsia="Arial" w:hAnsi="Arial"/>
          <w:sz w:val="22"/>
          <w:szCs w:val="22"/>
          <w:u w:val="single" w:color="auto"/>
          <w:color w:val="auto"/>
        </w:rPr>
        <w:t>Time of Grant</w:t>
      </w:r>
      <w:r>
        <w:rPr>
          <w:rFonts w:ascii="Arial" w:cs="Arial" w:eastAsia="Arial" w:hAnsi="Arial"/>
          <w:sz w:val="22"/>
          <w:szCs w:val="22"/>
          <w:color w:val="auto"/>
        </w:rPr>
        <w:t>. All Options shall be granted on or before May 19, 2026.</w:t>
      </w:r>
    </w:p>
    <w:p>
      <w:pPr>
        <w:spacing w:after="0" w:line="160" w:lineRule="exact"/>
        <w:rPr>
          <w:rFonts w:ascii="Arial" w:cs="Arial" w:eastAsia="Arial" w:hAnsi="Arial"/>
          <w:sz w:val="22"/>
          <w:szCs w:val="22"/>
          <w:color w:val="auto"/>
        </w:rPr>
      </w:pPr>
    </w:p>
    <w:p>
      <w:pPr>
        <w:jc w:val="both"/>
        <w:ind w:left="4" w:right="180" w:firstLine="644"/>
        <w:spacing w:after="0" w:line="266" w:lineRule="auto"/>
        <w:tabs>
          <w:tab w:leader="none" w:pos="1084" w:val="left"/>
        </w:tabs>
        <w:numPr>
          <w:ilvl w:val="1"/>
          <w:numId w:val="181"/>
        </w:numPr>
        <w:rPr>
          <w:rFonts w:ascii="Arial" w:cs="Arial" w:eastAsia="Arial" w:hAnsi="Arial"/>
          <w:sz w:val="21"/>
          <w:szCs w:val="21"/>
          <w:color w:val="auto"/>
        </w:rPr>
      </w:pPr>
      <w:r>
        <w:rPr>
          <w:rFonts w:ascii="Arial" w:cs="Arial" w:eastAsia="Arial" w:hAnsi="Arial"/>
          <w:sz w:val="21"/>
          <w:szCs w:val="21"/>
          <w:u w:val="single" w:color="auto"/>
          <w:color w:val="auto"/>
        </w:rPr>
        <w:t>Option Price</w:t>
      </w:r>
      <w:r>
        <w:rPr>
          <w:rFonts w:ascii="Arial" w:cs="Arial" w:eastAsia="Arial" w:hAnsi="Arial"/>
          <w:sz w:val="21"/>
          <w:szCs w:val="21"/>
          <w:color w:val="auto"/>
        </w:rPr>
        <w:t xml:space="preserve">. Except as otherwise provided in Section 13(b), the option price per Share with respect to any Option shall be determined by the Committee, </w:t>
      </w:r>
      <w:r>
        <w:rPr>
          <w:rFonts w:ascii="Arial" w:cs="Arial" w:eastAsia="Arial" w:hAnsi="Arial"/>
          <w:sz w:val="21"/>
          <w:szCs w:val="21"/>
          <w:u w:val="single" w:color="auto"/>
          <w:color w:val="auto"/>
        </w:rPr>
        <w:t>provided, however</w:t>
      </w:r>
      <w:r>
        <w:rPr>
          <w:rFonts w:ascii="Arial" w:cs="Arial" w:eastAsia="Arial" w:hAnsi="Arial"/>
          <w:sz w:val="21"/>
          <w:szCs w:val="21"/>
          <w:color w:val="auto"/>
        </w:rPr>
        <w:t xml:space="preserve">, that with respect to any Options, the option price per share shall not be less than 100% of the Fair Market Value of such Share on the Date of Grant,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73" w:lineRule="exact"/>
        <w:rPr>
          <w:rFonts w:ascii="Arial" w:cs="Arial" w:eastAsia="Arial" w:hAnsi="Arial"/>
          <w:sz w:val="21"/>
          <w:szCs w:val="21"/>
          <w:color w:val="auto"/>
        </w:rPr>
      </w:pPr>
    </w:p>
    <w:p>
      <w:pPr>
        <w:ind w:left="4" w:right="20" w:firstLine="644"/>
        <w:spacing w:after="0" w:line="287" w:lineRule="auto"/>
        <w:tabs>
          <w:tab w:leader="none" w:pos="1072" w:val="left"/>
        </w:tabs>
        <w:numPr>
          <w:ilvl w:val="1"/>
          <w:numId w:val="181"/>
        </w:numPr>
        <w:rPr>
          <w:rFonts w:ascii="Arial" w:cs="Arial" w:eastAsia="Arial" w:hAnsi="Arial"/>
          <w:sz w:val="19"/>
          <w:szCs w:val="19"/>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9"/>
          <w:szCs w:val="19"/>
          <w:u w:val="single" w:color="auto"/>
          <w:color w:val="auto"/>
        </w:rPr>
        <w:t>provided further that</w:t>
      </w:r>
      <w:r>
        <w:rPr>
          <w:rFonts w:ascii="Arial" w:cs="Arial" w:eastAsia="Arial" w:hAnsi="Arial"/>
          <w:sz w:val="19"/>
          <w:szCs w:val="19"/>
          <w:color w:val="auto"/>
        </w:rPr>
        <w:t xml:space="preserve"> (i) any such transfer is without consideration and</w:t>
      </w:r>
    </w:p>
    <w:p>
      <w:pPr>
        <w:spacing w:after="0" w:line="2" w:lineRule="exact"/>
        <w:rPr>
          <w:rFonts w:ascii="Arial" w:cs="Arial" w:eastAsia="Arial" w:hAnsi="Arial"/>
          <w:sz w:val="19"/>
          <w:szCs w:val="19"/>
          <w:color w:val="auto"/>
        </w:rPr>
      </w:pPr>
    </w:p>
    <w:p>
      <w:pPr>
        <w:ind w:left="4" w:right="180" w:hanging="4"/>
        <w:spacing w:after="0" w:line="262" w:lineRule="auto"/>
        <w:tabs>
          <w:tab w:leader="none" w:pos="322" w:val="left"/>
        </w:tabs>
        <w:numPr>
          <w:ilvl w:val="0"/>
          <w:numId w:val="182"/>
        </w:numPr>
        <w:rPr>
          <w:rFonts w:ascii="Arial" w:cs="Arial" w:eastAsia="Arial" w:hAnsi="Arial"/>
          <w:sz w:val="21"/>
          <w:szCs w:val="21"/>
          <w:color w:val="auto"/>
        </w:rPr>
      </w:pPr>
      <w:r>
        <w:rPr>
          <w:rFonts w:ascii="Arial" w:cs="Arial" w:eastAsia="Arial" w:hAnsi="Arial"/>
          <w:sz w:val="21"/>
          <w:szCs w:val="21"/>
          <w:color w:val="auto"/>
        </w:rPr>
        <w:t xml:space="preserve">each transferee is a Family Member with respect to the Optionee; and </w:t>
      </w:r>
      <w:r>
        <w:rPr>
          <w:rFonts w:ascii="Arial" w:cs="Arial" w:eastAsia="Arial" w:hAnsi="Arial"/>
          <w:sz w:val="21"/>
          <w:szCs w:val="21"/>
          <w:u w:val="single" w:color="auto"/>
          <w:color w:val="auto"/>
        </w:rPr>
        <w:t>provided further that</w:t>
      </w:r>
      <w:r>
        <w:rPr>
          <w:rFonts w:ascii="Arial" w:cs="Arial" w:eastAsia="Arial" w:hAnsi="Arial"/>
          <w:sz w:val="21"/>
          <w:szCs w:val="21"/>
          <w:color w:val="auto"/>
        </w:rPr>
        <w:t xml:space="preserve"> any Incentive Stock Option granted pursuant to an option document which is amended to permit transfers during the lifetime of the Optionee shall, upon the effectiveness of such amendment, be treated thereafter as a Non-Qualified</w:t>
      </w:r>
    </w:p>
    <w:p>
      <w:pPr>
        <w:sectPr>
          <w:pgSz w:w="11900" w:h="16838" w:orient="portrait"/>
          <w:cols w:equalWidth="0" w:num="1">
            <w:col w:w="10584"/>
          </w:cols>
          <w:pgMar w:left="976" w:top="1333" w:right="339" w:bottom="1440" w:gutter="0" w:footer="0" w:header="0"/>
        </w:sectPr>
      </w:pPr>
    </w:p>
    <w:bookmarkStart w:id="127" w:name="page128"/>
    <w:bookmarkEnd w:id="127"/>
    <w:p>
      <w:pPr>
        <w:ind w:right="100"/>
        <w:spacing w:after="0" w:line="265" w:lineRule="auto"/>
        <w:rPr>
          <w:sz w:val="20"/>
          <w:szCs w:val="20"/>
          <w:color w:val="auto"/>
        </w:rPr>
      </w:pPr>
      <w:r>
        <w:rPr>
          <w:rFonts w:ascii="Arial" w:cs="Arial" w:eastAsia="Arial" w:hAnsi="Arial"/>
          <w:sz w:val="21"/>
          <w:szCs w:val="21"/>
          <w:color w:val="auto"/>
        </w:rPr>
        <w:t>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75" w:lineRule="exact"/>
        <w:rPr>
          <w:sz w:val="20"/>
          <w:szCs w:val="20"/>
          <w:color w:val="auto"/>
        </w:rPr>
      </w:pPr>
    </w:p>
    <w:p>
      <w:pPr>
        <w:ind w:right="160" w:firstLine="644"/>
        <w:spacing w:after="0" w:line="259" w:lineRule="auto"/>
        <w:tabs>
          <w:tab w:leader="none" w:pos="1080"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Payment Upon Exercise of Options</w:t>
      </w:r>
      <w:r>
        <w:rPr>
          <w:rFonts w:ascii="Arial" w:cs="Arial" w:eastAsia="Arial" w:hAnsi="Arial"/>
          <w:sz w:val="22"/>
          <w:szCs w:val="22"/>
          <w:color w:val="auto"/>
        </w:rPr>
        <w:t>. Full payment for Shares purchased upon the exercise of an Option shall be made pursuant to one or more of the following methods as determined by the Committee and set forth in the Option document:</w:t>
      </w:r>
    </w:p>
    <w:p>
      <w:pPr>
        <w:spacing w:after="0" w:line="180" w:lineRule="exact"/>
        <w:rPr>
          <w:rFonts w:ascii="Arial" w:cs="Arial" w:eastAsia="Arial" w:hAnsi="Arial"/>
          <w:sz w:val="22"/>
          <w:szCs w:val="22"/>
          <w:color w:val="auto"/>
        </w:rPr>
      </w:pPr>
    </w:p>
    <w:p>
      <w:pPr>
        <w:ind w:left="1940" w:hanging="648"/>
        <w:spacing w:after="0"/>
        <w:tabs>
          <w:tab w:leader="none" w:pos="1940" w:val="left"/>
        </w:tabs>
        <w:numPr>
          <w:ilvl w:val="1"/>
          <w:numId w:val="183"/>
        </w:numPr>
        <w:rPr>
          <w:rFonts w:ascii="Arial" w:cs="Arial" w:eastAsia="Arial" w:hAnsi="Arial"/>
          <w:sz w:val="22"/>
          <w:szCs w:val="22"/>
          <w:color w:val="auto"/>
        </w:rPr>
      </w:pPr>
      <w:r>
        <w:rPr>
          <w:rFonts w:ascii="Arial" w:cs="Arial" w:eastAsia="Arial" w:hAnsi="Arial"/>
          <w:sz w:val="22"/>
          <w:szCs w:val="22"/>
          <w:color w:val="auto"/>
        </w:rPr>
        <w:t>In cash;</w:t>
      </w:r>
    </w:p>
    <w:p>
      <w:pPr>
        <w:spacing w:after="0" w:line="219" w:lineRule="exact"/>
        <w:rPr>
          <w:rFonts w:ascii="Arial" w:cs="Arial" w:eastAsia="Arial" w:hAnsi="Arial"/>
          <w:sz w:val="22"/>
          <w:szCs w:val="22"/>
          <w:color w:val="auto"/>
        </w:rPr>
      </w:pPr>
    </w:p>
    <w:p>
      <w:pPr>
        <w:ind w:left="1940" w:hanging="648"/>
        <w:spacing w:after="0"/>
        <w:tabs>
          <w:tab w:leader="none" w:pos="1940" w:val="left"/>
        </w:tabs>
        <w:numPr>
          <w:ilvl w:val="1"/>
          <w:numId w:val="183"/>
        </w:numPr>
        <w:rPr>
          <w:rFonts w:ascii="Arial" w:cs="Arial" w:eastAsia="Arial" w:hAnsi="Arial"/>
          <w:sz w:val="22"/>
          <w:szCs w:val="22"/>
          <w:color w:val="auto"/>
        </w:rPr>
      </w:pPr>
      <w:r>
        <w:rPr>
          <w:rFonts w:ascii="Arial" w:cs="Arial" w:eastAsia="Arial" w:hAnsi="Arial"/>
          <w:sz w:val="22"/>
          <w:szCs w:val="22"/>
          <w:color w:val="auto"/>
        </w:rPr>
        <w:t>By certified check payable to the order of the Sponsor;</w:t>
      </w:r>
    </w:p>
    <w:p>
      <w:pPr>
        <w:spacing w:after="0" w:line="219" w:lineRule="exact"/>
        <w:rPr>
          <w:rFonts w:ascii="Arial" w:cs="Arial" w:eastAsia="Arial" w:hAnsi="Arial"/>
          <w:sz w:val="22"/>
          <w:szCs w:val="22"/>
          <w:color w:val="auto"/>
        </w:rPr>
      </w:pPr>
    </w:p>
    <w:p>
      <w:pPr>
        <w:ind w:left="1940" w:hanging="648"/>
        <w:spacing w:after="0" w:line="285" w:lineRule="auto"/>
        <w:tabs>
          <w:tab w:leader="none" w:pos="194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By surrendering or attesting to ownership of Shares with an aggregate Fair Market Value equal to the aggregate option price, provided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(or record the equivalent thereof on a book entry recordkeeping system maintained by the Sponsor)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any necessary stock powers duly endorsed in blank by the record holder of such Shares;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165" w:lineRule="exact"/>
        <w:rPr>
          <w:rFonts w:ascii="Arial" w:cs="Arial" w:eastAsia="Arial" w:hAnsi="Arial"/>
          <w:sz w:val="19"/>
          <w:szCs w:val="19"/>
          <w:color w:val="auto"/>
        </w:rPr>
      </w:pPr>
    </w:p>
    <w:p>
      <w:pPr>
        <w:ind w:left="1940" w:right="120" w:hanging="648"/>
        <w:spacing w:after="0" w:line="250" w:lineRule="auto"/>
        <w:tabs>
          <w:tab w:leader="none" w:pos="1940" w:val="left"/>
        </w:tabs>
        <w:numPr>
          <w:ilvl w:val="1"/>
          <w:numId w:val="183"/>
        </w:numPr>
        <w:rPr>
          <w:rFonts w:ascii="Arial" w:cs="Arial" w:eastAsia="Arial" w:hAnsi="Arial"/>
          <w:sz w:val="22"/>
          <w:szCs w:val="22"/>
          <w:color w:val="auto"/>
        </w:rPr>
      </w:pPr>
      <w:r>
        <w:rPr>
          <w:rFonts w:ascii="Arial" w:cs="Arial" w:eastAsia="Arial" w:hAnsi="Arial"/>
          <w:sz w:val="22"/>
          <w:szCs w:val="22"/>
          <w:color w:val="auto"/>
        </w:rPr>
        <w:t>Via cashless exercise, such that subject to the other terms and conditions of the Plan, following the date of exercise, the Company shall deliver to the Optionee Shares having a Fair Market Value at the time of exercise, equal to the excess, if any, of (A) the Fair Market Value of such Shares at the time of exercise of the Option</w:t>
      </w:r>
    </w:p>
    <w:p>
      <w:pPr>
        <w:sectPr>
          <w:pgSz w:w="11900" w:h="16838" w:orient="portrait"/>
          <w:cols w:equalWidth="0" w:num="1">
            <w:col w:w="10580"/>
          </w:cols>
          <w:pgMar w:left="980" w:top="1333" w:right="339" w:bottom="1440" w:gutter="0" w:footer="0" w:header="0"/>
        </w:sectPr>
      </w:pPr>
    </w:p>
    <w:bookmarkStart w:id="128" w:name="page129"/>
    <w:bookmarkEnd w:id="128"/>
    <w:p>
      <w:pPr>
        <w:ind w:left="1480" w:right="20"/>
        <w:spacing w:after="0" w:line="221" w:lineRule="auto"/>
        <w:rPr>
          <w:sz w:val="20"/>
          <w:szCs w:val="20"/>
          <w:color w:val="auto"/>
        </w:rPr>
      </w:pPr>
      <w:r>
        <w:rPr>
          <w:rFonts w:ascii="Arial" w:cs="Arial" w:eastAsia="Arial" w:hAnsi="Arial"/>
          <w:sz w:val="21"/>
          <w:szCs w:val="21"/>
          <w:color w:val="auto"/>
        </w:rPr>
        <w:t>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0" w:firstLine="644"/>
        <w:spacing w:after="0" w:line="294" w:lineRule="auto"/>
        <w:tabs>
          <w:tab w:leader="none" w:pos="608"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Recording of Shares Upon Exercise of Options; Payment of Cash</w:t>
      </w:r>
      <w:r>
        <w:rPr>
          <w:rFonts w:ascii="Arial" w:cs="Arial" w:eastAsia="Arial" w:hAnsi="Arial"/>
          <w:sz w:val="19"/>
          <w:szCs w:val="19"/>
          <w:color w:val="auto"/>
        </w:rPr>
        <w:t>. For purposes of the Plan, the Sponsor may satisfy its obligation to deliver Shares following the exercise of Options by arranging for the recording of Optionee’s ownership of Shares issuable on the exercise of Options on a book entry recordkeeping system maintained by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51" w:lineRule="exact"/>
        <w:rPr>
          <w:rFonts w:ascii="Arial" w:cs="Arial" w:eastAsia="Arial" w:hAnsi="Arial"/>
          <w:sz w:val="19"/>
          <w:szCs w:val="19"/>
          <w:color w:val="auto"/>
        </w:rPr>
      </w:pPr>
    </w:p>
    <w:p>
      <w:pPr>
        <w:ind w:left="-460" w:right="60" w:firstLine="644"/>
        <w:spacing w:after="0" w:line="288" w:lineRule="auto"/>
        <w:tabs>
          <w:tab w:leader="none" w:pos="584"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An Optionee who is a Non-Employee Director shall be treated as having terminated employment on the Optionee’s termination of service as a Non-Employee Director, provided that if such an Optionee is designated as a Director Emeritus upon termination of service as a Non-Employee Director, such Optionee shall not be treated as having terminated employment until the Optionee’s termination of service as a Director Emeritus.</w:t>
      </w:r>
    </w:p>
    <w:p>
      <w:pPr>
        <w:sectPr>
          <w:pgSz w:w="11900" w:h="16838" w:orient="portrait"/>
          <w:cols w:equalWidth="0" w:num="1">
            <w:col w:w="10040"/>
          </w:cols>
          <w:pgMar w:left="1440" w:top="1306" w:right="419" w:bottom="1440" w:gutter="0" w:footer="0" w:header="0"/>
        </w:sectPr>
      </w:pPr>
    </w:p>
    <w:bookmarkStart w:id="129" w:name="page130"/>
    <w:bookmarkEnd w:id="129"/>
    <w:p>
      <w:pPr>
        <w:ind w:left="-460" w:right="60" w:firstLine="644"/>
        <w:spacing w:after="0" w:line="294" w:lineRule="auto"/>
        <w:tabs>
          <w:tab w:leader="none" w:pos="620"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Periods of Exercise of Options</w:t>
      </w:r>
      <w:r>
        <w:rPr>
          <w:rFonts w:ascii="Arial" w:cs="Arial" w:eastAsia="Arial" w:hAnsi="Arial"/>
          <w:sz w:val="19"/>
          <w:szCs w:val="19"/>
          <w:color w:val="auto"/>
        </w:rPr>
        <w:t>. An Option shall be exercisable in whole or in part at such time or times as may be determined by the Committee and stated in the option document, or as described in Paragraph 7(h)(ii),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51" w:lineRule="exact"/>
        <w:rPr>
          <w:rFonts w:ascii="Arial" w:cs="Arial" w:eastAsia="Arial" w:hAnsi="Arial"/>
          <w:sz w:val="19"/>
          <w:szCs w:val="19"/>
          <w:color w:val="auto"/>
        </w:rPr>
      </w:pPr>
    </w:p>
    <w:p>
      <w:pPr>
        <w:ind w:left="1480" w:hanging="648"/>
        <w:spacing w:after="0" w:line="288" w:lineRule="auto"/>
        <w:tabs>
          <w:tab w:leader="none" w:pos="148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In the event that an Optionee’s employment with the Company terminates for any reason other than death or Cause, any Option held by such Optionee and which is then exercisable shall be exercisable for a period of 90 days following the date the Optionee’s employment with the Company terminates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59" w:lineRule="exact"/>
        <w:rPr>
          <w:rFonts w:ascii="Arial" w:cs="Arial" w:eastAsia="Arial" w:hAnsi="Arial"/>
          <w:sz w:val="19"/>
          <w:szCs w:val="19"/>
          <w:color w:val="auto"/>
        </w:rPr>
      </w:pPr>
    </w:p>
    <w:p>
      <w:pPr>
        <w:ind w:left="1480" w:right="140" w:hanging="648"/>
        <w:spacing w:after="0" w:line="292" w:lineRule="auto"/>
        <w:tabs>
          <w:tab w:leader="none" w:pos="148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 xml:space="preserve">In the event that an Optionee’s employment with the Company terminates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150" w:lineRule="exact"/>
        <w:rPr>
          <w:rFonts w:ascii="Arial" w:cs="Arial" w:eastAsia="Arial" w:hAnsi="Arial"/>
          <w:sz w:val="19"/>
          <w:szCs w:val="19"/>
          <w:color w:val="auto"/>
        </w:rPr>
      </w:pPr>
    </w:p>
    <w:p>
      <w:pPr>
        <w:ind w:left="1480" w:hanging="648"/>
        <w:spacing w:after="0" w:line="302" w:lineRule="auto"/>
        <w:tabs>
          <w:tab w:leader="none" w:pos="148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such event, in addition to immediate termination of the Option, the Optionee, upon a determination by the Committee shall automatically forfeit all Shares otherwise subject to delivery</w:t>
      </w:r>
    </w:p>
    <w:p>
      <w:pPr>
        <w:sectPr>
          <w:pgSz w:w="11900" w:h="16838" w:orient="portrait"/>
          <w:cols w:equalWidth="0" w:num="1">
            <w:col w:w="10080"/>
          </w:cols>
          <w:pgMar w:left="1440" w:top="1333" w:right="379" w:bottom="1440" w:gutter="0" w:footer="0" w:header="0"/>
        </w:sectPr>
      </w:pPr>
    </w:p>
    <w:bookmarkStart w:id="130" w:name="page131"/>
    <w:bookmarkEnd w:id="130"/>
    <w:p>
      <w:pPr>
        <w:ind w:left="1480" w:right="420"/>
        <w:spacing w:after="0" w:line="232" w:lineRule="auto"/>
        <w:rPr>
          <w:sz w:val="20"/>
          <w:szCs w:val="20"/>
          <w:color w:val="auto"/>
        </w:rPr>
      </w:pPr>
      <w:r>
        <w:rPr>
          <w:rFonts w:ascii="Arial" w:cs="Arial" w:eastAsia="Arial" w:hAnsi="Arial"/>
          <w:sz w:val="22"/>
          <w:szCs w:val="22"/>
          <w:color w:val="auto"/>
        </w:rPr>
        <w:t>upon exercise of an Option but for which the Sponsor has not yet delivered such Shares, upon refund by the Sponsor of the option price.</w:t>
      </w:r>
    </w:p>
    <w:p>
      <w:pPr>
        <w:spacing w:after="0" w:line="186" w:lineRule="exact"/>
        <w:rPr>
          <w:sz w:val="20"/>
          <w:szCs w:val="20"/>
          <w:color w:val="auto"/>
        </w:rPr>
      </w:pPr>
    </w:p>
    <w:p>
      <w:pPr>
        <w:ind w:left="620" w:hanging="436"/>
        <w:spacing w:after="0"/>
        <w:tabs>
          <w:tab w:leader="none" w:pos="620"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Date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480" w:hanging="648"/>
        <w:spacing w:after="0" w:line="288" w:lineRule="auto"/>
        <w:tabs>
          <w:tab w:leader="none" w:pos="1480" w:val="left"/>
        </w:tabs>
        <w:numPr>
          <w:ilvl w:val="1"/>
          <w:numId w:val="186"/>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Sponsor shall not be obligated to deliver any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be binding on and irrevocable by the Optionee but shall not be binding on the Committee) as to the manner in which payment to the Sponsor shall be made. Each notice of exercise shall also comply with the requirements of Paragraph 15.</w:t>
      </w:r>
    </w:p>
    <w:p>
      <w:pPr>
        <w:spacing w:after="0" w:line="159" w:lineRule="exact"/>
        <w:rPr>
          <w:rFonts w:ascii="Arial" w:cs="Arial" w:eastAsia="Arial" w:hAnsi="Arial"/>
          <w:sz w:val="19"/>
          <w:szCs w:val="19"/>
          <w:color w:val="auto"/>
        </w:rPr>
      </w:pPr>
    </w:p>
    <w:p>
      <w:pPr>
        <w:ind w:left="1480" w:right="60" w:hanging="648"/>
        <w:spacing w:after="0" w:line="263" w:lineRule="auto"/>
        <w:tabs>
          <w:tab w:leader="none" w:pos="1480" w:val="left"/>
        </w:tabs>
        <w:numPr>
          <w:ilvl w:val="1"/>
          <w:numId w:val="186"/>
        </w:numPr>
        <w:rPr>
          <w:rFonts w:ascii="Arial" w:cs="Arial" w:eastAsia="Arial" w:hAnsi="Arial"/>
          <w:sz w:val="21"/>
          <w:szCs w:val="21"/>
          <w:color w:val="auto"/>
        </w:rPr>
      </w:pPr>
      <w:r>
        <w:rPr>
          <w:rFonts w:ascii="Arial" w:cs="Arial" w:eastAsia="Arial" w:hAnsi="Arial"/>
          <w:sz w:val="21"/>
          <w:szCs w:val="21"/>
          <w:u w:val="single" w:color="auto"/>
          <w:color w:val="auto"/>
        </w:rPr>
        <w:t>Automatic Exercise</w:t>
      </w:r>
      <w:r>
        <w:rPr>
          <w:rFonts w:ascii="Arial" w:cs="Arial" w:eastAsia="Arial" w:hAnsi="Arial"/>
          <w:sz w:val="21"/>
          <w:szCs w:val="21"/>
          <w:color w:val="auto"/>
        </w:rPr>
        <w:t>. The provisions of this Paragraph 7(h)(ii) shall apply to any Option that is unexercised, in whole or in part, on or after October 28, 2013. Immediately before the time at which any such Option is scheduled to expire in accordance with the terms and conditions of the Plan and the applicable option document, such Option shall be deemed automatically exercised, if such Option satisfies the following conditions:</w:t>
      </w:r>
    </w:p>
    <w:p>
      <w:pPr>
        <w:spacing w:after="0" w:line="175" w:lineRule="exact"/>
        <w:rPr>
          <w:rFonts w:ascii="Arial" w:cs="Arial" w:eastAsia="Arial" w:hAnsi="Arial"/>
          <w:sz w:val="21"/>
          <w:szCs w:val="21"/>
          <w:color w:val="auto"/>
        </w:rPr>
      </w:pPr>
    </w:p>
    <w:p>
      <w:pPr>
        <w:ind w:left="2120" w:right="400" w:hanging="640"/>
        <w:spacing w:after="0" w:line="263" w:lineRule="auto"/>
        <w:tabs>
          <w:tab w:leader="none" w:pos="2120" w:val="left"/>
        </w:tabs>
        <w:numPr>
          <w:ilvl w:val="2"/>
          <w:numId w:val="186"/>
        </w:numPr>
        <w:rPr>
          <w:rFonts w:ascii="Arial" w:cs="Arial" w:eastAsia="Arial" w:hAnsi="Arial"/>
          <w:sz w:val="22"/>
          <w:szCs w:val="22"/>
          <w:color w:val="auto"/>
        </w:rPr>
      </w:pPr>
      <w:r>
        <w:rPr>
          <w:rFonts w:ascii="Arial" w:cs="Arial" w:eastAsia="Arial" w:hAnsi="Arial"/>
          <w:sz w:val="22"/>
          <w:szCs w:val="22"/>
          <w:color w:val="auto"/>
        </w:rPr>
        <w:t>Such Option is covered by a then current registration statement or a Notification under Regulation A under the 1933 Act.</w:t>
      </w:r>
    </w:p>
    <w:p>
      <w:pPr>
        <w:spacing w:after="0" w:line="174" w:lineRule="exact"/>
        <w:rPr>
          <w:rFonts w:ascii="Arial" w:cs="Arial" w:eastAsia="Arial" w:hAnsi="Arial"/>
          <w:sz w:val="22"/>
          <w:szCs w:val="22"/>
          <w:color w:val="auto"/>
        </w:rPr>
      </w:pPr>
    </w:p>
    <w:p>
      <w:pPr>
        <w:ind w:left="2120" w:hanging="640"/>
        <w:spacing w:after="0" w:line="248" w:lineRule="auto"/>
        <w:tabs>
          <w:tab w:leader="none" w:pos="2120" w:val="left"/>
        </w:tabs>
        <w:numPr>
          <w:ilvl w:val="2"/>
          <w:numId w:val="186"/>
        </w:numPr>
        <w:rPr>
          <w:rFonts w:ascii="Arial" w:cs="Arial" w:eastAsia="Arial" w:hAnsi="Arial"/>
          <w:sz w:val="22"/>
          <w:szCs w:val="22"/>
          <w:color w:val="auto"/>
        </w:rPr>
      </w:pPr>
      <w:r>
        <w:rPr>
          <w:rFonts w:ascii="Arial" w:cs="Arial" w:eastAsia="Arial" w:hAnsi="Arial"/>
          <w:sz w:val="22"/>
          <w:szCs w:val="22"/>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w:t>
      </w:r>
    </w:p>
    <w:p>
      <w:pPr>
        <w:spacing w:after="0" w:line="192" w:lineRule="exact"/>
        <w:rPr>
          <w:sz w:val="20"/>
          <w:szCs w:val="20"/>
          <w:color w:val="auto"/>
        </w:rPr>
      </w:pPr>
    </w:p>
    <w:p>
      <w:pPr>
        <w:ind w:left="1480" w:right="80"/>
        <w:spacing w:after="0" w:line="271" w:lineRule="auto"/>
        <w:rPr>
          <w:sz w:val="20"/>
          <w:szCs w:val="20"/>
          <w:color w:val="auto"/>
        </w:rPr>
      </w:pPr>
      <w:r>
        <w:rPr>
          <w:rFonts w:ascii="Arial" w:cs="Arial" w:eastAsia="Arial" w:hAnsi="Arial"/>
          <w:sz w:val="21"/>
          <w:szCs w:val="21"/>
          <w:color w:val="auto"/>
        </w:rPr>
        <w:t>An Option subject to this Paragraph 7(h)(ii) shall be exercised via cashless exercise, such that subject to the other terms and conditions of the Plan, following the date of exercise, the Company shall deliver to the Optionee Shares having a value, at the time of</w:t>
      </w:r>
    </w:p>
    <w:p>
      <w:pPr>
        <w:sectPr>
          <w:pgSz w:w="11900" w:h="16838" w:orient="portrait"/>
          <w:cols w:equalWidth="0" w:num="1">
            <w:col w:w="10000"/>
          </w:cols>
          <w:pgMar w:left="1440" w:top="1306" w:right="459" w:bottom="1440" w:gutter="0" w:footer="0" w:header="0"/>
        </w:sectPr>
      </w:pPr>
    </w:p>
    <w:bookmarkStart w:id="131" w:name="page132"/>
    <w:bookmarkEnd w:id="131"/>
    <w:p>
      <w:pPr>
        <w:ind w:left="1944" w:right="120"/>
        <w:spacing w:after="0" w:line="292" w:lineRule="auto"/>
        <w:rPr>
          <w:sz w:val="20"/>
          <w:szCs w:val="20"/>
          <w:color w:val="auto"/>
        </w:rPr>
      </w:pPr>
      <w:r>
        <w:rPr>
          <w:rFonts w:ascii="Arial" w:cs="Arial" w:eastAsia="Arial" w:hAnsi="Arial"/>
          <w:sz w:val="19"/>
          <w:szCs w:val="19"/>
          <w:color w:val="auto"/>
        </w:rPr>
        <w:t>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pay cash in lieu of any fractional Share.</w:t>
      </w:r>
    </w:p>
    <w:p>
      <w:pPr>
        <w:spacing w:after="0" w:line="151" w:lineRule="exact"/>
        <w:rPr>
          <w:sz w:val="20"/>
          <w:szCs w:val="20"/>
          <w:color w:val="auto"/>
        </w:rPr>
      </w:pPr>
    </w:p>
    <w:p>
      <w:pPr>
        <w:ind w:left="4" w:right="360" w:firstLine="644"/>
        <w:spacing w:after="0" w:line="259" w:lineRule="auto"/>
        <w:tabs>
          <w:tab w:leader="none" w:pos="1036" w:val="left"/>
        </w:tabs>
        <w:numPr>
          <w:ilvl w:val="1"/>
          <w:numId w:val="187"/>
        </w:numPr>
        <w:rPr>
          <w:rFonts w:ascii="Arial" w:cs="Arial" w:eastAsia="Arial" w:hAnsi="Arial"/>
          <w:sz w:val="22"/>
          <w:szCs w:val="22"/>
          <w:color w:val="auto"/>
        </w:rPr>
      </w:pPr>
      <w:r>
        <w:rPr>
          <w:rFonts w:ascii="Arial" w:cs="Arial" w:eastAsia="Arial" w:hAnsi="Arial"/>
          <w:sz w:val="22"/>
          <w:szCs w:val="22"/>
          <w:u w:val="single" w:color="auto"/>
          <w:color w:val="auto"/>
        </w:rPr>
        <w:t>Cash Rights</w:t>
      </w:r>
      <w:r>
        <w:rPr>
          <w:rFonts w:ascii="Arial" w:cs="Arial" w:eastAsia="Arial" w:hAnsi="Arial"/>
          <w:sz w:val="22"/>
          <w:szCs w:val="22"/>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80" w:lineRule="exact"/>
        <w:rPr>
          <w:rFonts w:ascii="Arial" w:cs="Arial" w:eastAsia="Arial" w:hAnsi="Arial"/>
          <w:sz w:val="22"/>
          <w:szCs w:val="22"/>
          <w:color w:val="auto"/>
        </w:rPr>
      </w:pPr>
    </w:p>
    <w:p>
      <w:pPr>
        <w:ind w:left="1944" w:hanging="648"/>
        <w:spacing w:after="0"/>
        <w:tabs>
          <w:tab w:leader="none" w:pos="1944" w:val="left"/>
        </w:tabs>
        <w:numPr>
          <w:ilvl w:val="2"/>
          <w:numId w:val="187"/>
        </w:numPr>
        <w:rPr>
          <w:rFonts w:ascii="Arial" w:cs="Arial" w:eastAsia="Arial" w:hAnsi="Arial"/>
          <w:sz w:val="21"/>
          <w:szCs w:val="21"/>
          <w:color w:val="auto"/>
        </w:rPr>
      </w:pPr>
      <w:r>
        <w:rPr>
          <w:rFonts w:ascii="Arial" w:cs="Arial" w:eastAsia="Arial" w:hAnsi="Arial"/>
          <w:sz w:val="21"/>
          <w:szCs w:val="21"/>
          <w:color w:val="auto"/>
        </w:rPr>
        <w:t>Such Cash Right shall expire no later than the Non-Qualified Option to which it is attached.</w:t>
      </w:r>
    </w:p>
    <w:p>
      <w:pPr>
        <w:spacing w:after="0" w:line="231" w:lineRule="exact"/>
        <w:rPr>
          <w:rFonts w:ascii="Arial" w:cs="Arial" w:eastAsia="Arial" w:hAnsi="Arial"/>
          <w:sz w:val="21"/>
          <w:szCs w:val="21"/>
          <w:color w:val="auto"/>
        </w:rPr>
      </w:pPr>
    </w:p>
    <w:p>
      <w:pPr>
        <w:ind w:left="1944" w:right="940" w:hanging="648"/>
        <w:spacing w:after="0" w:line="263" w:lineRule="auto"/>
        <w:tabs>
          <w:tab w:leader="none" w:pos="1944" w:val="left"/>
        </w:tabs>
        <w:numPr>
          <w:ilvl w:val="2"/>
          <w:numId w:val="187"/>
        </w:numPr>
        <w:rPr>
          <w:rFonts w:ascii="Arial" w:cs="Arial" w:eastAsia="Arial" w:hAnsi="Arial"/>
          <w:sz w:val="22"/>
          <w:szCs w:val="22"/>
          <w:color w:val="auto"/>
        </w:rPr>
      </w:pPr>
      <w:r>
        <w:rPr>
          <w:rFonts w:ascii="Arial" w:cs="Arial" w:eastAsia="Arial" w:hAnsi="Arial"/>
          <w:sz w:val="22"/>
          <w:szCs w:val="22"/>
          <w:color w:val="auto"/>
        </w:rPr>
        <w:t>Such Cash Right shall provide for the cash payment of such amount per Share as shall be determined by the Committee and stated in the option document.</w:t>
      </w:r>
    </w:p>
    <w:p>
      <w:pPr>
        <w:spacing w:after="0" w:line="174" w:lineRule="exact"/>
        <w:rPr>
          <w:rFonts w:ascii="Arial" w:cs="Arial" w:eastAsia="Arial" w:hAnsi="Arial"/>
          <w:sz w:val="22"/>
          <w:szCs w:val="22"/>
          <w:color w:val="auto"/>
        </w:rPr>
      </w:pPr>
    </w:p>
    <w:p>
      <w:pPr>
        <w:ind w:left="1944" w:right="340" w:hanging="648"/>
        <w:spacing w:after="0" w:line="263" w:lineRule="auto"/>
        <w:tabs>
          <w:tab w:leader="none" w:pos="1944" w:val="left"/>
        </w:tabs>
        <w:numPr>
          <w:ilvl w:val="2"/>
          <w:numId w:val="187"/>
        </w:numPr>
        <w:rPr>
          <w:rFonts w:ascii="Arial" w:cs="Arial" w:eastAsia="Arial" w:hAnsi="Arial"/>
          <w:sz w:val="22"/>
          <w:szCs w:val="22"/>
          <w:color w:val="auto"/>
        </w:rPr>
      </w:pPr>
      <w:r>
        <w:rPr>
          <w:rFonts w:ascii="Arial" w:cs="Arial" w:eastAsia="Arial" w:hAnsi="Arial"/>
          <w:sz w:val="22"/>
          <w:szCs w:val="22"/>
          <w:color w:val="auto"/>
        </w:rPr>
        <w:t>Such Cash Right shall be subject to the same restrictions on transferability as the Non-Qualified Option to which it is attached.</w:t>
      </w:r>
    </w:p>
    <w:p>
      <w:pPr>
        <w:spacing w:after="0" w:line="174" w:lineRule="exact"/>
        <w:rPr>
          <w:rFonts w:ascii="Arial" w:cs="Arial" w:eastAsia="Arial" w:hAnsi="Arial"/>
          <w:sz w:val="22"/>
          <w:szCs w:val="22"/>
          <w:color w:val="auto"/>
        </w:rPr>
      </w:pPr>
    </w:p>
    <w:p>
      <w:pPr>
        <w:ind w:left="1944" w:right="120" w:hanging="648"/>
        <w:spacing w:after="0" w:line="343" w:lineRule="auto"/>
        <w:tabs>
          <w:tab w:leader="none" w:pos="1944" w:val="left"/>
        </w:tabs>
        <w:numPr>
          <w:ilvl w:val="2"/>
          <w:numId w:val="187"/>
        </w:numPr>
        <w:rPr>
          <w:rFonts w:ascii="Arial" w:cs="Arial" w:eastAsia="Arial" w:hAnsi="Arial"/>
          <w:sz w:val="19"/>
          <w:szCs w:val="19"/>
          <w:color w:val="auto"/>
        </w:rPr>
      </w:pPr>
      <w:r>
        <w:rPr>
          <w:rFonts w:ascii="Arial" w:cs="Arial" w:eastAsia="Arial" w:hAnsi="Arial"/>
          <w:sz w:val="19"/>
          <w:szCs w:val="19"/>
          <w:color w:val="auto"/>
        </w:rPr>
        <w:t>Such Cash Right shall be exercisable only when such conditions to exercise as shall be determined by the Committee and stated in the option document, if any, have been satisfied.</w:t>
      </w:r>
    </w:p>
    <w:p>
      <w:pPr>
        <w:spacing w:after="0" w:line="104" w:lineRule="exact"/>
        <w:rPr>
          <w:rFonts w:ascii="Arial" w:cs="Arial" w:eastAsia="Arial" w:hAnsi="Arial"/>
          <w:sz w:val="19"/>
          <w:szCs w:val="19"/>
          <w:color w:val="auto"/>
        </w:rPr>
      </w:pPr>
    </w:p>
    <w:p>
      <w:pPr>
        <w:ind w:left="1944" w:hanging="648"/>
        <w:spacing w:after="0"/>
        <w:tabs>
          <w:tab w:leader="none" w:pos="1944" w:val="left"/>
        </w:tabs>
        <w:numPr>
          <w:ilvl w:val="2"/>
          <w:numId w:val="187"/>
        </w:numPr>
        <w:rPr>
          <w:rFonts w:ascii="Arial" w:cs="Arial" w:eastAsia="Arial" w:hAnsi="Arial"/>
          <w:sz w:val="19"/>
          <w:szCs w:val="19"/>
          <w:color w:val="auto"/>
        </w:rPr>
      </w:pPr>
      <w:r>
        <w:rPr>
          <w:rFonts w:ascii="Arial" w:cs="Arial" w:eastAsia="Arial" w:hAnsi="Arial"/>
          <w:sz w:val="19"/>
          <w:szCs w:val="19"/>
          <w:color w:val="auto"/>
        </w:rPr>
        <w:t>Such Cash Right shall expire upon the exercise of the Non-Qualified Option to which it is attached.</w:t>
      </w:r>
    </w:p>
    <w:p>
      <w:pPr>
        <w:spacing w:after="0" w:line="254" w:lineRule="exact"/>
        <w:rPr>
          <w:rFonts w:ascii="Arial" w:cs="Arial" w:eastAsia="Arial" w:hAnsi="Arial"/>
          <w:sz w:val="19"/>
          <w:szCs w:val="19"/>
          <w:color w:val="auto"/>
        </w:rPr>
      </w:pPr>
    </w:p>
    <w:p>
      <w:pPr>
        <w:ind w:left="1944" w:right="160" w:hanging="648"/>
        <w:spacing w:after="0" w:line="263" w:lineRule="auto"/>
        <w:tabs>
          <w:tab w:leader="none" w:pos="1944" w:val="left"/>
        </w:tabs>
        <w:numPr>
          <w:ilvl w:val="2"/>
          <w:numId w:val="187"/>
        </w:numPr>
        <w:rPr>
          <w:rFonts w:ascii="Arial" w:cs="Arial" w:eastAsia="Arial" w:hAnsi="Arial"/>
          <w:sz w:val="22"/>
          <w:szCs w:val="22"/>
          <w:color w:val="auto"/>
        </w:rPr>
      </w:pPr>
      <w:r>
        <w:rPr>
          <w:rFonts w:ascii="Arial" w:cs="Arial" w:eastAsia="Arial" w:hAnsi="Arial"/>
          <w:sz w:val="22"/>
          <w:szCs w:val="22"/>
          <w:color w:val="auto"/>
        </w:rPr>
        <w:t>Upon exercise of a Cash Right that is attached to a Non-Qualified Option, the Option to which the Cash Right is attached shall expire.</w:t>
      </w:r>
    </w:p>
    <w:p>
      <w:pPr>
        <w:spacing w:after="0" w:line="168" w:lineRule="exact"/>
        <w:rPr>
          <w:rFonts w:ascii="Arial" w:cs="Arial" w:eastAsia="Arial" w:hAnsi="Arial"/>
          <w:sz w:val="22"/>
          <w:szCs w:val="22"/>
          <w:color w:val="auto"/>
        </w:rPr>
      </w:pPr>
    </w:p>
    <w:p>
      <w:pPr>
        <w:ind w:left="344" w:hanging="344"/>
        <w:spacing w:after="0"/>
        <w:tabs>
          <w:tab w:leader="none" w:pos="344"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ON EXERCISE OF INCENTIVE STOCK OPTIONS</w:t>
      </w:r>
    </w:p>
    <w:p>
      <w:pPr>
        <w:spacing w:after="0" w:line="239" w:lineRule="exact"/>
        <w:rPr>
          <w:sz w:val="20"/>
          <w:szCs w:val="20"/>
          <w:color w:val="auto"/>
        </w:rPr>
      </w:pPr>
    </w:p>
    <w:p>
      <w:pPr>
        <w:ind w:left="4" w:firstLine="648"/>
        <w:spacing w:after="0" w:line="297" w:lineRule="auto"/>
        <w:rPr>
          <w:sz w:val="20"/>
          <w:szCs w:val="20"/>
          <w:color w:val="auto"/>
        </w:rPr>
      </w:pPr>
      <w:r>
        <w:rPr>
          <w:rFonts w:ascii="Arial" w:cs="Arial" w:eastAsia="Arial" w:hAnsi="Arial"/>
          <w:sz w:val="19"/>
          <w:szCs w:val="19"/>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w:t>
      </w:r>
    </w:p>
    <w:p>
      <w:pPr>
        <w:sectPr>
          <w:pgSz w:w="11900" w:h="16838" w:orient="portrait"/>
          <w:cols w:equalWidth="0" w:num="1">
            <w:col w:w="10584"/>
          </w:cols>
          <w:pgMar w:left="976" w:top="1333" w:right="339" w:bottom="1440" w:gutter="0" w:footer="0" w:header="0"/>
        </w:sectPr>
      </w:pPr>
    </w:p>
    <w:bookmarkStart w:id="132" w:name="page133"/>
    <w:bookmarkEnd w:id="132"/>
    <w:p>
      <w:pPr>
        <w:ind w:left="4" w:right="60"/>
        <w:spacing w:after="0" w:line="248" w:lineRule="auto"/>
        <w:rPr>
          <w:sz w:val="20"/>
          <w:szCs w:val="20"/>
          <w:color w:val="auto"/>
        </w:rPr>
      </w:pPr>
      <w:r>
        <w:rPr>
          <w:rFonts w:ascii="Arial" w:cs="Arial" w:eastAsia="Arial" w:hAnsi="Arial"/>
          <w:sz w:val="22"/>
          <w:szCs w:val="22"/>
          <w:color w:val="auto"/>
        </w:rPr>
        <w:t>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86" w:lineRule="exact"/>
        <w:rPr>
          <w:sz w:val="20"/>
          <w:szCs w:val="20"/>
          <w:color w:val="auto"/>
        </w:rPr>
      </w:pPr>
    </w:p>
    <w:p>
      <w:pPr>
        <w:ind w:left="4"/>
        <w:spacing w:after="0"/>
        <w:tabs>
          <w:tab w:leader="none" w:pos="324"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21"/>
          <w:szCs w:val="21"/>
          <w:b w:val="1"/>
          <w:bCs w:val="1"/>
          <w:color w:val="auto"/>
        </w:rPr>
        <w:t>RIGHTS AS SHAREHOLDERS</w:t>
      </w:r>
    </w:p>
    <w:p>
      <w:pPr>
        <w:spacing w:after="0" w:line="239" w:lineRule="exact"/>
        <w:rPr>
          <w:sz w:val="20"/>
          <w:szCs w:val="20"/>
          <w:color w:val="auto"/>
        </w:rPr>
      </w:pPr>
    </w:p>
    <w:p>
      <w:pPr>
        <w:ind w:left="4" w:firstLine="648"/>
        <w:spacing w:after="0" w:line="302" w:lineRule="auto"/>
        <w:rPr>
          <w:sz w:val="20"/>
          <w:szCs w:val="20"/>
          <w:color w:val="auto"/>
        </w:rPr>
      </w:pPr>
      <w:r>
        <w:rPr>
          <w:rFonts w:ascii="Arial" w:cs="Arial" w:eastAsia="Arial" w:hAnsi="Arial"/>
          <w:sz w:val="19"/>
          <w:szCs w:val="19"/>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36"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22"/>
          <w:szCs w:val="22"/>
          <w:b w:val="1"/>
          <w:bCs w:val="1"/>
          <w:color w:val="auto"/>
        </w:rPr>
        <w:t>10.</w:t>
        <w:tab/>
        <w:t>CHANGES IN CAPITALIZATION</w:t>
      </w:r>
    </w:p>
    <w:p>
      <w:pPr>
        <w:spacing w:after="0" w:line="239" w:lineRule="exact"/>
        <w:rPr>
          <w:sz w:val="20"/>
          <w:szCs w:val="20"/>
          <w:color w:val="auto"/>
        </w:rPr>
      </w:pPr>
    </w:p>
    <w:p>
      <w:pPr>
        <w:ind w:left="4" w:right="120" w:firstLine="648"/>
        <w:spacing w:after="0" w:line="289" w:lineRule="auto"/>
        <w:rPr>
          <w:sz w:val="20"/>
          <w:szCs w:val="20"/>
          <w:color w:val="auto"/>
        </w:rPr>
      </w:pPr>
      <w:r>
        <w:rPr>
          <w:rFonts w:ascii="Arial" w:cs="Arial" w:eastAsia="Arial" w:hAnsi="Arial"/>
          <w:sz w:val="19"/>
          <w:szCs w:val="19"/>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Committee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Committee’s adjustment shall be effective and binding for all purposes of this Plan.</w:t>
      </w:r>
    </w:p>
    <w:p>
      <w:pPr>
        <w:spacing w:after="0" w:line="151" w:lineRule="exact"/>
        <w:rPr>
          <w:sz w:val="20"/>
          <w:szCs w:val="20"/>
          <w:color w:val="auto"/>
        </w:rPr>
      </w:pPr>
    </w:p>
    <w:p>
      <w:pPr>
        <w:ind w:left="444" w:hanging="444"/>
        <w:spacing w:after="0"/>
        <w:tabs>
          <w:tab w:leader="none" w:pos="444"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TERMINATING EVENTS</w:t>
      </w:r>
    </w:p>
    <w:p>
      <w:pPr>
        <w:spacing w:after="0" w:line="239" w:lineRule="exact"/>
        <w:rPr>
          <w:rFonts w:ascii="Arial" w:cs="Arial" w:eastAsia="Arial" w:hAnsi="Arial"/>
          <w:sz w:val="22"/>
          <w:szCs w:val="22"/>
          <w:b w:val="1"/>
          <w:bCs w:val="1"/>
          <w:color w:val="auto"/>
        </w:rPr>
      </w:pPr>
    </w:p>
    <w:p>
      <w:pPr>
        <w:ind w:left="4" w:right="60" w:firstLine="644"/>
        <w:spacing w:after="0" w:line="292" w:lineRule="auto"/>
        <w:tabs>
          <w:tab w:leader="none" w:pos="1072" w:val="left"/>
        </w:tabs>
        <w:numPr>
          <w:ilvl w:val="1"/>
          <w:numId w:val="189"/>
        </w:numPr>
        <w:rPr>
          <w:rFonts w:ascii="Arial" w:cs="Arial" w:eastAsia="Arial" w:hAnsi="Arial"/>
          <w:sz w:val="19"/>
          <w:szCs w:val="19"/>
          <w:color w:val="auto"/>
        </w:rPr>
      </w:pPr>
      <w:r>
        <w:rPr>
          <w:rFonts w:ascii="Arial" w:cs="Arial" w:eastAsia="Arial" w:hAnsi="Arial"/>
          <w:sz w:val="19"/>
          <w:szCs w:val="19"/>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9"/>
          <w:szCs w:val="19"/>
          <w:u w:val="single" w:color="auto"/>
          <w:color w:val="auto"/>
        </w:rPr>
        <w:t>provided that</w:t>
      </w:r>
      <w:r>
        <w:rPr>
          <w:rFonts w:ascii="Arial" w:cs="Arial" w:eastAsia="Arial" w:hAnsi="Arial"/>
          <w:sz w:val="19"/>
          <w:szCs w:val="19"/>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ectPr>
          <w:pgSz w:w="11900" w:h="16838" w:orient="portrait"/>
          <w:cols w:equalWidth="0" w:num="1">
            <w:col w:w="10584"/>
          </w:cols>
          <w:pgMar w:left="976" w:top="1333" w:right="339" w:bottom="1440" w:gutter="0" w:footer="0" w:header="0"/>
        </w:sectPr>
      </w:pPr>
    </w:p>
    <w:bookmarkStart w:id="133" w:name="page134"/>
    <w:bookmarkEnd w:id="133"/>
    <w:p>
      <w:pPr>
        <w:ind w:left="4" w:firstLine="644"/>
        <w:spacing w:after="0" w:line="259" w:lineRule="auto"/>
        <w:tabs>
          <w:tab w:leader="none" w:pos="1084" w:val="left"/>
        </w:tabs>
        <w:numPr>
          <w:ilvl w:val="1"/>
          <w:numId w:val="190"/>
        </w:numPr>
        <w:rPr>
          <w:rFonts w:ascii="Arial" w:cs="Arial" w:eastAsia="Arial" w:hAnsi="Arial"/>
          <w:sz w:val="22"/>
          <w:szCs w:val="22"/>
          <w:color w:val="auto"/>
        </w:rPr>
      </w:pPr>
      <w:r>
        <w:rPr>
          <w:rFonts w:ascii="Arial" w:cs="Arial" w:eastAsia="Arial" w:hAnsi="Arial"/>
          <w:sz w:val="22"/>
          <w:szCs w:val="22"/>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74" w:lineRule="exact"/>
        <w:rPr>
          <w:rFonts w:ascii="Arial" w:cs="Arial" w:eastAsia="Arial" w:hAnsi="Arial"/>
          <w:sz w:val="22"/>
          <w:szCs w:val="22"/>
          <w:color w:val="auto"/>
        </w:rPr>
      </w:pPr>
    </w:p>
    <w:p>
      <w:pPr>
        <w:ind w:left="444" w:hanging="444"/>
        <w:spacing w:after="0"/>
        <w:tabs>
          <w:tab w:leader="none" w:pos="444"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39" w:lineRule="exact"/>
        <w:rPr>
          <w:sz w:val="20"/>
          <w:szCs w:val="20"/>
          <w:color w:val="auto"/>
        </w:rPr>
      </w:pPr>
    </w:p>
    <w:p>
      <w:pPr>
        <w:ind w:left="4" w:firstLine="648"/>
        <w:spacing w:after="0" w:line="292" w:lineRule="auto"/>
        <w:rPr>
          <w:sz w:val="20"/>
          <w:szCs w:val="20"/>
          <w:color w:val="auto"/>
        </w:rPr>
      </w:pPr>
      <w:r>
        <w:rPr>
          <w:rFonts w:ascii="Arial" w:cs="Arial" w:eastAsia="Arial" w:hAnsi="Arial"/>
          <w:sz w:val="19"/>
          <w:szCs w:val="19"/>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Optionees and their beneficiaries.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45" w:lineRule="exact"/>
        <w:rPr>
          <w:sz w:val="20"/>
          <w:szCs w:val="20"/>
          <w:color w:val="auto"/>
        </w:rPr>
      </w:pPr>
    </w:p>
    <w:p>
      <w:pPr>
        <w:ind w:left="444" w:hanging="444"/>
        <w:spacing w:after="0"/>
        <w:tabs>
          <w:tab w:leader="none" w:pos="444"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p>
    <w:p>
      <w:pPr>
        <w:spacing w:after="0" w:line="239" w:lineRule="exact"/>
        <w:rPr>
          <w:rFonts w:ascii="Arial" w:cs="Arial" w:eastAsia="Arial" w:hAnsi="Arial"/>
          <w:sz w:val="22"/>
          <w:szCs w:val="22"/>
          <w:b w:val="1"/>
          <w:bCs w:val="1"/>
          <w:color w:val="auto"/>
        </w:rPr>
      </w:pPr>
    </w:p>
    <w:p>
      <w:pPr>
        <w:ind w:left="4" w:right="40" w:firstLine="644"/>
        <w:spacing w:after="0" w:line="260" w:lineRule="auto"/>
        <w:tabs>
          <w:tab w:leader="none" w:pos="1072" w:val="left"/>
        </w:tabs>
        <w:numPr>
          <w:ilvl w:val="1"/>
          <w:numId w:val="192"/>
        </w:numPr>
        <w:rPr>
          <w:rFonts w:ascii="Arial" w:cs="Arial" w:eastAsia="Arial" w:hAnsi="Arial"/>
          <w:sz w:val="21"/>
          <w:szCs w:val="21"/>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83" w:lineRule="exact"/>
        <w:rPr>
          <w:rFonts w:ascii="Arial" w:cs="Arial" w:eastAsia="Arial" w:hAnsi="Arial"/>
          <w:sz w:val="21"/>
          <w:szCs w:val="21"/>
          <w:color w:val="auto"/>
        </w:rPr>
      </w:pPr>
    </w:p>
    <w:p>
      <w:pPr>
        <w:ind w:left="4" w:right="20" w:firstLine="644"/>
        <w:spacing w:after="0" w:line="294" w:lineRule="auto"/>
        <w:tabs>
          <w:tab w:leader="none" w:pos="1084" w:val="left"/>
        </w:tabs>
        <w:numPr>
          <w:ilvl w:val="1"/>
          <w:numId w:val="192"/>
        </w:numPr>
        <w:rPr>
          <w:rFonts w:ascii="Arial" w:cs="Arial" w:eastAsia="Arial" w:hAnsi="Arial"/>
          <w:sz w:val="19"/>
          <w:szCs w:val="19"/>
          <w:color w:val="auto"/>
        </w:rPr>
      </w:pPr>
      <w:r>
        <w:rPr>
          <w:rFonts w:ascii="Arial" w:cs="Arial" w:eastAsia="Arial" w:hAnsi="Arial"/>
          <w:sz w:val="19"/>
          <w:szCs w:val="19"/>
          <w:u w:val="single" w:color="auto"/>
          <w:color w:val="auto"/>
        </w:rPr>
        <w:t>Repricing of Options and Cash Rights</w:t>
      </w:r>
      <w:r>
        <w:rPr>
          <w:rFonts w:ascii="Arial" w:cs="Arial" w:eastAsia="Arial" w:hAnsi="Arial"/>
          <w:sz w:val="19"/>
          <w:szCs w:val="19"/>
          <w:color w:val="auto"/>
        </w:rPr>
        <w:t>. Notwithstanding any provision in the Plan to the contrary, neither the Board nor the Committee may, without obtaining prior approval by the Sponsor’s shareholders, reduce the option or exercise price of any issued and outstanding Option or Cash Right granted under the Plan, including through cancellation and regrant or any other method (including the repurchase of an Option or Cash Right that is “out of the money” in exchange for an Option, Cash Right, cash and/or other property), at any time during the term of such option or Cash Right (other than by adjustment pursuant to Paragraph 10 relating to Changes in Capitalization). This Paragraph 13(b) may not be repealed, modified or amended without the prior approval of the Sponsor’s shareholders.</w:t>
      </w:r>
    </w:p>
    <w:p>
      <w:pPr>
        <w:spacing w:after="0" w:line="145" w:lineRule="exact"/>
        <w:rPr>
          <w:rFonts w:ascii="Arial" w:cs="Arial" w:eastAsia="Arial" w:hAnsi="Arial"/>
          <w:sz w:val="19"/>
          <w:szCs w:val="19"/>
          <w:color w:val="auto"/>
        </w:rPr>
      </w:pPr>
    </w:p>
    <w:p>
      <w:pPr>
        <w:ind w:left="444" w:hanging="444"/>
        <w:spacing w:after="0"/>
        <w:tabs>
          <w:tab w:leader="none" w:pos="444"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w:t>
      </w:r>
    </w:p>
    <w:p>
      <w:pPr>
        <w:sectPr>
          <w:pgSz w:w="11900" w:h="16838" w:orient="portrait"/>
          <w:cols w:equalWidth="0" w:num="1">
            <w:col w:w="10584"/>
          </w:cols>
          <w:pgMar w:left="976" w:top="1333" w:right="339" w:bottom="1440" w:gutter="0" w:footer="0" w:header="0"/>
        </w:sectPr>
      </w:pPr>
    </w:p>
    <w:bookmarkStart w:id="134" w:name="page135"/>
    <w:bookmarkEnd w:id="134"/>
    <w:p>
      <w:pPr>
        <w:ind w:left="4" w:right="20" w:firstLine="644"/>
        <w:spacing w:after="0" w:line="278" w:lineRule="auto"/>
        <w:tabs>
          <w:tab w:leader="none" w:pos="1072" w:val="left"/>
        </w:tabs>
        <w:numPr>
          <w:ilvl w:val="1"/>
          <w:numId w:val="193"/>
        </w:numPr>
        <w:rPr>
          <w:rFonts w:ascii="Arial" w:cs="Arial" w:eastAsia="Arial" w:hAnsi="Arial"/>
          <w:sz w:val="21"/>
          <w:szCs w:val="21"/>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59" w:lineRule="exact"/>
        <w:rPr>
          <w:rFonts w:ascii="Arial" w:cs="Arial" w:eastAsia="Arial" w:hAnsi="Arial"/>
          <w:sz w:val="21"/>
          <w:szCs w:val="21"/>
          <w:color w:val="auto"/>
        </w:rPr>
      </w:pPr>
    </w:p>
    <w:p>
      <w:pPr>
        <w:ind w:left="4" w:right="280" w:firstLine="644"/>
        <w:spacing w:after="0" w:line="254" w:lineRule="auto"/>
        <w:tabs>
          <w:tab w:leader="none" w:pos="1084" w:val="left"/>
        </w:tabs>
        <w:numPr>
          <w:ilvl w:val="1"/>
          <w:numId w:val="193"/>
        </w:numPr>
        <w:rPr>
          <w:rFonts w:ascii="Arial" w:cs="Arial" w:eastAsia="Arial" w:hAnsi="Arial"/>
          <w:sz w:val="22"/>
          <w:szCs w:val="22"/>
          <w:color w:val="auto"/>
        </w:rPr>
      </w:pPr>
      <w:r>
        <w:rPr>
          <w:rFonts w:ascii="Arial" w:cs="Arial" w:eastAsia="Arial" w:hAnsi="Arial"/>
          <w:sz w:val="22"/>
          <w:szCs w:val="22"/>
          <w:u w:val="single" w:color="auto"/>
          <w:color w:val="auto"/>
        </w:rPr>
        <w:t>Acknowledgment of Securities Law Restrictions on Exercise</w:t>
      </w:r>
      <w:r>
        <w:rPr>
          <w:rFonts w:ascii="Arial" w:cs="Arial" w:eastAsia="Arial" w:hAnsi="Arial"/>
          <w:sz w:val="22"/>
          <w:szCs w:val="22"/>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84" w:lineRule="exact"/>
        <w:rPr>
          <w:rFonts w:ascii="Arial" w:cs="Arial" w:eastAsia="Arial" w:hAnsi="Arial"/>
          <w:sz w:val="22"/>
          <w:szCs w:val="22"/>
          <w:color w:val="auto"/>
        </w:rPr>
      </w:pPr>
    </w:p>
    <w:p>
      <w:pPr>
        <w:ind w:left="1944" w:right="520" w:hanging="648"/>
        <w:spacing w:after="0" w:line="312" w:lineRule="auto"/>
        <w:tabs>
          <w:tab w:leader="none" w:pos="1944" w:val="left"/>
        </w:tabs>
        <w:numPr>
          <w:ilvl w:val="2"/>
          <w:numId w:val="193"/>
        </w:numPr>
        <w:rPr>
          <w:rFonts w:ascii="Arial" w:cs="Arial" w:eastAsia="Arial" w:hAnsi="Arial"/>
          <w:sz w:val="19"/>
          <w:szCs w:val="19"/>
          <w:color w:val="auto"/>
        </w:rPr>
      </w:pPr>
      <w:r>
        <w:rPr>
          <w:rFonts w:ascii="Arial" w:cs="Arial" w:eastAsia="Arial" w:hAnsi="Arial"/>
          <w:sz w:val="19"/>
          <w:szCs w:val="19"/>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33" w:lineRule="exact"/>
        <w:rPr>
          <w:rFonts w:ascii="Arial" w:cs="Arial" w:eastAsia="Arial" w:hAnsi="Arial"/>
          <w:sz w:val="19"/>
          <w:szCs w:val="19"/>
          <w:color w:val="auto"/>
        </w:rPr>
      </w:pPr>
    </w:p>
    <w:p>
      <w:pPr>
        <w:ind w:left="1944" w:right="220" w:hanging="648"/>
        <w:spacing w:after="0" w:line="297" w:lineRule="auto"/>
        <w:tabs>
          <w:tab w:leader="none" w:pos="1944" w:val="left"/>
        </w:tabs>
        <w:numPr>
          <w:ilvl w:val="2"/>
          <w:numId w:val="193"/>
        </w:numPr>
        <w:rPr>
          <w:rFonts w:ascii="Arial" w:cs="Arial" w:eastAsia="Arial" w:hAnsi="Arial"/>
          <w:sz w:val="19"/>
          <w:szCs w:val="19"/>
          <w:color w:val="auto"/>
        </w:rPr>
      </w:pPr>
      <w:r>
        <w:rPr>
          <w:rFonts w:ascii="Arial" w:cs="Arial" w:eastAsia="Arial" w:hAnsi="Arial"/>
          <w:sz w:val="19"/>
          <w:szCs w:val="19"/>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46" w:lineRule="exact"/>
        <w:rPr>
          <w:rFonts w:ascii="Arial" w:cs="Arial" w:eastAsia="Arial" w:hAnsi="Arial"/>
          <w:sz w:val="19"/>
          <w:szCs w:val="19"/>
          <w:color w:val="auto"/>
        </w:rPr>
      </w:pPr>
    </w:p>
    <w:p>
      <w:pPr>
        <w:ind w:left="1944" w:right="140" w:hanging="648"/>
        <w:spacing w:after="0" w:line="263" w:lineRule="auto"/>
        <w:tabs>
          <w:tab w:leader="none" w:pos="1944" w:val="left"/>
        </w:tabs>
        <w:numPr>
          <w:ilvl w:val="2"/>
          <w:numId w:val="193"/>
        </w:numPr>
        <w:rPr>
          <w:rFonts w:ascii="Arial" w:cs="Arial" w:eastAsia="Arial" w:hAnsi="Arial"/>
          <w:sz w:val="22"/>
          <w:szCs w:val="22"/>
          <w:color w:val="auto"/>
        </w:rPr>
      </w:pPr>
      <w:r>
        <w:rPr>
          <w:rFonts w:ascii="Arial" w:cs="Arial" w:eastAsia="Arial" w:hAnsi="Arial"/>
          <w:sz w:val="22"/>
          <w:szCs w:val="22"/>
          <w:color w:val="auto"/>
        </w:rPr>
        <w:t>the book entry recordkeeping system maintained by the Sponsor evidencing the Shares may bear a restrictive legend; and</w:t>
      </w:r>
    </w:p>
    <w:p>
      <w:pPr>
        <w:spacing w:after="0" w:line="174" w:lineRule="exact"/>
        <w:rPr>
          <w:rFonts w:ascii="Arial" w:cs="Arial" w:eastAsia="Arial" w:hAnsi="Arial"/>
          <w:sz w:val="22"/>
          <w:szCs w:val="22"/>
          <w:color w:val="auto"/>
        </w:rPr>
      </w:pPr>
    </w:p>
    <w:p>
      <w:pPr>
        <w:ind w:left="1944" w:right="460" w:hanging="648"/>
        <w:spacing w:after="0" w:line="263" w:lineRule="auto"/>
        <w:tabs>
          <w:tab w:leader="none" w:pos="1944" w:val="left"/>
        </w:tabs>
        <w:numPr>
          <w:ilvl w:val="2"/>
          <w:numId w:val="193"/>
        </w:numPr>
        <w:rPr>
          <w:rFonts w:ascii="Arial" w:cs="Arial" w:eastAsia="Arial" w:hAnsi="Arial"/>
          <w:sz w:val="22"/>
          <w:szCs w:val="22"/>
          <w:color w:val="auto"/>
        </w:rPr>
      </w:pPr>
      <w:r>
        <w:rPr>
          <w:rFonts w:ascii="Arial" w:cs="Arial" w:eastAsia="Arial" w:hAnsi="Arial"/>
          <w:sz w:val="22"/>
          <w:szCs w:val="22"/>
          <w:color w:val="auto"/>
        </w:rPr>
        <w:t>the Shares subject to the Option may not be transferred without compliance with all applicable federal and state securities laws.</w:t>
      </w:r>
    </w:p>
    <w:p>
      <w:pPr>
        <w:spacing w:after="0" w:line="174" w:lineRule="exact"/>
        <w:rPr>
          <w:rFonts w:ascii="Arial" w:cs="Arial" w:eastAsia="Arial" w:hAnsi="Arial"/>
          <w:sz w:val="22"/>
          <w:szCs w:val="22"/>
          <w:color w:val="auto"/>
        </w:rPr>
      </w:pPr>
    </w:p>
    <w:p>
      <w:pPr>
        <w:ind w:left="4" w:firstLine="644"/>
        <w:spacing w:after="0" w:line="264" w:lineRule="auto"/>
        <w:tabs>
          <w:tab w:leader="none" w:pos="1072" w:val="left"/>
        </w:tabs>
        <w:numPr>
          <w:ilvl w:val="1"/>
          <w:numId w:val="193"/>
        </w:numPr>
        <w:rPr>
          <w:rFonts w:ascii="Arial" w:cs="Arial" w:eastAsia="Arial" w:hAnsi="Arial"/>
          <w:sz w:val="21"/>
          <w:szCs w:val="21"/>
          <w:color w:val="auto"/>
        </w:rPr>
      </w:pPr>
      <w:r>
        <w:rPr>
          <w:rFonts w:ascii="Arial" w:cs="Arial" w:eastAsia="Arial" w:hAnsi="Arial"/>
          <w:sz w:val="21"/>
          <w:szCs w:val="21"/>
          <w:u w:val="single" w:color="auto"/>
          <w:color w:val="auto"/>
        </w:rPr>
        <w:t>Delay of Exercise Pending Registration of Securities</w:t>
      </w:r>
      <w:r>
        <w:rPr>
          <w:rFonts w:ascii="Arial" w:cs="Arial" w:eastAsia="Arial" w:hAnsi="Arial"/>
          <w:sz w:val="21"/>
          <w:szCs w:val="21"/>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68" w:lineRule="exact"/>
        <w:rPr>
          <w:rFonts w:ascii="Arial" w:cs="Arial" w:eastAsia="Arial" w:hAnsi="Arial"/>
          <w:sz w:val="21"/>
          <w:szCs w:val="21"/>
          <w:color w:val="auto"/>
        </w:rPr>
      </w:pPr>
    </w:p>
    <w:p>
      <w:pPr>
        <w:ind w:left="444" w:hanging="444"/>
        <w:spacing w:after="0"/>
        <w:tabs>
          <w:tab w:leader="none" w:pos="444"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OF TAXES ON EXERCISE OF OPTION</w:t>
      </w:r>
    </w:p>
    <w:p>
      <w:pPr>
        <w:spacing w:after="0" w:line="239" w:lineRule="exact"/>
        <w:rPr>
          <w:rFonts w:ascii="Arial" w:cs="Arial" w:eastAsia="Arial" w:hAnsi="Arial"/>
          <w:sz w:val="22"/>
          <w:szCs w:val="22"/>
          <w:b w:val="1"/>
          <w:bCs w:val="1"/>
          <w:color w:val="auto"/>
        </w:rPr>
      </w:pPr>
    </w:p>
    <w:p>
      <w:pPr>
        <w:jc w:val="both"/>
        <w:ind w:left="4" w:right="160" w:firstLine="644"/>
        <w:spacing w:after="0" w:line="259" w:lineRule="auto"/>
        <w:tabs>
          <w:tab w:leader="none" w:pos="1072" w:val="left"/>
        </w:tabs>
        <w:numPr>
          <w:ilvl w:val="1"/>
          <w:numId w:val="194"/>
        </w:numPr>
        <w:rPr>
          <w:rFonts w:ascii="Arial" w:cs="Arial" w:eastAsia="Arial" w:hAnsi="Arial"/>
          <w:sz w:val="22"/>
          <w:szCs w:val="22"/>
          <w:color w:val="auto"/>
        </w:rPr>
      </w:pPr>
      <w:r>
        <w:rPr>
          <w:rFonts w:ascii="Arial" w:cs="Arial" w:eastAsia="Arial" w:hAnsi="Arial"/>
          <w:sz w:val="22"/>
          <w:szCs w:val="22"/>
          <w:color w:val="auto"/>
        </w:rPr>
        <w:t>Whenever the Company proposes or is required to deliver or transfer Shares in connection with the exercise of an Option, the Company shall have the right to (i) require the recipient to remit to the Sponsor an amount sufficient to satisfy any federal,</w:t>
      </w:r>
    </w:p>
    <w:p>
      <w:pPr>
        <w:sectPr>
          <w:pgSz w:w="11900" w:h="16838" w:orient="portrait"/>
          <w:cols w:equalWidth="0" w:num="1">
            <w:col w:w="10584"/>
          </w:cols>
          <w:pgMar w:left="976" w:top="1333" w:right="339" w:bottom="1440" w:gutter="0" w:footer="0" w:header="0"/>
        </w:sectPr>
      </w:pPr>
    </w:p>
    <w:bookmarkStart w:id="135" w:name="page136"/>
    <w:bookmarkEnd w:id="135"/>
    <w:p>
      <w:pPr>
        <w:ind w:right="140"/>
        <w:spacing w:after="0" w:line="292" w:lineRule="auto"/>
        <w:rPr>
          <w:sz w:val="20"/>
          <w:szCs w:val="20"/>
          <w:color w:val="auto"/>
        </w:rPr>
      </w:pPr>
      <w:r>
        <w:rPr>
          <w:rFonts w:ascii="Arial" w:cs="Arial" w:eastAsia="Arial" w:hAnsi="Arial"/>
          <w:sz w:val="19"/>
          <w:szCs w:val="19"/>
          <w:color w:val="auto"/>
        </w:rPr>
        <w:t>state and local withholding tax requirements prior to the delivery or transfer of any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51" w:lineRule="exact"/>
        <w:rPr>
          <w:sz w:val="20"/>
          <w:szCs w:val="20"/>
          <w:color w:val="auto"/>
        </w:rPr>
      </w:pPr>
    </w:p>
    <w:p>
      <w:pPr>
        <w:ind w:right="100" w:firstLine="644"/>
        <w:spacing w:after="0" w:line="262" w:lineRule="auto"/>
        <w:tabs>
          <w:tab w:leader="none" w:pos="108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except with respect to Options subject to the automatic exercise provisions described in Paragraph 7(h)(ii), the Committee may permit an Optionee to elect one or more of the following:</w:t>
      </w:r>
    </w:p>
    <w:p>
      <w:pPr>
        <w:spacing w:after="0" w:line="179" w:lineRule="exact"/>
        <w:rPr>
          <w:rFonts w:ascii="Arial" w:cs="Arial" w:eastAsia="Arial" w:hAnsi="Arial"/>
          <w:sz w:val="21"/>
          <w:szCs w:val="21"/>
          <w:color w:val="auto"/>
        </w:rPr>
      </w:pPr>
    </w:p>
    <w:p>
      <w:pPr>
        <w:ind w:left="1940" w:right="60" w:hanging="648"/>
        <w:spacing w:after="0" w:line="297" w:lineRule="auto"/>
        <w:tabs>
          <w:tab w:leader="none" w:pos="194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To the extent permitted by law,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Sponsor for the then-current exercise on account of withheld taxes in excess of such minimum amount;</w:t>
      </w:r>
    </w:p>
    <w:p>
      <w:pPr>
        <w:spacing w:after="0" w:line="146" w:lineRule="exact"/>
        <w:rPr>
          <w:rFonts w:ascii="Arial" w:cs="Arial" w:eastAsia="Arial" w:hAnsi="Arial"/>
          <w:sz w:val="19"/>
          <w:szCs w:val="19"/>
          <w:color w:val="auto"/>
        </w:rPr>
      </w:pPr>
    </w:p>
    <w:p>
      <w:pPr>
        <w:ind w:left="1940" w:hanging="648"/>
        <w:spacing w:after="0" w:line="289" w:lineRule="auto"/>
        <w:tabs>
          <w:tab w:leader="none" w:pos="194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With respect to Options (other than Incentive Stock Options) exercised on and after January 1, 2017, to have Shares otherwise deliverable to the Optionee after the application of this Paragraph 15(b) redeemed by the Sponsor for the Fair Market Value of such Shares on the date of the exercise of the applicable Option, and have the cash proceeds of such redemption remitted by the Sponsor to the Optionee to facilitate one or more estimated tax payments to the Internal Revenue Service or other taxing authority for the taxable year in which the Optionee exercises the Option, provided that the Optionee certifies in writing to the Sponsor at the time of such election that the Optionee owns Other Available Shares having a Fair Market Value that is at least equal to the Fair Market Value of such Shares to be redeemed by the Sponsor; and</w:t>
      </w:r>
    </w:p>
    <w:p>
      <w:pPr>
        <w:sectPr>
          <w:pgSz w:w="11900" w:h="16838" w:orient="portrait"/>
          <w:cols w:equalWidth="0" w:num="1">
            <w:col w:w="10580"/>
          </w:cols>
          <w:pgMar w:left="980" w:top="1333" w:right="339" w:bottom="1440" w:gutter="0" w:footer="0" w:header="0"/>
        </w:sectPr>
      </w:pPr>
    </w:p>
    <w:bookmarkStart w:id="136" w:name="page137"/>
    <w:bookmarkEnd w:id="136"/>
    <w:p>
      <w:pPr>
        <w:ind w:left="1944" w:right="340" w:hanging="648"/>
        <w:spacing w:after="0" w:line="263" w:lineRule="auto"/>
        <w:tabs>
          <w:tab w:leader="none" w:pos="194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To pay to the Sponsor in cash all or a portion of the taxes to be withheld upon the exercise of an Option.</w:t>
      </w:r>
    </w:p>
    <w:p>
      <w:pPr>
        <w:spacing w:after="0" w:line="175" w:lineRule="exact"/>
        <w:rPr>
          <w:sz w:val="20"/>
          <w:szCs w:val="20"/>
          <w:color w:val="auto"/>
        </w:rPr>
      </w:pPr>
    </w:p>
    <w:p>
      <w:pPr>
        <w:ind w:left="1304" w:right="60"/>
        <w:spacing w:after="0" w:line="289" w:lineRule="auto"/>
        <w:rPr>
          <w:sz w:val="20"/>
          <w:szCs w:val="20"/>
          <w:color w:val="auto"/>
        </w:rPr>
      </w:pPr>
      <w:r>
        <w:rPr>
          <w:rFonts w:ascii="Arial" w:cs="Arial" w:eastAsia="Arial" w:hAnsi="Arial"/>
          <w:sz w:val="19"/>
          <w:szCs w:val="19"/>
          <w:color w:val="auto"/>
        </w:rPr>
        <w:t>In all cases, the Shares so withheld or redeemed by the Sponsor, as applicable, shall have a Fair Market Value that does not exceed the amount of taxes to be withheld or remitted via estimated tax payments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or redeemed, as applicable, pursuant to this Paragraph 15(b) shall not continue to be available for subsequent grants under the Plan. The Committee may add such other requirements and limitations regarding elections pursuant to this Paragraph 15(b) as it deems appropriate.</w:t>
      </w:r>
    </w:p>
    <w:p>
      <w:pPr>
        <w:spacing w:after="0" w:line="157" w:lineRule="exact"/>
        <w:rPr>
          <w:sz w:val="20"/>
          <w:szCs w:val="20"/>
          <w:color w:val="auto"/>
        </w:rPr>
      </w:pPr>
    </w:p>
    <w:p>
      <w:pPr>
        <w:ind w:left="4" w:firstLine="644"/>
        <w:spacing w:after="0" w:line="287" w:lineRule="auto"/>
        <w:tabs>
          <w:tab w:leader="none" w:pos="1072" w:val="left"/>
        </w:tabs>
        <w:numPr>
          <w:ilvl w:val="1"/>
          <w:numId w:val="197"/>
        </w:numPr>
        <w:rPr>
          <w:rFonts w:ascii="Arial" w:cs="Arial" w:eastAsia="Arial" w:hAnsi="Arial"/>
          <w:sz w:val="19"/>
          <w:szCs w:val="19"/>
          <w:color w:val="auto"/>
        </w:rPr>
      </w:pPr>
      <w:r>
        <w:rPr>
          <w:rFonts w:ascii="Arial" w:cs="Arial" w:eastAsia="Arial" w:hAnsi="Arial"/>
          <w:sz w:val="19"/>
          <w:szCs w:val="19"/>
          <w:color w:val="auto"/>
        </w:rPr>
        <w:t>Except as otherwise provided in this Paragraph 15(c), any tax liabilities incurred in connection with the exercise of an Incentive Stock Option under the Plan (other than an Incentive Stock Option that is subject to the automatic exercise provisions described in Paragraph 7(h)(ii)),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tax liabilities incurred in connection with the automatic exercise of an Incentive Stock Option that is subject to the automatic exercise provisions described in Paragraph 7(h)(ii) shall be satisfied by the Sponsor’s withholding of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shall not continue to be available for subsequent grants under the Plan. The Committee may add such other requirements and limitations regarding elections pursuant to this Paragraph 15(c) as it deems appropriate.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444" w:hanging="444"/>
        <w:spacing w:after="0"/>
        <w:tabs>
          <w:tab w:leader="none" w:pos="444"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EFFECTIVE DATE AND TERM OF PLAN</w:t>
      </w:r>
    </w:p>
    <w:p>
      <w:pPr>
        <w:spacing w:after="0" w:line="239" w:lineRule="exact"/>
        <w:rPr>
          <w:sz w:val="20"/>
          <w:szCs w:val="20"/>
          <w:color w:val="auto"/>
        </w:rPr>
      </w:pPr>
    </w:p>
    <w:p>
      <w:pPr>
        <w:ind w:left="4" w:right="380" w:firstLine="648"/>
        <w:spacing w:after="0" w:line="287" w:lineRule="auto"/>
        <w:rPr>
          <w:sz w:val="20"/>
          <w:szCs w:val="20"/>
          <w:color w:val="auto"/>
        </w:rPr>
      </w:pPr>
      <w:r>
        <w:rPr>
          <w:rFonts w:ascii="Arial" w:cs="Arial" w:eastAsia="Arial" w:hAnsi="Arial"/>
          <w:sz w:val="21"/>
          <w:szCs w:val="21"/>
          <w:color w:val="auto"/>
        </w:rPr>
        <w:t>This amendment and restatement of the Plan shall be effective April 10, 2020, except as otherwise specifically provided herein. The Plan shall expire on May 19, 2026, unless sooner terminated by the Board.</w:t>
      </w:r>
    </w:p>
    <w:p>
      <w:pPr>
        <w:sectPr>
          <w:pgSz w:w="11900" w:h="16838" w:orient="portrait"/>
          <w:cols w:equalWidth="0" w:num="1">
            <w:col w:w="10564"/>
          </w:cols>
          <w:pgMar w:left="976" w:top="1333" w:right="359" w:bottom="1440" w:gutter="0" w:footer="0" w:header="0"/>
        </w:sectPr>
      </w:pPr>
    </w:p>
    <w:bookmarkStart w:id="137" w:name="page138"/>
    <w:bookmarkEnd w:id="137"/>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[THIS SPACE INTENTIONALLY LEFT BLANK]</w:t>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360"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17.</w:t>
        <w:tab/>
        <w:t>GENERAL</w:t>
      </w:r>
    </w:p>
    <w:p>
      <w:pPr>
        <w:spacing w:after="0" w:line="239"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36"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Executed on the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April, 2020.</w:t>
      </w:r>
    </w:p>
    <w:p>
      <w:pPr>
        <w:spacing w:after="0" w:line="155"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36"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2312670</wp:posOffset>
            </wp:positionH>
            <wp:positionV relativeFrom="paragraph">
              <wp:posOffset>-13970</wp:posOffset>
            </wp:positionV>
            <wp:extent cx="1592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40"/>
        <w:spacing w:after="0"/>
        <w:tabs>
          <w:tab w:leader="none" w:pos="4320" w:val="left"/>
        </w:tabs>
        <w:rPr>
          <w:sz w:val="20"/>
          <w:szCs w:val="20"/>
          <w:color w:val="auto"/>
        </w:rPr>
      </w:pPr>
      <w:r>
        <w:rPr>
          <w:rFonts w:ascii="Arial" w:cs="Arial" w:eastAsia="Arial" w:hAnsi="Arial"/>
          <w:sz w:val="22"/>
          <w:szCs w:val="22"/>
          <w:b w:val="1"/>
          <w:bCs w:val="1"/>
          <w:color w:val="auto"/>
        </w:rPr>
        <w:t>ATTEST:</w:t>
      </w:r>
      <w:r>
        <w:rPr>
          <w:sz w:val="20"/>
          <w:szCs w:val="20"/>
          <w:color w:val="auto"/>
        </w:rPr>
        <w:tab/>
      </w:r>
      <w:r>
        <w:rPr>
          <w:rFonts w:ascii="Arial" w:cs="Arial" w:eastAsia="Arial" w:hAnsi="Arial"/>
          <w:sz w:val="19"/>
          <w:szCs w:val="19"/>
          <w:color w:val="auto"/>
        </w:rPr>
        <w:t>/s/Thomas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2621280</wp:posOffset>
            </wp:positionH>
            <wp:positionV relativeFrom="paragraph">
              <wp:posOffset>-13970</wp:posOffset>
            </wp:positionV>
            <wp:extent cx="1398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sectPr>
          <w:pgSz w:w="11900" w:h="16838" w:orient="portrait"/>
          <w:cols w:equalWidth="0" w:num="1">
            <w:col w:w="10560"/>
          </w:cols>
          <w:pgMar w:left="980" w:top="1440" w:right="35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Exhibit 10.5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EMPLOYMENT AGREEMENT</w:t>
      </w:r>
    </w:p>
    <w:p>
      <w:pPr>
        <w:spacing w:after="0" w:line="266" w:lineRule="exact"/>
        <w:rPr>
          <w:sz w:val="20"/>
          <w:szCs w:val="20"/>
          <w:color w:val="auto"/>
        </w:rPr>
      </w:pPr>
    </w:p>
    <w:p>
      <w:pPr>
        <w:ind w:right="200" w:firstLine="648"/>
        <w:spacing w:after="0" w:line="304" w:lineRule="auto"/>
        <w:rPr>
          <w:sz w:val="20"/>
          <w:szCs w:val="20"/>
          <w:color w:val="auto"/>
        </w:rPr>
      </w:pPr>
      <w:r>
        <w:rPr>
          <w:rFonts w:ascii="Arial" w:cs="Arial" w:eastAsia="Arial" w:hAnsi="Arial"/>
          <w:sz w:val="22"/>
          <w:szCs w:val="22"/>
          <w:color w:val="auto"/>
        </w:rPr>
        <w:t>This AMENDMENT NO. 2 TO EMPLOYMENT AGREEMENT (“Amendment No. 2”) is entered into as of the 29 day of April, 2020, between COMCAST CORPORATION, a Pennsylvania corporation (together with its subsidiaries, the “Company”), and DAVID N. WATSON (“Employee”).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66" w:lineRule="exact"/>
        <w:rPr>
          <w:sz w:val="20"/>
          <w:szCs w:val="20"/>
          <w:color w:val="auto"/>
        </w:rPr>
      </w:pPr>
    </w:p>
    <w:p>
      <w:pPr>
        <w:ind w:right="40" w:firstLine="648"/>
        <w:spacing w:after="0" w:line="402" w:lineRule="auto"/>
        <w:rPr>
          <w:sz w:val="20"/>
          <w:szCs w:val="20"/>
          <w:color w:val="auto"/>
        </w:rPr>
      </w:pPr>
      <w:r>
        <w:rPr>
          <w:rFonts w:ascii="Arial" w:cs="Arial" w:eastAsia="Arial" w:hAnsi="Arial"/>
          <w:sz w:val="19"/>
          <w:szCs w:val="19"/>
          <w:color w:val="auto"/>
        </w:rPr>
        <w:t>The Company and Employee entered into an Employment Agreement (the “Agreement”), effective as of March 1, 2018, as amended by Amendment No. 1 dated as of December 16, 2019, and desire to further amend the Agreement as provided herein.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Intending to be legally bound hereby, the Company and Employee agree as follows:</w:t>
      </w:r>
    </w:p>
    <w:p>
      <w:pPr>
        <w:spacing w:after="0" w:line="260" w:lineRule="exact"/>
        <w:rPr>
          <w:sz w:val="20"/>
          <w:szCs w:val="20"/>
          <w:color w:val="auto"/>
        </w:rPr>
      </w:pPr>
    </w:p>
    <w:p>
      <w:pPr>
        <w:ind w:left="980" w:right="40" w:hanging="324"/>
        <w:spacing w:after="0" w:line="341" w:lineRule="auto"/>
        <w:tabs>
          <w:tab w:leader="none" w:pos="98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Clause (b) of paragraph 2 of the Agreement is hereby amended and restated to read in its entirety as follows: “(b) June 30, 2025 (the date specified in subparagraph (b) is referred to as the “Regular End Date”).”</w:t>
      </w:r>
    </w:p>
    <w:p>
      <w:pPr>
        <w:spacing w:after="0" w:line="150" w:lineRule="exact"/>
        <w:rPr>
          <w:rFonts w:ascii="Arial" w:cs="Arial" w:eastAsia="Arial" w:hAnsi="Arial"/>
          <w:sz w:val="21"/>
          <w:szCs w:val="21"/>
          <w:color w:val="auto"/>
        </w:rPr>
      </w:pPr>
    </w:p>
    <w:p>
      <w:pPr>
        <w:ind w:left="980" w:hanging="324"/>
        <w:spacing w:after="0"/>
        <w:tabs>
          <w:tab w:leader="none" w:pos="98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Paragraph 3 of Schedule 1 to the Agreement is hereby amended and restated to read in its entirety as follows: “Cash</w:t>
      </w:r>
    </w:p>
    <w:p>
      <w:pPr>
        <w:spacing w:after="0" w:line="92" w:lineRule="exact"/>
        <w:rPr>
          <w:rFonts w:ascii="Arial" w:cs="Arial" w:eastAsia="Arial" w:hAnsi="Arial"/>
          <w:sz w:val="19"/>
          <w:szCs w:val="19"/>
          <w:color w:val="auto"/>
        </w:rPr>
      </w:pPr>
    </w:p>
    <w:p>
      <w:pPr>
        <w:ind w:left="980"/>
        <w:spacing w:after="0" w:line="314" w:lineRule="auto"/>
        <w:rPr>
          <w:rFonts w:ascii="Arial" w:cs="Arial" w:eastAsia="Arial" w:hAnsi="Arial"/>
          <w:sz w:val="19"/>
          <w:szCs w:val="19"/>
          <w:color w:val="auto"/>
        </w:rPr>
      </w:pPr>
      <w:r>
        <w:rPr>
          <w:rFonts w:ascii="Arial" w:cs="Arial" w:eastAsia="Arial" w:hAnsi="Arial"/>
          <w:sz w:val="22"/>
          <w:szCs w:val="22"/>
          <w:color w:val="auto"/>
        </w:rPr>
        <w:t>Bonus. Target bonus potential under the Cash Bonus Plan commencing March 1, 2020: 300% of eligible earnings (</w:t>
      </w:r>
      <w:r>
        <w:rPr>
          <w:rFonts w:ascii="Arial" w:cs="Arial" w:eastAsia="Arial" w:hAnsi="Arial"/>
          <w:sz w:val="22"/>
          <w:szCs w:val="22"/>
          <w:u w:val="single" w:color="auto"/>
          <w:color w:val="auto"/>
        </w:rPr>
        <w:t>i.e.</w:t>
      </w:r>
      <w:r>
        <w:rPr>
          <w:rFonts w:ascii="Arial" w:cs="Arial" w:eastAsia="Arial" w:hAnsi="Arial"/>
          <w:sz w:val="22"/>
          <w:szCs w:val="22"/>
          <w:color w:val="auto"/>
        </w:rPr>
        <w:t>, the amount of Base Salary actually paid and/or deferred in the applicable period).”</w:t>
      </w:r>
    </w:p>
    <w:p>
      <w:pPr>
        <w:spacing w:after="0" w:line="175" w:lineRule="exact"/>
        <w:rPr>
          <w:rFonts w:ascii="Arial" w:cs="Arial" w:eastAsia="Arial" w:hAnsi="Arial"/>
          <w:sz w:val="19"/>
          <w:szCs w:val="19"/>
          <w:color w:val="auto"/>
        </w:rPr>
      </w:pPr>
    </w:p>
    <w:p>
      <w:pPr>
        <w:ind w:left="980" w:hanging="324"/>
        <w:spacing w:after="0"/>
        <w:tabs>
          <w:tab w:leader="none" w:pos="9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Other than as amended hereby, the Agreement remains in full force and effect.</w:t>
      </w:r>
    </w:p>
    <w:p>
      <w:pPr>
        <w:spacing w:after="0" w:line="274" w:lineRule="exact"/>
        <w:rPr>
          <w:sz w:val="20"/>
          <w:szCs w:val="20"/>
          <w:color w:val="auto"/>
        </w:rPr>
      </w:pPr>
    </w:p>
    <w:p>
      <w:pPr>
        <w:ind w:right="480" w:firstLine="648"/>
        <w:spacing w:after="0" w:line="314" w:lineRule="auto"/>
        <w:rPr>
          <w:sz w:val="20"/>
          <w:szCs w:val="20"/>
          <w:color w:val="auto"/>
        </w:rPr>
      </w:pPr>
      <w:r>
        <w:rPr>
          <w:rFonts w:ascii="Arial" w:cs="Arial" w:eastAsia="Arial" w:hAnsi="Arial"/>
          <w:sz w:val="22"/>
          <w:szCs w:val="22"/>
          <w:color w:val="auto"/>
        </w:rPr>
        <w:t>IN WITNESS WHEREOF, the parties hereto have executed and delivered this Amendment No. 2 as of the date first-above written.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COMCAST CORPORATION</w:t>
      </w:r>
    </w:p>
    <w:p>
      <w:pPr>
        <w:spacing w:after="0" w:line="12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-17780</wp:posOffset>
            </wp:positionV>
            <wp:extent cx="1158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David 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-17780</wp:posOffset>
            </wp:positionV>
            <wp:extent cx="1417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7320"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David N. Watson</w:t>
      </w:r>
    </w:p>
    <w:p>
      <w:pPr>
        <w:sectPr>
          <w:pgSz w:w="11900" w:h="16838" w:orient="portrait"/>
          <w:cols w:equalWidth="0" w:num="1">
            <w:col w:w="11240"/>
          </w:cols>
          <w:pgMar w:left="320" w:top="341" w:right="339" w:bottom="1440" w:gutter="0" w:footer="0" w:header="0"/>
        </w:sectPr>
      </w:pPr>
    </w:p>
    <w:bookmarkStart w:id="140" w:name="page141"/>
    <w:bookmarkEnd w:id="140"/>
    <w:p>
      <w:pPr>
        <w:ind w:left="10120"/>
        <w:spacing w:after="0"/>
        <w:rPr>
          <w:sz w:val="20"/>
          <w:szCs w:val="20"/>
          <w:color w:val="auto"/>
        </w:rPr>
      </w:pPr>
      <w:r>
        <w:rPr>
          <w:rFonts w:ascii="Arial" w:cs="Arial" w:eastAsia="Arial" w:hAnsi="Arial"/>
          <w:sz w:val="19"/>
          <w:szCs w:val="19"/>
          <w:b w:val="1"/>
          <w:bCs w:val="1"/>
          <w:color w:val="auto"/>
        </w:rPr>
        <w:t>Exhibit 22.1</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Subsidiary guarantors and issuers of guaranteed securities and affiliates whose securities collateralize securities of the</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registrant</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6540" w:type="dxa"/>
            <w:vAlign w:val="bottom"/>
            <w:tcBorders>
              <w:top w:val="single" w:sz="8" w:color="00000A"/>
              <w:left w:val="single" w:sz="8" w:color="00000A"/>
              <w:right w:val="single" w:sz="8" w:color="00000A"/>
            </w:tcBorders>
          </w:tcPr>
          <w:p>
            <w:pPr>
              <w:ind w:left="2820"/>
              <w:spacing w:after="0"/>
              <w:rPr>
                <w:sz w:val="20"/>
                <w:szCs w:val="20"/>
                <w:color w:val="auto"/>
              </w:rPr>
            </w:pPr>
            <w:r>
              <w:rPr>
                <w:rFonts w:ascii="Arial" w:cs="Arial" w:eastAsia="Arial" w:hAnsi="Arial"/>
                <w:sz w:val="22"/>
                <w:szCs w:val="22"/>
                <w:b w:val="1"/>
                <w:bCs w:val="1"/>
                <w:color w:val="auto"/>
              </w:rPr>
              <w:t>Securities</w:t>
            </w:r>
          </w:p>
        </w:tc>
        <w:tc>
          <w:tcPr>
            <w:tcW w:w="4720" w:type="dxa"/>
            <w:vAlign w:val="bottom"/>
            <w:tcBorders>
              <w:top w:val="single" w:sz="8" w:color="00000A"/>
              <w:right w:val="single" w:sz="8" w:color="00000A"/>
            </w:tcBorders>
          </w:tcPr>
          <w:p>
            <w:pPr>
              <w:ind w:left="1820"/>
              <w:spacing w:after="0"/>
              <w:rPr>
                <w:sz w:val="20"/>
                <w:szCs w:val="20"/>
                <w:color w:val="auto"/>
              </w:rPr>
            </w:pPr>
            <w:r>
              <w:rPr>
                <w:rFonts w:ascii="Arial" w:cs="Arial" w:eastAsia="Arial" w:hAnsi="Arial"/>
                <w:sz w:val="22"/>
                <w:szCs w:val="22"/>
                <w:b w:val="1"/>
                <w:bCs w:val="1"/>
                <w:color w:val="auto"/>
              </w:rPr>
              <w:t>Guarantors</w:t>
            </w:r>
          </w:p>
        </w:tc>
      </w:tr>
      <w:tr>
        <w:trPr>
          <w:trHeight w:val="422"/>
        </w:trPr>
        <w:tc>
          <w:tcPr>
            <w:tcW w:w="6540" w:type="dxa"/>
            <w:vAlign w:val="bottom"/>
            <w:tcBorders>
              <w:left w:val="single" w:sz="8" w:color="00000A"/>
              <w:bottom w:val="single" w:sz="8" w:color="00000A"/>
              <w:right w:val="single" w:sz="8" w:color="00000A"/>
            </w:tcBorders>
          </w:tcPr>
          <w:p>
            <w:pPr>
              <w:spacing w:after="0"/>
              <w:rPr>
                <w:sz w:val="24"/>
                <w:szCs w:val="24"/>
                <w:color w:val="auto"/>
              </w:rPr>
            </w:pPr>
          </w:p>
        </w:tc>
        <w:tc>
          <w:tcPr>
            <w:tcW w:w="4720" w:type="dxa"/>
            <w:vAlign w:val="bottom"/>
            <w:tcBorders>
              <w:bottom w:val="single" w:sz="8" w:color="00000A"/>
              <w:right w:val="single" w:sz="8" w:color="00000A"/>
            </w:tcBorders>
          </w:tcPr>
          <w:p>
            <w:pPr>
              <w:spacing w:after="0"/>
              <w:rPr>
                <w:sz w:val="24"/>
                <w:szCs w:val="24"/>
                <w:color w:val="auto"/>
              </w:rPr>
            </w:pPr>
          </w:p>
        </w:tc>
      </w:tr>
      <w:tr>
        <w:trPr>
          <w:trHeight w:val="242"/>
        </w:trPr>
        <w:tc>
          <w:tcPr>
            <w:tcW w:w="654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2"/>
              </w:rPr>
              <w:t>Certain debt securities issued by Comcast Corporation under the Senior</w:t>
            </w:r>
          </w:p>
        </w:tc>
        <w:tc>
          <w:tcPr>
            <w:tcW w:w="472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rPr>
              <w:t>Comcast Cable Communications, LLC and</w:t>
            </w:r>
          </w:p>
        </w:tc>
      </w:tr>
      <w:tr>
        <w:trPr>
          <w:trHeight w:val="243"/>
        </w:trPr>
        <w:tc>
          <w:tcPr>
            <w:tcW w:w="654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1"/>
              </w:rPr>
              <w:t>Indenture dated September 18, 2013, as supplemented and amended by</w:t>
            </w:r>
          </w:p>
        </w:tc>
        <w:tc>
          <w:tcPr>
            <w:tcW w:w="472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NBCUniversal Media, LLC</w:t>
            </w:r>
          </w:p>
        </w:tc>
      </w:tr>
      <w:tr>
        <w:trPr>
          <w:trHeight w:val="243"/>
        </w:trPr>
        <w:tc>
          <w:tcPr>
            <w:tcW w:w="654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0"/>
              </w:rPr>
              <w:t>the First Supplemental Indenture dated November 17, 2015. The 0.250%</w:t>
            </w:r>
          </w:p>
        </w:tc>
        <w:tc>
          <w:tcPr>
            <w:tcW w:w="4720" w:type="dxa"/>
            <w:vAlign w:val="bottom"/>
            <w:tcBorders>
              <w:right w:val="single" w:sz="8" w:color="00000A"/>
            </w:tcBorders>
          </w:tcPr>
          <w:p>
            <w:pPr>
              <w:spacing w:after="0"/>
              <w:rPr>
                <w:sz w:val="21"/>
                <w:szCs w:val="21"/>
                <w:color w:val="auto"/>
              </w:rPr>
            </w:pPr>
          </w:p>
        </w:tc>
      </w:tr>
      <w:tr>
        <w:trPr>
          <w:trHeight w:val="243"/>
        </w:trPr>
        <w:tc>
          <w:tcPr>
            <w:tcW w:w="654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88"/>
              </w:rPr>
              <w:t>Notes due 2027, the 0.750% Notes due 2032, the 1.250% Notes due 2040,</w:t>
            </w:r>
          </w:p>
        </w:tc>
        <w:tc>
          <w:tcPr>
            <w:tcW w:w="4720" w:type="dxa"/>
            <w:vAlign w:val="bottom"/>
            <w:tcBorders>
              <w:right w:val="single" w:sz="8" w:color="00000A"/>
            </w:tcBorders>
          </w:tcPr>
          <w:p>
            <w:pPr>
              <w:spacing w:after="0"/>
              <w:rPr>
                <w:sz w:val="21"/>
                <w:szCs w:val="21"/>
                <w:color w:val="auto"/>
              </w:rPr>
            </w:pPr>
          </w:p>
        </w:tc>
      </w:tr>
      <w:tr>
        <w:trPr>
          <w:trHeight w:val="243"/>
        </w:trPr>
        <w:tc>
          <w:tcPr>
            <w:tcW w:w="654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89"/>
              </w:rPr>
              <w:t>the 1.500% Notes due 2029 and the 1.875% Notes due 2036 are listed on</w:t>
            </w:r>
          </w:p>
        </w:tc>
        <w:tc>
          <w:tcPr>
            <w:tcW w:w="4720" w:type="dxa"/>
            <w:vAlign w:val="bottom"/>
            <w:tcBorders>
              <w:right w:val="single" w:sz="8" w:color="00000A"/>
            </w:tcBorders>
          </w:tcPr>
          <w:p>
            <w:pPr>
              <w:spacing w:after="0"/>
              <w:rPr>
                <w:sz w:val="21"/>
                <w:szCs w:val="21"/>
                <w:color w:val="auto"/>
              </w:rPr>
            </w:pPr>
          </w:p>
        </w:tc>
      </w:tr>
      <w:tr>
        <w:trPr>
          <w:trHeight w:val="274"/>
        </w:trPr>
        <w:tc>
          <w:tcPr>
            <w:tcW w:w="6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the Nasdaq Global Market.</w:t>
            </w:r>
          </w:p>
        </w:tc>
        <w:tc>
          <w:tcPr>
            <w:tcW w:w="4720" w:type="dxa"/>
            <w:vAlign w:val="bottom"/>
            <w:tcBorders>
              <w:right w:val="single" w:sz="8" w:color="00000A"/>
            </w:tcBorders>
          </w:tcPr>
          <w:p>
            <w:pPr>
              <w:spacing w:after="0"/>
              <w:rPr>
                <w:sz w:val="23"/>
                <w:szCs w:val="23"/>
                <w:color w:val="auto"/>
              </w:rPr>
            </w:pPr>
          </w:p>
        </w:tc>
      </w:tr>
      <w:tr>
        <w:trPr>
          <w:trHeight w:val="422"/>
        </w:trPr>
        <w:tc>
          <w:tcPr>
            <w:tcW w:w="6540" w:type="dxa"/>
            <w:vAlign w:val="bottom"/>
            <w:tcBorders>
              <w:left w:val="single" w:sz="8" w:color="00000A"/>
              <w:bottom w:val="single" w:sz="8" w:color="00000A"/>
              <w:right w:val="single" w:sz="8" w:color="00000A"/>
            </w:tcBorders>
          </w:tcPr>
          <w:p>
            <w:pPr>
              <w:spacing w:after="0"/>
              <w:rPr>
                <w:sz w:val="24"/>
                <w:szCs w:val="24"/>
                <w:color w:val="auto"/>
              </w:rPr>
            </w:pPr>
          </w:p>
        </w:tc>
        <w:tc>
          <w:tcPr>
            <w:tcW w:w="4720" w:type="dxa"/>
            <w:vAlign w:val="bottom"/>
            <w:tcBorders>
              <w:bottom w:val="single" w:sz="8" w:color="00000A"/>
              <w:right w:val="single" w:sz="8" w:color="00000A"/>
            </w:tcBorders>
          </w:tcPr>
          <w:p>
            <w:pPr>
              <w:spacing w:after="0"/>
              <w:rPr>
                <w:sz w:val="24"/>
                <w:szCs w:val="24"/>
                <w:color w:val="auto"/>
              </w:rPr>
            </w:pPr>
          </w:p>
        </w:tc>
      </w:tr>
      <w:tr>
        <w:trPr>
          <w:trHeight w:val="242"/>
        </w:trPr>
        <w:tc>
          <w:tcPr>
            <w:tcW w:w="654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rPr>
              <w:t>Certain debt securities issued by Comcast Corporation under the</w:t>
            </w:r>
          </w:p>
        </w:tc>
        <w:tc>
          <w:tcPr>
            <w:tcW w:w="472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rPr>
              <w:t>Comcast Cable Communications, LLC and</w:t>
            </w:r>
          </w:p>
        </w:tc>
      </w:tr>
      <w:tr>
        <w:trPr>
          <w:trHeight w:val="243"/>
        </w:trPr>
        <w:tc>
          <w:tcPr>
            <w:tcW w:w="654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0"/>
              </w:rPr>
              <w:t>Indenture, dated January 7, 2003, as supplemented and amended by the</w:t>
            </w:r>
          </w:p>
        </w:tc>
        <w:tc>
          <w:tcPr>
            <w:tcW w:w="472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NBCUniversal Media, LLC</w:t>
            </w:r>
          </w:p>
        </w:tc>
      </w:tr>
      <w:tr>
        <w:trPr>
          <w:trHeight w:val="243"/>
        </w:trPr>
        <w:tc>
          <w:tcPr>
            <w:tcW w:w="654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First Supplemental Indenture dated March 25, 2003, the Second</w:t>
            </w:r>
          </w:p>
        </w:tc>
        <w:tc>
          <w:tcPr>
            <w:tcW w:w="4720" w:type="dxa"/>
            <w:vAlign w:val="bottom"/>
            <w:tcBorders>
              <w:right w:val="single" w:sz="8" w:color="00000A"/>
            </w:tcBorders>
          </w:tcPr>
          <w:p>
            <w:pPr>
              <w:spacing w:after="0"/>
              <w:rPr>
                <w:sz w:val="21"/>
                <w:szCs w:val="21"/>
                <w:color w:val="auto"/>
              </w:rPr>
            </w:pPr>
          </w:p>
        </w:tc>
      </w:tr>
      <w:tr>
        <w:trPr>
          <w:trHeight w:val="243"/>
        </w:trPr>
        <w:tc>
          <w:tcPr>
            <w:tcW w:w="654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2"/>
              </w:rPr>
              <w:t>Supplemental Indenture dated August 31, 2009, the Third Supplemental</w:t>
            </w:r>
          </w:p>
        </w:tc>
        <w:tc>
          <w:tcPr>
            <w:tcW w:w="4720" w:type="dxa"/>
            <w:vAlign w:val="bottom"/>
            <w:tcBorders>
              <w:right w:val="single" w:sz="8" w:color="00000A"/>
            </w:tcBorders>
          </w:tcPr>
          <w:p>
            <w:pPr>
              <w:spacing w:after="0"/>
              <w:rPr>
                <w:sz w:val="21"/>
                <w:szCs w:val="21"/>
                <w:color w:val="auto"/>
              </w:rPr>
            </w:pPr>
          </w:p>
        </w:tc>
      </w:tr>
      <w:tr>
        <w:trPr>
          <w:trHeight w:val="243"/>
        </w:trPr>
        <w:tc>
          <w:tcPr>
            <w:tcW w:w="654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2"/>
              </w:rPr>
              <w:t>Indenture dated March 27, 2013 and the Fourth Supplemental Indenture</w:t>
            </w:r>
          </w:p>
        </w:tc>
        <w:tc>
          <w:tcPr>
            <w:tcW w:w="4720" w:type="dxa"/>
            <w:vAlign w:val="bottom"/>
            <w:tcBorders>
              <w:right w:val="single" w:sz="8" w:color="00000A"/>
            </w:tcBorders>
          </w:tcPr>
          <w:p>
            <w:pPr>
              <w:spacing w:after="0"/>
              <w:rPr>
                <w:sz w:val="21"/>
                <w:szCs w:val="21"/>
                <w:color w:val="auto"/>
              </w:rPr>
            </w:pPr>
          </w:p>
        </w:tc>
      </w:tr>
      <w:tr>
        <w:trPr>
          <w:trHeight w:val="243"/>
        </w:trPr>
        <w:tc>
          <w:tcPr>
            <w:tcW w:w="654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0"/>
              </w:rPr>
              <w:t>dated October 1, 2015. The 5.50% Notes due 2029 are listed on the New</w:t>
            </w:r>
          </w:p>
        </w:tc>
        <w:tc>
          <w:tcPr>
            <w:tcW w:w="4720" w:type="dxa"/>
            <w:vAlign w:val="bottom"/>
            <w:tcBorders>
              <w:right w:val="single" w:sz="8" w:color="00000A"/>
            </w:tcBorders>
          </w:tcPr>
          <w:p>
            <w:pPr>
              <w:spacing w:after="0"/>
              <w:rPr>
                <w:sz w:val="21"/>
                <w:szCs w:val="21"/>
                <w:color w:val="auto"/>
              </w:rPr>
            </w:pPr>
          </w:p>
        </w:tc>
      </w:tr>
      <w:tr>
        <w:trPr>
          <w:trHeight w:val="274"/>
        </w:trPr>
        <w:tc>
          <w:tcPr>
            <w:tcW w:w="6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York Stock Exchange.</w:t>
            </w:r>
          </w:p>
        </w:tc>
        <w:tc>
          <w:tcPr>
            <w:tcW w:w="4720" w:type="dxa"/>
            <w:vAlign w:val="bottom"/>
            <w:tcBorders>
              <w:right w:val="single" w:sz="8" w:color="00000A"/>
            </w:tcBorders>
          </w:tcPr>
          <w:p>
            <w:pPr>
              <w:spacing w:after="0"/>
              <w:rPr>
                <w:sz w:val="23"/>
                <w:szCs w:val="23"/>
                <w:color w:val="auto"/>
              </w:rPr>
            </w:pPr>
          </w:p>
        </w:tc>
      </w:tr>
      <w:tr>
        <w:trPr>
          <w:trHeight w:val="422"/>
        </w:trPr>
        <w:tc>
          <w:tcPr>
            <w:tcW w:w="6540" w:type="dxa"/>
            <w:vAlign w:val="bottom"/>
            <w:tcBorders>
              <w:left w:val="single" w:sz="8" w:color="00000A"/>
              <w:bottom w:val="single" w:sz="8" w:color="00000A"/>
              <w:right w:val="single" w:sz="8" w:color="00000A"/>
            </w:tcBorders>
          </w:tcPr>
          <w:p>
            <w:pPr>
              <w:spacing w:after="0"/>
              <w:rPr>
                <w:sz w:val="24"/>
                <w:szCs w:val="24"/>
                <w:color w:val="auto"/>
              </w:rPr>
            </w:pPr>
          </w:p>
        </w:tc>
        <w:tc>
          <w:tcPr>
            <w:tcW w:w="4720" w:type="dxa"/>
            <w:vAlign w:val="bottom"/>
            <w:tcBorders>
              <w:bottom w:val="single" w:sz="8" w:color="00000A"/>
              <w:right w:val="single" w:sz="8" w:color="00000A"/>
            </w:tcBorders>
          </w:tcPr>
          <w:p>
            <w:pPr>
              <w:spacing w:after="0"/>
              <w:rPr>
                <w:sz w:val="24"/>
                <w:szCs w:val="24"/>
                <w:color w:val="auto"/>
              </w:rPr>
            </w:pPr>
          </w:p>
        </w:tc>
      </w:tr>
      <w:tr>
        <w:trPr>
          <w:trHeight w:val="242"/>
        </w:trPr>
        <w:tc>
          <w:tcPr>
            <w:tcW w:w="654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9"/>
              </w:rPr>
              <w:t>2.0% Exchangeable Subordinated Debentures due 2029 issued by</w:t>
            </w:r>
          </w:p>
        </w:tc>
        <w:tc>
          <w:tcPr>
            <w:tcW w:w="472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rPr>
              <w:t>Comcast Corporation</w:t>
            </w:r>
          </w:p>
        </w:tc>
      </w:tr>
      <w:tr>
        <w:trPr>
          <w:trHeight w:val="243"/>
        </w:trPr>
        <w:tc>
          <w:tcPr>
            <w:tcW w:w="654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0"/>
              </w:rPr>
              <w:t>Comcast Holdings Corporation. The securities are listed on the New York</w:t>
            </w:r>
          </w:p>
        </w:tc>
        <w:tc>
          <w:tcPr>
            <w:tcW w:w="4720" w:type="dxa"/>
            <w:vAlign w:val="bottom"/>
            <w:tcBorders>
              <w:right w:val="single" w:sz="8" w:color="00000A"/>
            </w:tcBorders>
          </w:tcPr>
          <w:p>
            <w:pPr>
              <w:spacing w:after="0"/>
              <w:rPr>
                <w:sz w:val="21"/>
                <w:szCs w:val="21"/>
                <w:color w:val="auto"/>
              </w:rPr>
            </w:pPr>
          </w:p>
        </w:tc>
      </w:tr>
      <w:tr>
        <w:trPr>
          <w:trHeight w:val="274"/>
        </w:trPr>
        <w:tc>
          <w:tcPr>
            <w:tcW w:w="6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Stock Exchange.</w:t>
            </w:r>
          </w:p>
        </w:tc>
        <w:tc>
          <w:tcPr>
            <w:tcW w:w="4720" w:type="dxa"/>
            <w:vAlign w:val="bottom"/>
            <w:tcBorders>
              <w:right w:val="single" w:sz="8" w:color="00000A"/>
            </w:tcBorders>
          </w:tcPr>
          <w:p>
            <w:pPr>
              <w:spacing w:after="0"/>
              <w:rPr>
                <w:sz w:val="23"/>
                <w:szCs w:val="23"/>
                <w:color w:val="auto"/>
              </w:rPr>
            </w:pPr>
          </w:p>
        </w:tc>
      </w:tr>
      <w:tr>
        <w:trPr>
          <w:trHeight w:val="233"/>
        </w:trPr>
        <w:tc>
          <w:tcPr>
            <w:tcW w:w="6540" w:type="dxa"/>
            <w:vAlign w:val="bottom"/>
            <w:tcBorders>
              <w:left w:val="single" w:sz="8" w:color="00000A"/>
              <w:bottom w:val="single" w:sz="8" w:color="00000A"/>
              <w:right w:val="single" w:sz="8" w:color="00000A"/>
            </w:tcBorders>
          </w:tcPr>
          <w:p>
            <w:pPr>
              <w:spacing w:after="0"/>
              <w:rPr>
                <w:sz w:val="20"/>
                <w:szCs w:val="20"/>
                <w:color w:val="auto"/>
              </w:rPr>
            </w:pPr>
          </w:p>
        </w:tc>
        <w:tc>
          <w:tcPr>
            <w:tcW w:w="4720" w:type="dxa"/>
            <w:vAlign w:val="bottom"/>
            <w:tcBorders>
              <w:bottom w:val="single" w:sz="8" w:color="00000A"/>
              <w:right w:val="single" w:sz="8" w:color="00000A"/>
            </w:tcBorders>
          </w:tcPr>
          <w:p>
            <w:pPr>
              <w:spacing w:after="0"/>
              <w:rPr>
                <w:sz w:val="20"/>
                <w:szCs w:val="20"/>
                <w:color w:val="auto"/>
              </w:rPr>
            </w:pPr>
          </w:p>
        </w:tc>
      </w:tr>
      <w:tr>
        <w:trPr>
          <w:trHeight w:val="242"/>
        </w:trPr>
        <w:tc>
          <w:tcPr>
            <w:tcW w:w="654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rPr>
              <w:t>9.455% Guaranteed Notes due 2022 issued by Comcast Cable</w:t>
            </w:r>
          </w:p>
        </w:tc>
        <w:tc>
          <w:tcPr>
            <w:tcW w:w="472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w w:val="99"/>
              </w:rPr>
              <w:t>Comcast Corporation and NBCUniversal Media,</w:t>
            </w:r>
          </w:p>
        </w:tc>
      </w:tr>
      <w:tr>
        <w:trPr>
          <w:trHeight w:val="243"/>
        </w:trPr>
        <w:tc>
          <w:tcPr>
            <w:tcW w:w="654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3"/>
              </w:rPr>
              <w:t>Communications, LLC. The securities are listed on the New York Stock</w:t>
            </w:r>
          </w:p>
        </w:tc>
        <w:tc>
          <w:tcPr>
            <w:tcW w:w="472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LLC</w:t>
            </w:r>
          </w:p>
        </w:tc>
      </w:tr>
      <w:tr>
        <w:trPr>
          <w:trHeight w:val="274"/>
        </w:trPr>
        <w:tc>
          <w:tcPr>
            <w:tcW w:w="6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Exchange.</w:t>
            </w:r>
          </w:p>
        </w:tc>
        <w:tc>
          <w:tcPr>
            <w:tcW w:w="4720" w:type="dxa"/>
            <w:vAlign w:val="bottom"/>
            <w:tcBorders>
              <w:right w:val="single" w:sz="8" w:color="00000A"/>
            </w:tcBorders>
          </w:tcPr>
          <w:p>
            <w:pPr>
              <w:spacing w:after="0"/>
              <w:rPr>
                <w:sz w:val="23"/>
                <w:szCs w:val="23"/>
                <w:color w:val="auto"/>
              </w:rPr>
            </w:pPr>
          </w:p>
        </w:tc>
      </w:tr>
      <w:tr>
        <w:trPr>
          <w:trHeight w:val="233"/>
        </w:trPr>
        <w:tc>
          <w:tcPr>
            <w:tcW w:w="6540" w:type="dxa"/>
            <w:vAlign w:val="bottom"/>
            <w:tcBorders>
              <w:left w:val="single" w:sz="8" w:color="00000A"/>
              <w:bottom w:val="single" w:sz="8" w:color="00000A"/>
              <w:right w:val="single" w:sz="8" w:color="00000A"/>
            </w:tcBorders>
          </w:tcPr>
          <w:p>
            <w:pPr>
              <w:spacing w:after="0"/>
              <w:rPr>
                <w:sz w:val="20"/>
                <w:szCs w:val="20"/>
                <w:color w:val="auto"/>
              </w:rPr>
            </w:pPr>
          </w:p>
        </w:tc>
        <w:tc>
          <w:tcPr>
            <w:tcW w:w="4720" w:type="dxa"/>
            <w:vAlign w:val="bottom"/>
            <w:tcBorders>
              <w:bottom w:val="single" w:sz="8" w:color="00000A"/>
              <w:right w:val="single" w:sz="8" w:color="00000A"/>
            </w:tcBorders>
          </w:tcPr>
          <w:p>
            <w:pPr>
              <w:spacing w:after="0"/>
              <w:rPr>
                <w:sz w:val="20"/>
                <w:szCs w:val="20"/>
                <w:color w:val="auto"/>
              </w:rPr>
            </w:pPr>
          </w:p>
        </w:tc>
      </w:tr>
    </w:tbl>
    <w:p>
      <w:pPr>
        <w:sectPr>
          <w:pgSz w:w="11900" w:h="16838" w:orient="portrait"/>
          <w:cols w:equalWidth="0" w:num="1">
            <w:col w:w="11260"/>
          </w:cols>
          <w:pgMar w:left="320" w:top="598" w:right="3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40" w:hanging="644"/>
        <w:spacing w:after="0" w:line="263" w:lineRule="auto"/>
        <w:tabs>
          <w:tab w:leader="none" w:pos="13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644"/>
        <w:spacing w:after="0" w:line="342" w:lineRule="auto"/>
        <w:tabs>
          <w:tab w:leader="none" w:pos="13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644"/>
        <w:spacing w:after="0" w:line="277" w:lineRule="auto"/>
        <w:tabs>
          <w:tab w:leader="none" w:pos="13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17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3480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73"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337"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40" w:hanging="644"/>
        <w:spacing w:after="0" w:line="263" w:lineRule="auto"/>
        <w:tabs>
          <w:tab w:leader="none" w:pos="13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644"/>
        <w:spacing w:after="0" w:line="342" w:lineRule="auto"/>
        <w:tabs>
          <w:tab w:leader="none" w:pos="130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644"/>
        <w:spacing w:after="0" w:line="277" w:lineRule="auto"/>
        <w:tabs>
          <w:tab w:leader="none" w:pos="13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33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3480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7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530"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30,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520" w:hanging="652"/>
        <w:spacing w:after="0" w:line="277"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78"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31750</wp:posOffset>
            </wp:positionV>
            <wp:extent cx="3480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7"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Title: Chief Executive Officer</w:t>
      </w:r>
    </w:p>
    <w:p>
      <w:pPr>
        <w:spacing w:after="0" w:line="360"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31750</wp:posOffset>
            </wp:positionV>
            <wp:extent cx="3480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57"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
      <w:numFmt w:val="bullet"/>
      <w:start w:val="1"/>
    </w:lvl>
  </w:abstractNum>
  <w:abstractNum w:abstractNumId="2">
    <w:nsid w:val="555C55B5"/>
    <w:multiLevelType w:val="hybridMultilevel"/>
    <w:lvl w:ilvl="0">
      <w:lvlJc w:val="left"/>
      <w:lvlText w:val="•"/>
      <w:numFmt w:val="bullet"/>
      <w:start w:val="1"/>
    </w:lvl>
  </w:abstractNum>
  <w:abstractNum w:abstractNumId="3">
    <w:nsid w:val="3FA62ACA"/>
    <w:multiLevelType w:val="hybridMultilevel"/>
    <w:lvl w:ilvl="0">
      <w:lvlJc w:val="left"/>
      <w:lvlText w:val="(%1)"/>
      <w:numFmt w:val="lowerLetter"/>
      <w:start w:val="1"/>
    </w:lvl>
    <w:lvl w:ilvl="1">
      <w:lvlJc w:val="left"/>
      <w:lvlText w:val="•"/>
      <w:numFmt w:val="bullet"/>
      <w:start w:val="1"/>
    </w:lvl>
  </w:abstractNum>
  <w:abstractNum w:abstractNumId="4">
    <w:nsid w:val="14FCE74E"/>
    <w:multiLevelType w:val="hybridMultilevel"/>
    <w:lvl w:ilvl="0">
      <w:lvlJc w:val="left"/>
      <w:lvlText w:val="(%1)"/>
      <w:numFmt w:val="lowerLetter"/>
      <w:start w:val="1"/>
    </w:lvl>
  </w:abstractNum>
  <w:abstractNum w:abstractNumId="5">
    <w:nsid w:val="6A3DD3E8"/>
    <w:multiLevelType w:val="hybridMultilevel"/>
    <w:lvl w:ilvl="0">
      <w:lvlJc w:val="left"/>
      <w:lvlText w:val="•"/>
      <w:numFmt w:val="bullet"/>
      <w:start w:val="1"/>
    </w:lvl>
  </w:abstractNum>
  <w:abstractNum w:abstractNumId="6">
    <w:nsid w:val="71C91298"/>
    <w:multiLevelType w:val="hybridMultilevel"/>
    <w:lvl w:ilvl="0">
      <w:lvlJc w:val="left"/>
      <w:lvlText w:val="•"/>
      <w:numFmt w:val="bullet"/>
      <w:start w:val="1"/>
    </w:lvl>
  </w:abstractNum>
  <w:abstractNum w:abstractNumId="7">
    <w:nsid w:val="9DAF632"/>
    <w:multiLevelType w:val="hybridMultilevel"/>
    <w:lvl w:ilvl="0">
      <w:lvlJc w:val="left"/>
      <w:lvlText w:val="•"/>
      <w:numFmt w:val="bullet"/>
      <w:start w:val="1"/>
    </w:lvl>
  </w:abstractNum>
  <w:abstractNum w:abstractNumId="8">
    <w:nsid w:val="53299938"/>
    <w:multiLevelType w:val="hybridMultilevel"/>
    <w:lvl w:ilvl="0">
      <w:lvlJc w:val="left"/>
      <w:lvlText w:val="•"/>
      <w:numFmt w:val="bullet"/>
      <w:start w:val="1"/>
    </w:lvl>
  </w:abstractNum>
  <w:abstractNum w:abstractNumId="9">
    <w:nsid w:val="1FBFE8E0"/>
    <w:multiLevelType w:val="hybridMultilevel"/>
    <w:lvl w:ilvl="0">
      <w:lvlJc w:val="left"/>
      <w:lvlText w:val="(%1)"/>
      <w:numFmt w:val="lowerLetter"/>
      <w:start w:val="1"/>
    </w:lvl>
  </w:abstractNum>
  <w:abstractNum w:abstractNumId="10">
    <w:nsid w:val="5092CA79"/>
    <w:multiLevelType w:val="hybridMultilevel"/>
    <w:lvl w:ilvl="0">
      <w:lvlJc w:val="left"/>
      <w:lvlText w:val="(%1)"/>
      <w:numFmt w:val="lowerLetter"/>
      <w:start w:val="1"/>
    </w:lvl>
  </w:abstractNum>
  <w:abstractNum w:abstractNumId="11">
    <w:nsid w:val="1D545C4D"/>
    <w:multiLevelType w:val="hybridMultilevel"/>
    <w:lvl w:ilvl="0">
      <w:lvlJc w:val="left"/>
      <w:lvlText w:val="(%1)"/>
      <w:numFmt w:val="lowerLetter"/>
      <w:start w:val="1"/>
    </w:lvl>
  </w:abstractNum>
  <w:abstractNum w:abstractNumId="12">
    <w:nsid w:val="59ADEA3D"/>
    <w:multiLevelType w:val="hybridMultilevel"/>
    <w:lvl w:ilvl="0">
      <w:lvlJc w:val="left"/>
      <w:lvlText w:val="(%1)"/>
      <w:numFmt w:val="lowerLetter"/>
      <w:start w:val="1"/>
    </w:lvl>
  </w:abstractNum>
  <w:abstractNum w:abstractNumId="13">
    <w:nsid w:val="288F1A34"/>
    <w:multiLevelType w:val="hybridMultilevel"/>
    <w:lvl w:ilvl="0">
      <w:lvlJc w:val="left"/>
      <w:lvlText w:val="%1"/>
      <w:numFmt w:val="decimal"/>
      <w:start w:val="101"/>
    </w:lvl>
    <w:lvl w:ilvl="1">
      <w:lvlJc w:val="left"/>
      <w:lvlText w:val="(%2)"/>
      <w:numFmt w:val="lowerRoman"/>
      <w:start w:val="1"/>
    </w:lvl>
  </w:abstractNum>
  <w:abstractNum w:abstractNumId="14">
    <w:nsid w:val="2A155DBC"/>
    <w:multiLevelType w:val="hybridMultilevel"/>
    <w:lvl w:ilvl="0">
      <w:lvlJc w:val="left"/>
      <w:lvlText w:val="*"/>
      <w:numFmt w:val="bullet"/>
      <w:start w:val="1"/>
    </w:lvl>
  </w:abstractNum>
  <w:abstractNum w:abstractNumId="15">
    <w:nsid w:val="1D9F6E5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6">
    <w:nsid w:val="97E1B4E"/>
    <w:multiLevelType w:val="hybridMultilevel"/>
    <w:lvl w:ilvl="0">
      <w:lvlJc w:val="left"/>
      <w:lvlText w:val="(%1)"/>
      <w:numFmt w:val="lowerRoman"/>
      <w:start w:val="9"/>
    </w:lvl>
    <w:lvl w:ilvl="1">
      <w:lvlJc w:val="left"/>
      <w:lvlText w:val="%2"/>
      <w:numFmt w:val="decimal"/>
      <w:start w:val="1"/>
    </w:lvl>
    <w:lvl w:ilvl="2">
      <w:lvlJc w:val="left"/>
      <w:lvlText w:val="%3"/>
      <w:numFmt w:val="lowerLetter"/>
      <w:start w:val="1"/>
    </w:lvl>
  </w:abstractNum>
  <w:abstractNum w:abstractNumId="17">
    <w:nsid w:val="51088277"/>
    <w:multiLevelType w:val="hybridMultilevel"/>
    <w:lvl w:ilvl="0">
      <w:lvlJc w:val="left"/>
      <w:lvlText w:val="(%1)"/>
      <w:numFmt w:val="lowerRoman"/>
      <w:start w:val="11"/>
    </w:lvl>
    <w:lvl w:ilvl="1">
      <w:lvlJc w:val="left"/>
      <w:lvlText w:val="%2"/>
      <w:numFmt w:val="decimal"/>
      <w:start w:val="1"/>
    </w:lvl>
    <w:lvl w:ilvl="2">
      <w:lvlJc w:val="left"/>
      <w:lvlText w:val="%3"/>
      <w:numFmt w:val="lowerLetter"/>
      <w:start w:val="1"/>
    </w:lvl>
  </w:abstractNum>
  <w:abstractNum w:abstractNumId="18">
    <w:nsid w:val="1CA0C5FA"/>
    <w:multiLevelType w:val="hybridMultilevel"/>
    <w:lvl w:ilvl="0">
      <w:lvlJc w:val="left"/>
      <w:lvlText w:val="(%1)"/>
      <w:numFmt w:val="lowerLetter"/>
      <w:start w:val="6"/>
    </w:lvl>
  </w:abstractNum>
  <w:abstractNum w:abstractNumId="19">
    <w:nsid w:val="53584BCB"/>
    <w:multiLevelType w:val="hybridMultilevel"/>
    <w:lvl w:ilvl="0">
      <w:lvlJc w:val="left"/>
      <w:lvlText w:val="(%1)"/>
      <w:numFmt w:val="lowerLetter"/>
      <w:start w:val="9"/>
    </w:lvl>
    <w:lvl w:ilvl="1">
      <w:lvlJc w:val="left"/>
      <w:lvlText w:val="(%2)"/>
      <w:numFmt w:val="decimal"/>
      <w:start w:val="1"/>
    </w:lvl>
  </w:abstractNum>
  <w:abstractNum w:abstractNumId="20">
    <w:nsid w:val="415E286C"/>
    <w:multiLevelType w:val="hybridMultilevel"/>
    <w:lvl w:ilvl="0">
      <w:lvlJc w:val="left"/>
      <w:lvlText w:val="%1"/>
      <w:numFmt w:val="lowerLetter"/>
      <w:start w:val="1"/>
    </w:lvl>
    <w:lvl w:ilvl="1">
      <w:lvlJc w:val="left"/>
      <w:lvlText w:val="(%2)"/>
      <w:numFmt w:val="decimal"/>
      <w:start w:val="2"/>
    </w:lvl>
  </w:abstractNum>
  <w:abstractNum w:abstractNumId="21">
    <w:nsid w:val="7C58FD05"/>
    <w:multiLevelType w:val="hybridMultilevel"/>
    <w:lvl w:ilvl="0">
      <w:lvlJc w:val="left"/>
      <w:lvlText w:val="(%1)"/>
      <w:numFmt w:val="lowerLetter"/>
      <w:start w:val="11"/>
    </w:lvl>
    <w:lvl w:ilvl="1">
      <w:lvlJc w:val="left"/>
      <w:lvlText w:val="(%2)"/>
      <w:numFmt w:val="decimal"/>
      <w:start w:val="1"/>
    </w:lvl>
  </w:abstractNum>
  <w:abstractNum w:abstractNumId="22">
    <w:nsid w:val="23D86AAC"/>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3">
    <w:nsid w:val="45E6D486"/>
    <w:multiLevelType w:val="hybridMultilevel"/>
    <w:lvl w:ilvl="0">
      <w:lvlJc w:val="left"/>
      <w:lvlText w:val="%1"/>
      <w:numFmt w:val="decimal"/>
      <w:start w:val="1"/>
    </w:lvl>
    <w:lvl w:ilvl="1">
      <w:lvlJc w:val="left"/>
      <w:lvlText w:val="(%2)"/>
      <w:numFmt w:val="lowerLetter"/>
      <w:start w:val="17"/>
    </w:lvl>
    <w:lvl w:ilvl="2">
      <w:lvlJc w:val="left"/>
      <w:lvlText w:val="%3"/>
      <w:numFmt w:val="decimal"/>
      <w:start w:val="1"/>
    </w:lvl>
  </w:abstractNum>
  <w:abstractNum w:abstractNumId="24">
    <w:nsid w:val="5C10FE21"/>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5">
    <w:nsid w:val="E7FFA2B"/>
    <w:multiLevelType w:val="hybridMultilevel"/>
    <w:lvl w:ilvl="0">
      <w:lvlJc w:val="left"/>
      <w:lvlText w:val="%1."/>
      <w:numFmt w:val="decimal"/>
      <w:start w:val="3"/>
    </w:lvl>
    <w:lvl w:ilvl="1">
      <w:lvlJc w:val="left"/>
      <w:lvlText w:val="(%2)"/>
      <w:numFmt w:val="lowerLetter"/>
      <w:start w:val="1"/>
    </w:lvl>
  </w:abstractNum>
  <w:abstractNum w:abstractNumId="26">
    <w:nsid w:val="3C5991AA"/>
    <w:multiLevelType w:val="hybridMultilevel"/>
    <w:lvl w:ilvl="0">
      <w:lvlJc w:val="left"/>
      <w:lvlText w:val="%1"/>
      <w:numFmt w:val="lowerLetter"/>
      <w:start w:val="1"/>
    </w:lvl>
    <w:lvl w:ilvl="1">
      <w:lvlJc w:val="left"/>
      <w:lvlText w:val="(%2)"/>
      <w:numFmt w:val="decimal"/>
      <w:start w:val="1"/>
    </w:lvl>
  </w:abstractNum>
  <w:abstractNum w:abstractNumId="27">
    <w:nsid w:val="4BD8591A"/>
    <w:multiLevelType w:val="hybridMultilevel"/>
    <w:lvl w:ilvl="0">
      <w:lvlJc w:val="left"/>
      <w:lvlText w:val="(%1)"/>
      <w:numFmt w:val="lowerLetter"/>
      <w:start w:val="4"/>
    </w:lvl>
    <w:lvl w:ilvl="1">
      <w:lvlJc w:val="left"/>
      <w:lvlText w:val="(%2)"/>
      <w:numFmt w:val="decimal"/>
      <w:start w:val="1"/>
    </w:lvl>
  </w:abstractNum>
  <w:abstractNum w:abstractNumId="28">
    <w:nsid w:val="78DF6A55"/>
    <w:multiLevelType w:val="hybridMultilevel"/>
    <w:lvl w:ilvl="0">
      <w:lvlJc w:val="left"/>
      <w:lvlText w:val="%1"/>
      <w:numFmt w:val="decimal"/>
      <w:start w:val="1"/>
    </w:lvl>
    <w:lvl w:ilvl="1">
      <w:lvlJc w:val="left"/>
      <w:lvlText w:val="(%2)"/>
      <w:numFmt w:val="lowerLetter"/>
      <w:start w:val="5"/>
    </w:lvl>
  </w:abstractNum>
  <w:abstractNum w:abstractNumId="29">
    <w:nsid w:val="39B7AAA2"/>
    <w:multiLevelType w:val="hybridMultilevel"/>
    <w:lvl w:ilvl="0">
      <w:lvlJc w:val="left"/>
      <w:lvlText w:val="%1."/>
      <w:numFmt w:val="decimal"/>
      <w:start w:val="5"/>
    </w:lvl>
    <w:lvl w:ilvl="1">
      <w:lvlJc w:val="left"/>
      <w:lvlText w:val="(%2)"/>
      <w:numFmt w:val="lowerLetter"/>
      <w:start w:val="1"/>
    </w:lvl>
  </w:abstractNum>
  <w:abstractNum w:abstractNumId="30">
    <w:nsid w:val="2B0D8DBE"/>
    <w:multiLevelType w:val="hybridMultilevel"/>
    <w:lvl w:ilvl="0">
      <w:lvlJc w:val="left"/>
      <w:lvlText w:val="(%1)"/>
      <w:numFmt w:val="lowerLetter"/>
      <w:start w:val="1"/>
    </w:lvl>
    <w:lvl w:ilvl="1">
      <w:lvlJc w:val="left"/>
      <w:lvlText w:val="(%2)"/>
      <w:numFmt w:val="decimal"/>
      <w:start w:val="1"/>
    </w:lvl>
  </w:abstractNum>
  <w:abstractNum w:abstractNumId="31">
    <w:nsid w:val="6C80EC70"/>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2">
    <w:nsid w:val="379E21B5"/>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33">
    <w:nsid w:val="69E373"/>
    <w:multiLevelType w:val="hybridMultilevel"/>
    <w:lvl w:ilvl="0">
      <w:lvlJc w:val="left"/>
      <w:lvlText w:val="%1"/>
      <w:numFmt w:val="lowerLetter"/>
      <w:start w:val="1"/>
    </w:lvl>
    <w:lvl w:ilvl="1">
      <w:lvlJc w:val="left"/>
      <w:lvlText w:val="(%2)"/>
      <w:numFmt w:val="decimal"/>
      <w:start w:val="2"/>
    </w:lvl>
  </w:abstractNum>
  <w:abstractNum w:abstractNumId="34">
    <w:nsid w:val="2C27173B"/>
    <w:multiLevelType w:val="hybridMultilevel"/>
    <w:lvl w:ilvl="0">
      <w:lvlJc w:val="left"/>
      <w:lvlText w:val="(%1)"/>
      <w:numFmt w:val="lowerLetter"/>
      <w:start w:val="4"/>
    </w:lvl>
    <w:lvl w:ilvl="1">
      <w:lvlJc w:val="left"/>
      <w:lvlText w:val="%2"/>
      <w:numFmt w:val="decimal"/>
      <w:start w:val="1"/>
    </w:lvl>
  </w:abstractNum>
  <w:abstractNum w:abstractNumId="35">
    <w:nsid w:val="4C9B0904"/>
    <w:multiLevelType w:val="hybridMultilevel"/>
    <w:lvl w:ilvl="0">
      <w:lvlJc w:val="left"/>
      <w:lvlText w:val="%1."/>
      <w:numFmt w:val="decimal"/>
      <w:start w:val="7"/>
    </w:lvl>
    <w:lvl w:ilvl="1">
      <w:lvlJc w:val="left"/>
      <w:lvlText w:val="(%2)"/>
      <w:numFmt w:val="lowerLetter"/>
      <w:start w:val="1"/>
    </w:lvl>
  </w:abstractNum>
  <w:abstractNum w:abstractNumId="36">
    <w:nsid w:val="6AA7B75C"/>
    <w:multiLevelType w:val="hybridMultilevel"/>
    <w:lvl w:ilvl="0">
      <w:lvlJc w:val="left"/>
      <w:lvlText w:val="%1."/>
      <w:numFmt w:val="decimal"/>
      <w:start w:val="11"/>
    </w:lvl>
    <w:lvl w:ilvl="1">
      <w:lvlJc w:val="left"/>
      <w:lvlText w:val="(%2)"/>
      <w:numFmt w:val="lowerLetter"/>
      <w:start w:val="1"/>
    </w:lvl>
  </w:abstractNum>
  <w:abstractNum w:abstractNumId="37">
    <w:nsid w:val="1DF029D3"/>
    <w:multiLevelType w:val="hybridMultilevel"/>
    <w:lvl w:ilvl="0">
      <w:lvlJc w:val="left"/>
      <w:lvlText w:val="(%1)"/>
      <w:numFmt w:val="lowerLetter"/>
      <w:start w:val="1"/>
    </w:lvl>
  </w:abstractNum>
  <w:abstractNum w:abstractNumId="38">
    <w:nsid w:val="5675FF3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
    <w:nsid w:val="3DD15094"/>
    <w:multiLevelType w:val="hybridMultilevel"/>
    <w:lvl w:ilvl="0">
      <w:lvlJc w:val="left"/>
      <w:lvlText w:val="%1"/>
      <w:numFmt w:val="lowerLetter"/>
      <w:start w:val="1"/>
    </w:lvl>
    <w:lvl w:ilvl="1">
      <w:lvlJc w:val="left"/>
      <w:lvlText w:val="(%2)"/>
      <w:numFmt w:val="upperLetter"/>
      <w:start w:val="2"/>
    </w:lvl>
  </w:abstractNum>
  <w:abstractNum w:abstractNumId="40">
    <w:nsid w:val="3DB012B3"/>
    <w:multiLevelType w:val="hybridMultilevel"/>
    <w:lvl w:ilvl="0">
      <w:lvlJc w:val="left"/>
      <w:lvlText w:val="(%1)"/>
      <w:numFmt w:val="lowerLetter"/>
      <w:start w:val="2"/>
    </w:lvl>
    <w:lvl w:ilvl="1">
      <w:lvlJc w:val="left"/>
      <w:lvlText w:val="%2"/>
      <w:numFmt w:val="upperLetter"/>
      <w:start w:val="1"/>
    </w:lvl>
  </w:abstractNum>
  <w:abstractNum w:abstractNumId="41">
    <w:nsid w:val="2708C9AF"/>
    <w:multiLevelType w:val="hybridMultilevel"/>
    <w:lvl w:ilvl="0">
      <w:lvlJc w:val="left"/>
      <w:lvlText w:val="(%1)"/>
      <w:numFmt w:val="lowerLetter"/>
      <w:start w:val="1"/>
    </w:lvl>
  </w:abstractNum>
  <w:abstractNum w:abstractNumId="42">
    <w:nsid w:val="5B25ACE2"/>
    <w:multiLevelType w:val="hybridMultilevel"/>
    <w:lvl w:ilvl="0">
      <w:lvlJc w:val="left"/>
      <w:lvlText w:val="(%1)"/>
      <w:numFmt w:val="lowerLetter"/>
      <w:start w:val="2"/>
    </w:lvl>
  </w:abstractNum>
  <w:abstractNum w:abstractNumId="43">
    <w:nsid w:val="175DFCF0"/>
    <w:multiLevelType w:val="hybridMultilevel"/>
    <w:lvl w:ilvl="0">
      <w:lvlJc w:val="left"/>
      <w:lvlText w:val="(%1)"/>
      <w:numFmt w:val="lowerLetter"/>
      <w:start w:val="1"/>
    </w:lvl>
  </w:abstractNum>
  <w:abstractNum w:abstractNumId="44">
    <w:nsid w:val="4F97E3E4"/>
    <w:multiLevelType w:val="hybridMultilevel"/>
    <w:lvl w:ilvl="0">
      <w:lvlJc w:val="left"/>
      <w:lvlText w:val="(%1)"/>
      <w:numFmt w:val="lowerLetter"/>
      <w:start w:val="2"/>
    </w:lvl>
  </w:abstractNum>
  <w:abstractNum w:abstractNumId="45">
    <w:nsid w:val="53B0A9E"/>
    <w:multiLevelType w:val="hybridMultilevel"/>
    <w:lvl w:ilvl="0">
      <w:lvlJc w:val="left"/>
      <w:lvlText w:val="(%1)"/>
      <w:numFmt w:val="lowerLetter"/>
      <w:start w:val="1"/>
    </w:lvl>
  </w:abstractNum>
  <w:abstractNum w:abstractNumId="46">
    <w:nsid w:val="34FD6B4F"/>
    <w:multiLevelType w:val="hybridMultilevel"/>
    <w:lvl w:ilvl="0">
      <w:lvlJc w:val="left"/>
      <w:lvlText w:val="(%1)"/>
      <w:numFmt w:val="lowerLetter"/>
      <w:start w:val="1"/>
    </w:lvl>
  </w:abstractNum>
  <w:abstractNum w:abstractNumId="47">
    <w:nsid w:val="5915FF32"/>
    <w:multiLevelType w:val="hybridMultilevel"/>
    <w:lvl w:ilvl="0">
      <w:lvlJc w:val="left"/>
      <w:lvlText w:val="(%1)"/>
      <w:numFmt w:val="lowerLetter"/>
      <w:start w:val="1"/>
    </w:lvl>
  </w:abstractNum>
  <w:abstractNum w:abstractNumId="48">
    <w:nsid w:val="56438D15"/>
    <w:multiLevelType w:val="hybridMultilevel"/>
    <w:lvl w:ilvl="0">
      <w:lvlJc w:val="left"/>
      <w:lvlText w:val="(%1)"/>
      <w:numFmt w:val="lowerLetter"/>
      <w:start w:val="4"/>
    </w:lvl>
  </w:abstractNum>
  <w:abstractNum w:abstractNumId="49">
    <w:nsid w:val="519E3149"/>
    <w:multiLevelType w:val="hybridMultilevel"/>
    <w:lvl w:ilvl="0">
      <w:lvlJc w:val="left"/>
      <w:lvlText w:val="(%1)"/>
      <w:numFmt w:val="lowerLetter"/>
      <w:start w:val="1"/>
    </w:lvl>
  </w:abstractNum>
  <w:abstractNum w:abstractNumId="50">
    <w:nsid w:val="2C6E4AFD"/>
    <w:multiLevelType w:val="hybridMultilevel"/>
    <w:lvl w:ilvl="0">
      <w:lvlJc w:val="left"/>
      <w:lvlText w:val="(%1)"/>
      <w:numFmt w:val="lowerLetter"/>
      <w:start w:val="1"/>
    </w:lvl>
  </w:abstractNum>
  <w:abstractNum w:abstractNumId="51">
    <w:nsid w:val="17A1B582"/>
    <w:multiLevelType w:val="hybridMultilevel"/>
    <w:lvl w:ilvl="0">
      <w:lvlJc w:val="left"/>
      <w:lvlText w:val="(%1)"/>
      <w:numFmt w:val="lowerLetter"/>
      <w:start w:val="1"/>
    </w:lvl>
    <w:lvl w:ilvl="1">
      <w:lvlJc w:val="left"/>
      <w:lvlText w:val="(%2)"/>
      <w:numFmt w:val="lowerLetter"/>
      <w:start w:val="9"/>
    </w:lvl>
  </w:abstractNum>
  <w:abstractNum w:abstractNumId="52">
    <w:nsid w:val="4DF72E4E"/>
    <w:multiLevelType w:val="hybridMultilevel"/>
    <w:lvl w:ilvl="0">
      <w:lvlJc w:val="left"/>
      <w:lvlText w:val="%1"/>
      <w:numFmt w:val="lowerRoman"/>
      <w:start w:val="1"/>
    </w:lvl>
    <w:lvl w:ilvl="1">
      <w:lvlJc w:val="left"/>
      <w:lvlText w:val="(%2)"/>
      <w:numFmt w:val="upperLetter"/>
      <w:start w:val="3"/>
    </w:lvl>
  </w:abstractNum>
  <w:abstractNum w:abstractNumId="53">
    <w:nsid w:val="5046B5A9"/>
    <w:multiLevelType w:val="hybridMultilevel"/>
    <w:lvl w:ilvl="0">
      <w:lvlJc w:val="left"/>
      <w:lvlText w:val="(%1)"/>
      <w:numFmt w:val="lowerRoman"/>
      <w:start w:val="3"/>
    </w:lvl>
    <w:lvl w:ilvl="1">
      <w:lvlJc w:val="left"/>
      <w:lvlText w:val="(%2)"/>
      <w:numFmt w:val="upperLetter"/>
      <w:start w:val="1"/>
    </w:lvl>
  </w:abstractNum>
  <w:abstractNum w:abstractNumId="54">
    <w:nsid w:val="5D888A0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55">
    <w:nsid w:val="2A082C7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56">
    <w:nsid w:val="5EC6AFD4"/>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9"/>
    </w:lvl>
  </w:abstractNum>
  <w:abstractNum w:abstractNumId="57">
    <w:nsid w:val="19E21BB2"/>
    <w:multiLevelType w:val="hybridMultilevel"/>
    <w:lvl w:ilvl="0">
      <w:lvlJc w:val="left"/>
      <w:lvlText w:val="(%1)"/>
      <w:numFmt w:val="lowerRoman"/>
      <w:start w:val="2"/>
    </w:lvl>
  </w:abstractNum>
  <w:abstractNum w:abstractNumId="58">
    <w:nsid w:val="75E0858A"/>
    <w:multiLevelType w:val="hybridMultilevel"/>
    <w:lvl w:ilvl="0">
      <w:lvlJc w:val="left"/>
      <w:lvlText w:val="(%1)"/>
      <w:numFmt w:val="lowerLetter"/>
      <w:start w:val="1"/>
    </w:lvl>
  </w:abstractNum>
  <w:abstractNum w:abstractNumId="59">
    <w:nsid w:val="57A61A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0">
    <w:nsid w:val="5399C6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1">
    <w:nsid w:val="20EE1348"/>
    <w:multiLevelType w:val="hybridMultilevel"/>
    <w:lvl w:ilvl="0">
      <w:lvlJc w:val="left"/>
      <w:lvlText w:val="%1"/>
      <w:numFmt w:val="lowerLetter"/>
      <w:start w:val="1"/>
    </w:lvl>
    <w:lvl w:ilvl="1">
      <w:lvlJc w:val="left"/>
      <w:lvlText w:val="(%2)"/>
      <w:numFmt w:val="lowerRoman"/>
      <w:start w:val="3"/>
    </w:lvl>
  </w:abstractNum>
  <w:abstractNum w:abstractNumId="62">
    <w:nsid w:val="4427069A"/>
    <w:multiLevelType w:val="hybridMultilevel"/>
    <w:lvl w:ilvl="0">
      <w:lvlJc w:val="left"/>
      <w:lvlText w:val="(%1)"/>
      <w:numFmt w:val="lowerLetter"/>
      <w:start w:val="2"/>
    </w:lvl>
    <w:lvl w:ilvl="1">
      <w:lvlJc w:val="left"/>
      <w:lvlText w:val="(%2)"/>
      <w:numFmt w:val="lowerRoman"/>
      <w:start w:val="1"/>
    </w:lvl>
  </w:abstractNum>
  <w:abstractNum w:abstractNumId="63">
    <w:nsid w:val="B37E80A"/>
    <w:multiLevelType w:val="hybridMultilevel"/>
    <w:lvl w:ilvl="0">
      <w:lvlJc w:val="left"/>
      <w:lvlText w:val="(%1)"/>
      <w:numFmt w:val="lowerLetter"/>
      <w:start w:val="1"/>
    </w:lvl>
    <w:lvl w:ilvl="1">
      <w:lvlJc w:val="left"/>
      <w:lvlText w:val="(%2)"/>
      <w:numFmt w:val="lowerRoman"/>
      <w:start w:val="1"/>
    </w:lvl>
  </w:abstractNum>
  <w:abstractNum w:abstractNumId="64">
    <w:nsid w:val="2157F6BC"/>
    <w:multiLevelType w:val="hybridMultilevel"/>
    <w:lvl w:ilvl="0">
      <w:lvlJc w:val="left"/>
      <w:lvlText w:val="(%1)"/>
      <w:numFmt w:val="lowerRoman"/>
      <w:start w:val="3"/>
    </w:lvl>
  </w:abstractNum>
  <w:abstractNum w:abstractNumId="65">
    <w:nsid w:val="704E1DD5"/>
    <w:multiLevelType w:val="hybridMultilevel"/>
    <w:lvl w:ilvl="0">
      <w:lvlJc w:val="left"/>
      <w:lvlText w:val="(%1)"/>
      <w:numFmt w:val="lowerLetter"/>
      <w:start w:val="1"/>
    </w:lvl>
    <w:lvl w:ilvl="1">
      <w:lvlJc w:val="left"/>
      <w:lvlText w:val="(%2)"/>
      <w:numFmt w:val="lowerRoman"/>
      <w:start w:val="1"/>
    </w:lvl>
  </w:abstractNum>
  <w:abstractNum w:abstractNumId="66">
    <w:nsid w:val="57D2F10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7">
    <w:nsid w:val="BFFAE18"/>
    <w:multiLevelType w:val="hybridMultilevel"/>
    <w:lvl w:ilvl="0">
      <w:lvlJc w:val="left"/>
      <w:lvlText w:val="(%1)"/>
      <w:numFmt w:val="lowerLetter"/>
      <w:start w:val="1"/>
    </w:lvl>
    <w:lvl w:ilvl="1">
      <w:lvlJc w:val="left"/>
      <w:lvlText w:val="(%2)"/>
      <w:numFmt w:val="lowerLetter"/>
      <w:start w:val="9"/>
    </w:lvl>
  </w:abstractNum>
  <w:abstractNum w:abstractNumId="68">
    <w:nsid w:val="E3E47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69">
    <w:nsid w:val="2E48F044"/>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70">
    <w:nsid w:val="49D0FEAC"/>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71">
    <w:nsid w:val="4BEE5A5B"/>
    <w:multiLevelType w:val="hybridMultilevel"/>
    <w:lvl w:ilvl="0">
      <w:lvlJc w:val="left"/>
      <w:lvlText w:val="%1"/>
      <w:numFmt w:val="lowerLetter"/>
      <w:start w:val="1"/>
    </w:lvl>
    <w:lvl w:ilvl="1">
      <w:lvlJc w:val="left"/>
      <w:lvlText w:val="(%2)"/>
      <w:numFmt w:val="lowerLetter"/>
      <w:start w:val="35"/>
    </w:lvl>
  </w:abstractNum>
  <w:abstractNum w:abstractNumId="72">
    <w:nsid w:val="5551B9F3"/>
    <w:multiLevelType w:val="hybridMultilevel"/>
    <w:lvl w:ilvl="0">
      <w:lvlJc w:val="left"/>
      <w:lvlText w:val="(%1)"/>
      <w:numFmt w:val="lowerLetter"/>
      <w:start w:val="3"/>
    </w:lvl>
    <w:lvl w:ilvl="1">
      <w:lvlJc w:val="left"/>
      <w:lvlText w:val="(%2)"/>
      <w:numFmt w:val="lowerLetter"/>
      <w:start w:val="9"/>
    </w:lvl>
  </w:abstractNum>
  <w:abstractNum w:abstractNumId="73">
    <w:nsid w:val="24F6AB8E"/>
    <w:multiLevelType w:val="hybridMultilevel"/>
    <w:lvl w:ilvl="0">
      <w:lvlJc w:val="left"/>
      <w:lvlText w:val="(%1)"/>
      <w:numFmt w:val="lowerRoman"/>
      <w:start w:val="2"/>
    </w:lvl>
  </w:abstractNum>
  <w:abstractNum w:abstractNumId="74">
    <w:nsid w:val="634C574C"/>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75">
    <w:nsid w:val="24E99DD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76">
    <w:nsid w:val="2A31B62D"/>
    <w:multiLevelType w:val="hybridMultilevel"/>
    <w:lvl w:ilvl="0">
      <w:lvlJc w:val="left"/>
      <w:lvlText w:val="(%1)"/>
      <w:numFmt w:val="lowerLetter"/>
      <w:start w:val="1"/>
    </w:lvl>
  </w:abstractNum>
  <w:abstractNum w:abstractNumId="77">
    <w:nsid w:val="1849C29B"/>
    <w:multiLevelType w:val="hybridMultilevel"/>
    <w:lvl w:ilvl="0">
      <w:lvlJc w:val="left"/>
      <w:lvlText w:val="(%1)"/>
      <w:numFmt w:val="lowerLetter"/>
      <w:start w:val="1"/>
    </w:lvl>
  </w:abstractNum>
  <w:abstractNum w:abstractNumId="78">
    <w:nsid w:val="7DFF9D09"/>
    <w:multiLevelType w:val="hybridMultilevel"/>
    <w:lvl w:ilvl="0">
      <w:lvlJc w:val="left"/>
      <w:lvlText w:val="(%1)"/>
      <w:numFmt w:val="lowerRoman"/>
      <w:start w:val="1"/>
    </w:lvl>
  </w:abstractNum>
  <w:abstractNum w:abstractNumId="79">
    <w:nsid w:val="754342"/>
    <w:multiLevelType w:val="hybridMultilevel"/>
    <w:lvl w:ilvl="0">
      <w:lvlJc w:val="left"/>
      <w:lvlText w:val="(%1)"/>
      <w:numFmt w:val="lowerLetter"/>
      <w:start w:val="4"/>
    </w:lvl>
    <w:lvl w:ilvl="1">
      <w:lvlJc w:val="left"/>
      <w:lvlText w:val="(%2)"/>
      <w:numFmt w:val="lowerRoman"/>
      <w:start w:val="1"/>
    </w:lvl>
  </w:abstractNum>
  <w:abstractNum w:abstractNumId="80">
    <w:nsid w:val="69E7F3E5"/>
    <w:multiLevelType w:val="hybridMultilevel"/>
    <w:lvl w:ilvl="0">
      <w:lvlJc w:val="left"/>
      <w:lvlText w:val="(%1)"/>
      <w:numFmt w:val="lowerLetter"/>
      <w:start w:val="5"/>
    </w:lvl>
  </w:abstractNum>
  <w:abstractNum w:abstractNumId="81">
    <w:nsid w:val="2A6DE806"/>
    <w:multiLevelType w:val="hybridMultilevel"/>
    <w:lvl w:ilvl="0">
      <w:lvlJc w:val="left"/>
      <w:lvlText w:val="(%1)"/>
      <w:numFmt w:val="lowerLetter"/>
      <w:start w:val="1"/>
    </w:lvl>
  </w:abstractNum>
  <w:abstractNum w:abstractNumId="82">
    <w:nsid w:val="1816F8C4"/>
    <w:multiLevelType w:val="hybridMultilevel"/>
    <w:lvl w:ilvl="0">
      <w:lvlJc w:val="left"/>
      <w:lvlText w:val="(%1)"/>
      <w:numFmt w:val="lowerLetter"/>
      <w:start w:val="1"/>
    </w:lvl>
  </w:abstractNum>
  <w:abstractNum w:abstractNumId="83">
    <w:nsid w:val="37DF2233"/>
    <w:multiLevelType w:val="hybridMultilevel"/>
    <w:lvl w:ilvl="0">
      <w:lvlJc w:val="left"/>
      <w:lvlText w:val="(%1)"/>
      <w:numFmt w:val="lowerLetter"/>
      <w:start w:val="2"/>
    </w:lvl>
  </w:abstractNum>
  <w:abstractNum w:abstractNumId="84">
    <w:nsid w:val="7AB49DAF"/>
    <w:multiLevelType w:val="hybridMultilevel"/>
    <w:lvl w:ilvl="0">
      <w:lvlJc w:val="left"/>
      <w:lvlText w:val="(%1)"/>
      <w:numFmt w:val="lowerLetter"/>
      <w:start w:val="1"/>
    </w:lvl>
  </w:abstractNum>
  <w:abstractNum w:abstractNumId="85">
    <w:nsid w:val="759F82CD"/>
    <w:multiLevelType w:val="hybridMultilevel"/>
    <w:lvl w:ilvl="0">
      <w:lvlJc w:val="left"/>
      <w:lvlText w:val="(%1)"/>
      <w:numFmt w:val="lowerRoman"/>
      <w:start w:val="1"/>
    </w:lvl>
  </w:abstractNum>
  <w:abstractNum w:abstractNumId="86">
    <w:nsid w:val="61E74EA3"/>
    <w:multiLevelType w:val="hybridMultilevel"/>
    <w:lvl w:ilvl="0">
      <w:lvlJc w:val="left"/>
      <w:lvlText w:val="(%1)"/>
      <w:numFmt w:val="lowerLetter"/>
      <w:start w:val="2"/>
    </w:lvl>
  </w:abstractNum>
  <w:abstractNum w:abstractNumId="87">
    <w:nsid w:val="597B4D84"/>
    <w:multiLevelType w:val="hybridMultilevel"/>
    <w:lvl w:ilvl="0">
      <w:lvlJc w:val="left"/>
      <w:lvlText w:val="(%1)"/>
      <w:numFmt w:val="lowerLetter"/>
      <w:start w:val="1"/>
    </w:lvl>
  </w:abstractNum>
  <w:abstractNum w:abstractNumId="88">
    <w:nsid w:val="F819E7F"/>
    <w:multiLevelType w:val="hybridMultilevel"/>
    <w:lvl w:ilvl="0">
      <w:lvlJc w:val="left"/>
      <w:lvlText w:val="(%1)"/>
      <w:numFmt w:val="lowerLetter"/>
      <w:start w:val="1"/>
    </w:lvl>
  </w:abstractNum>
  <w:abstractNum w:abstractNumId="89">
    <w:nsid w:val="57C7D42D"/>
    <w:multiLevelType w:val="hybridMultilevel"/>
    <w:lvl w:ilvl="0">
      <w:lvlJc w:val="left"/>
      <w:lvlText w:val="(%1)"/>
      <w:numFmt w:val="lowerLetter"/>
      <w:start w:val="5"/>
    </w:lvl>
  </w:abstractNum>
  <w:abstractNum w:abstractNumId="90">
    <w:nsid w:val="312167AD"/>
    <w:multiLevelType w:val="hybridMultilevel"/>
    <w:lvl w:ilvl="0">
      <w:lvlJc w:val="left"/>
      <w:lvlText w:val="(%1)"/>
      <w:numFmt w:val="lowerLetter"/>
      <w:start w:val="1"/>
    </w:lvl>
  </w:abstractNum>
  <w:abstractNum w:abstractNumId="91">
    <w:nsid w:val="631B64D4"/>
    <w:multiLevelType w:val="hybridMultilevel"/>
    <w:lvl w:ilvl="0">
      <w:lvlJc w:val="left"/>
      <w:lvlText w:val="(%1)"/>
      <w:numFmt w:val="lowerRoman"/>
      <w:start w:val="1"/>
    </w:lvl>
  </w:abstractNum>
  <w:abstractNum w:abstractNumId="92">
    <w:nsid w:val="78B5E776"/>
    <w:multiLevelType w:val="hybridMultilevel"/>
    <w:lvl w:ilvl="0">
      <w:lvlJc w:val="left"/>
      <w:lvlText w:val="(%1)"/>
      <w:numFmt w:val="lowerLetter"/>
      <w:start w:val="1"/>
    </w:lvl>
  </w:abstractNum>
  <w:abstractNum w:abstractNumId="93">
    <w:nsid w:val="75486E47"/>
    <w:multiLevelType w:val="hybridMultilevel"/>
    <w:lvl w:ilvl="0">
      <w:lvlJc w:val="left"/>
      <w:lvlText w:val="(%1)"/>
      <w:numFmt w:val="lowerLetter"/>
      <w:start w:val="1"/>
    </w:lvl>
    <w:lvl w:ilvl="1">
      <w:lvlJc w:val="left"/>
      <w:lvlText w:val="(%2)"/>
      <w:numFmt w:val="lowerLetter"/>
      <w:start w:val="9"/>
    </w:lvl>
  </w:abstractNum>
  <w:abstractNum w:abstractNumId="94">
    <w:nsid w:val="6E534CDE"/>
    <w:multiLevelType w:val="hybridMultilevel"/>
    <w:lvl w:ilvl="0">
      <w:lvlJc w:val="left"/>
      <w:lvlText w:val="(%1)"/>
      <w:numFmt w:val="lowerRoman"/>
      <w:start w:val="2"/>
    </w:lvl>
  </w:abstractNum>
  <w:abstractNum w:abstractNumId="95">
    <w:nsid w:val="1A0DDE32"/>
    <w:multiLevelType w:val="hybridMultilevel"/>
    <w:lvl w:ilvl="0">
      <w:lvlJc w:val="left"/>
      <w:lvlText w:val="(%1)"/>
      <w:numFmt w:val="lowerLetter"/>
      <w:start w:val="1"/>
    </w:lvl>
  </w:abstractNum>
  <w:abstractNum w:abstractNumId="96">
    <w:nsid w:val="65968C1C"/>
    <w:multiLevelType w:val="hybridMultilevel"/>
    <w:lvl w:ilvl="0">
      <w:lvlJc w:val="left"/>
      <w:lvlText w:val="(%1)"/>
      <w:numFmt w:val="lowerLetter"/>
      <w:start w:val="1"/>
    </w:lvl>
    <w:lvl w:ilvl="1">
      <w:lvlJc w:val="left"/>
      <w:lvlText w:val="(%2)"/>
      <w:numFmt w:val="lowerLetter"/>
      <w:start w:val="9"/>
    </w:lvl>
  </w:abstractNum>
  <w:abstractNum w:abstractNumId="97">
    <w:nsid w:val="46263DEC"/>
    <w:multiLevelType w:val="hybridMultilevel"/>
    <w:lvl w:ilvl="0">
      <w:lvlJc w:val="left"/>
      <w:lvlText w:val="(%1)"/>
      <w:numFmt w:val="lowerRoman"/>
      <w:start w:val="2"/>
    </w:lvl>
  </w:abstractNum>
  <w:abstractNum w:abstractNumId="98">
    <w:nsid w:val="260D8C4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99">
    <w:nsid w:val="73D4D3C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00">
    <w:nsid w:val="746F2E3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01">
    <w:nsid w:val="6FDE8AF6"/>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02">
    <w:nsid w:val="3FC32E20"/>
    <w:multiLevelType w:val="hybridMultilevel"/>
    <w:lvl w:ilvl="0">
      <w:lvlJc w:val="left"/>
      <w:lvlText w:val="%1"/>
      <w:numFmt w:val="lowerRoman"/>
      <w:start w:val="1"/>
    </w:lvl>
    <w:lvl w:ilvl="1">
      <w:lvlJc w:val="left"/>
      <w:lvlText w:val="(%2)"/>
      <w:numFmt w:val="lowerLetter"/>
      <w:start w:val="1"/>
    </w:lvl>
  </w:abstractNum>
  <w:abstractNum w:abstractNumId="103">
    <w:nsid w:val="49C0E823"/>
    <w:multiLevelType w:val="hybridMultilevel"/>
    <w:lvl w:ilvl="0">
      <w:lvlJc w:val="left"/>
      <w:lvlText w:val="(%1)"/>
      <w:numFmt w:val="lowerRoman"/>
      <w:start w:val="6"/>
    </w:lvl>
    <w:lvl w:ilvl="1">
      <w:lvlJc w:val="left"/>
      <w:lvlText w:val="(%2)"/>
      <w:numFmt w:val="lowerLetter"/>
      <w:start w:val="4"/>
    </w:lvl>
  </w:abstractNum>
  <w:abstractNum w:abstractNumId="104">
    <w:nsid w:val="14D53685"/>
    <w:multiLevelType w:val="hybridMultilevel"/>
    <w:lvl w:ilvl="0">
      <w:lvlJc w:val="left"/>
      <w:lvlText w:val="(%1)"/>
      <w:numFmt w:val="lowerLetter"/>
      <w:start w:val="5"/>
    </w:lvl>
  </w:abstractNum>
  <w:abstractNum w:abstractNumId="105">
    <w:nsid w:val="230F856C"/>
    <w:multiLevelType w:val="hybridMultilevel"/>
    <w:lvl w:ilvl="0">
      <w:lvlJc w:val="left"/>
      <w:lvlText w:val="(%1)"/>
      <w:numFmt w:val="lowerLetter"/>
      <w:start w:val="1"/>
    </w:lvl>
  </w:abstractNum>
  <w:abstractNum w:abstractNumId="106">
    <w:nsid w:val="6EAA85FB"/>
    <w:multiLevelType w:val="hybridMultilevel"/>
    <w:lvl w:ilvl="0">
      <w:lvlJc w:val="left"/>
      <w:lvlText w:val="%1."/>
      <w:numFmt w:val="decimal"/>
      <w:start w:val="1"/>
    </w:lvl>
    <w:lvl w:ilvl="1">
      <w:lvlJc w:val="left"/>
      <w:lvlText w:val="(%2)"/>
      <w:numFmt w:val="lowerLetter"/>
      <w:start w:val="1"/>
    </w:lvl>
  </w:abstractNum>
  <w:abstractNum w:abstractNumId="107">
    <w:nsid w:val="3F06ECB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108">
    <w:nsid w:val="3B59480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9">
    <w:nsid w:val="6CAA2304"/>
    <w:multiLevelType w:val="hybridMultilevel"/>
    <w:lvl w:ilvl="0">
      <w:lvlJc w:val="left"/>
      <w:lvlText w:val="(%1)"/>
      <w:numFmt w:val="upperLetter"/>
      <w:start w:val="2"/>
    </w:lvl>
  </w:abstractNum>
  <w:abstractNum w:abstractNumId="110">
    <w:nsid w:val="3F7C2FF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1">
    <w:nsid w:val="25413BEC"/>
    <w:multiLevelType w:val="hybridMultilevel"/>
    <w:lvl w:ilvl="0">
      <w:lvlJc w:val="left"/>
      <w:lvlText w:val="(%1)"/>
      <w:numFmt w:val="lowerLetter"/>
      <w:start w:val="7"/>
    </w:lvl>
    <w:lvl w:ilvl="1">
      <w:lvlJc w:val="left"/>
      <w:lvlText w:val="(%2)"/>
      <w:numFmt w:val="lowerLetter"/>
      <w:start w:val="9"/>
    </w:lvl>
    <w:lvl w:ilvl="2">
      <w:lvlJc w:val="left"/>
      <w:lvlText w:val="(%3)"/>
      <w:numFmt w:val="upperLetter"/>
      <w:start w:val="1"/>
    </w:lvl>
  </w:abstractNum>
  <w:abstractNum w:abstractNumId="112">
    <w:nsid w:val="17180B0B"/>
    <w:multiLevelType w:val="hybridMultilevel"/>
    <w:lvl w:ilvl="0">
      <w:lvlJc w:val="left"/>
      <w:lvlText w:val="%1"/>
      <w:numFmt w:val="lowerRoman"/>
      <w:start w:val="1"/>
    </w:lvl>
    <w:lvl w:ilvl="1">
      <w:lvlJc w:val="left"/>
      <w:lvlText w:val="(%2)"/>
      <w:numFmt w:val="upperLetter"/>
      <w:start w:val="2"/>
    </w:lvl>
  </w:abstractNum>
  <w:abstractNum w:abstractNumId="113">
    <w:nsid w:val="579328B9"/>
    <w:multiLevelType w:val="hybridMultilevel"/>
    <w:lvl w:ilvl="0">
      <w:lvlJc w:val="left"/>
      <w:lvlText w:val="(%1)"/>
      <w:numFmt w:val="lowerRoman"/>
      <w:start w:val="2"/>
    </w:lvl>
    <w:lvl w:ilvl="1">
      <w:lvlJc w:val="left"/>
      <w:lvlText w:val="%2"/>
      <w:numFmt w:val="upperLetter"/>
      <w:start w:val="1"/>
    </w:lvl>
  </w:abstractNum>
  <w:abstractNum w:abstractNumId="114">
    <w:nsid w:val="5D205E20"/>
    <w:multiLevelType w:val="hybridMultilevel"/>
    <w:lvl w:ilvl="0">
      <w:lvlJc w:val="left"/>
      <w:lvlText w:val="(%1)"/>
      <w:numFmt w:val="lowerLetter"/>
      <w:start w:val="11"/>
    </w:lvl>
  </w:abstractNum>
  <w:abstractNum w:abstractNumId="115">
    <w:nsid w:val="11CCA8BA"/>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116">
    <w:nsid w:val="4D32AB86"/>
    <w:multiLevelType w:val="hybridMultilevel"/>
    <w:lvl w:ilvl="0">
      <w:lvlJc w:val="left"/>
      <w:lvlText w:val="(%1)"/>
      <w:numFmt w:val="lowerLetter"/>
      <w:start w:val="20"/>
    </w:lvl>
    <w:lvl w:ilvl="1">
      <w:lvlJc w:val="left"/>
      <w:lvlText w:val="(%2)"/>
      <w:numFmt w:val="lowerRoman"/>
      <w:start w:val="1"/>
    </w:lvl>
  </w:abstractNum>
  <w:abstractNum w:abstractNumId="117">
    <w:nsid w:val="3F07ACC3"/>
    <w:multiLevelType w:val="hybridMultilevel"/>
    <w:lvl w:ilvl="0">
      <w:lvlJc w:val="left"/>
      <w:lvlText w:val="%1"/>
      <w:numFmt w:val="lowerLetter"/>
      <w:start w:val="1"/>
    </w:lvl>
    <w:lvl w:ilvl="1">
      <w:lvlJc w:val="left"/>
      <w:lvlText w:val="(%2)"/>
      <w:numFmt w:val="lowerRoman"/>
      <w:start w:val="2"/>
    </w:lvl>
  </w:abstractNum>
  <w:abstractNum w:abstractNumId="118">
    <w:nsid w:val="6B47F63E"/>
    <w:multiLevelType w:val="hybridMultilevel"/>
    <w:lvl w:ilvl="0">
      <w:lvlJc w:val="left"/>
      <w:lvlText w:val="(%1)"/>
      <w:numFmt w:val="lowerLetter"/>
      <w:start w:val="27"/>
    </w:lvl>
    <w:lvl w:ilvl="1">
      <w:lvlJc w:val="left"/>
      <w:lvlText w:val="(%2)"/>
      <w:numFmt w:val="lowerRoman"/>
      <w:start w:val="1"/>
    </w:lvl>
  </w:abstractNum>
  <w:abstractNum w:abstractNumId="119">
    <w:nsid w:val="5CB44A0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20">
    <w:nsid w:val="16CF80F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21">
    <w:nsid w:val="1C695DEC"/>
    <w:multiLevelType w:val="hybridMultilevel"/>
    <w:lvl w:ilvl="0">
      <w:lvlJc w:val="left"/>
      <w:lvlText w:val="(%1)"/>
      <w:numFmt w:val="lowerLetter"/>
      <w:start w:val="33"/>
    </w:lvl>
    <w:lvl w:ilvl="1">
      <w:lvlJc w:val="left"/>
      <w:lvlText w:val="%2"/>
      <w:numFmt w:val="lowerLetter"/>
      <w:start w:val="1"/>
    </w:lvl>
    <w:lvl w:ilvl="2">
      <w:lvlJc w:val="left"/>
      <w:lvlText w:val="%3"/>
      <w:numFmt w:val="upperLetter"/>
      <w:start w:val="1"/>
    </w:lvl>
  </w:abstractNum>
  <w:abstractNum w:abstractNumId="122">
    <w:nsid w:val="3FCFAED9"/>
    <w:multiLevelType w:val="hybridMultilevel"/>
    <w:lvl w:ilvl="0">
      <w:lvlJc w:val="left"/>
      <w:lvlText w:val="(%1)"/>
      <w:numFmt w:val="lowerLetter"/>
      <w:start w:val="34"/>
    </w:lvl>
    <w:lvl w:ilvl="1">
      <w:lvlJc w:val="left"/>
      <w:lvlText w:val="(%2)"/>
      <w:numFmt w:val="lowerRoman"/>
      <w:start w:val="1"/>
    </w:lvl>
    <w:lvl w:ilvl="2">
      <w:lvlJc w:val="left"/>
      <w:lvlText w:val="(%3)"/>
      <w:numFmt w:val="upperLetter"/>
      <w:start w:val="1"/>
    </w:lvl>
  </w:abstractNum>
  <w:abstractNum w:abstractNumId="123">
    <w:nsid w:val="F8568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4">
    <w:nsid w:val="11B1CC33"/>
    <w:multiLevelType w:val="hybridMultilevel"/>
    <w:lvl w:ilvl="0">
      <w:lvlJc w:val="left"/>
      <w:lvlText w:val="(%1)"/>
      <w:numFmt w:val="lowerLetter"/>
      <w:start w:val="38"/>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5">
    <w:nsid w:val="2E22FBB7"/>
    <w:multiLevelType w:val="hybridMultilevel"/>
    <w:lvl w:ilvl="0">
      <w:lvlJc w:val="left"/>
      <w:lvlText w:val="(%1)"/>
      <w:numFmt w:val="decimal"/>
      <w:start w:val="4"/>
    </w:lvl>
  </w:abstractNum>
  <w:abstractNum w:abstractNumId="126">
    <w:nsid w:val="29934699"/>
    <w:multiLevelType w:val="hybridMultilevel"/>
    <w:lvl w:ilvl="0">
      <w:lvlJc w:val="left"/>
      <w:lvlText w:val="(%1)"/>
      <w:numFmt w:val="lowerLetter"/>
      <w:start w:val="41"/>
    </w:lvl>
  </w:abstractNum>
  <w:abstractNum w:abstractNumId="127">
    <w:nsid w:val="77485850"/>
    <w:multiLevelType w:val="hybridMultilevel"/>
    <w:lvl w:ilvl="0">
      <w:lvlJc w:val="left"/>
      <w:lvlText w:val="(%1)"/>
      <w:numFmt w:val="lowerLetter"/>
      <w:start w:val="49"/>
    </w:lvl>
  </w:abstractNum>
  <w:abstractNum w:abstractNumId="128">
    <w:nsid w:val="744939A3"/>
    <w:multiLevelType w:val="hybridMultilevel"/>
    <w:lvl w:ilvl="0">
      <w:lvlJc w:val="left"/>
      <w:lvlText w:val="(%1)"/>
      <w:numFmt w:val="lowerLetter"/>
      <w:start w:val="53"/>
    </w:lvl>
  </w:abstractNum>
  <w:abstractNum w:abstractNumId="129">
    <w:nsid w:val="4FA0D2E3"/>
    <w:multiLevelType w:val="hybridMultilevel"/>
    <w:lvl w:ilvl="0">
      <w:lvlJc w:val="left"/>
      <w:lvlText w:val="%1"/>
      <w:numFmt w:val="decimal"/>
      <w:start w:val="1"/>
    </w:lvl>
    <w:lvl w:ilvl="1">
      <w:lvlJc w:val="left"/>
      <w:lvlText w:val="(%2)"/>
      <w:numFmt w:val="lowerLetter"/>
      <w:start w:val="60"/>
    </w:lvl>
  </w:abstractNum>
  <w:abstractNum w:abstractNumId="130">
    <w:nsid w:val="6B1D2C14"/>
    <w:multiLevelType w:val="hybridMultilevel"/>
    <w:lvl w:ilvl="0">
      <w:lvlJc w:val="left"/>
      <w:lvlText w:val="%1."/>
      <w:numFmt w:val="decimal"/>
      <w:start w:val="3"/>
    </w:lvl>
    <w:lvl w:ilvl="1">
      <w:lvlJc w:val="left"/>
      <w:lvlText w:val="%2"/>
      <w:numFmt w:val="lowerLetter"/>
      <w:start w:val="1"/>
    </w:lvl>
  </w:abstractNum>
  <w:abstractNum w:abstractNumId="131">
    <w:nsid w:val="68B867D3"/>
    <w:multiLevelType w:val="hybridMultilevel"/>
    <w:lvl w:ilvl="0">
      <w:lvlJc w:val="left"/>
      <w:lvlText w:val="%1"/>
      <w:numFmt w:val="decimal"/>
      <w:start w:val="1"/>
    </w:lvl>
    <w:lvl w:ilvl="1">
      <w:lvlJc w:val="left"/>
      <w:lvlText w:val="(%2)"/>
      <w:numFmt w:val="lowerLetter"/>
      <w:start w:val="1"/>
    </w:lvl>
  </w:abstractNum>
  <w:abstractNum w:abstractNumId="132">
    <w:nsid w:val="3F7F5DD9"/>
    <w:multiLevelType w:val="hybridMultilevel"/>
    <w:lvl w:ilvl="0">
      <w:lvlJc w:val="left"/>
      <w:lvlText w:val="%1."/>
      <w:numFmt w:val="decimal"/>
      <w:start w:val="4"/>
    </w:lvl>
    <w:lvl w:ilvl="1">
      <w:lvlJc w:val="left"/>
      <w:lvlText w:val="(%2)"/>
      <w:numFmt w:val="lowerLetter"/>
      <w:start w:val="1"/>
    </w:lvl>
  </w:abstractNum>
  <w:abstractNum w:abstractNumId="133">
    <w:nsid w:val="2AE05A34"/>
    <w:multiLevelType w:val="hybridMultilevel"/>
    <w:lvl w:ilvl="0">
      <w:lvlJc w:val="left"/>
      <w:lvlText w:val="%1."/>
      <w:numFmt w:val="decimal"/>
      <w:start w:val="5"/>
    </w:lvl>
    <w:lvl w:ilvl="1">
      <w:lvlJc w:val="left"/>
      <w:lvlText w:val="(%2)"/>
      <w:numFmt w:val="lowerLetter"/>
      <w:start w:val="1"/>
    </w:lvl>
  </w:abstractNum>
  <w:abstractNum w:abstractNumId="134">
    <w:nsid w:val="32794FF7"/>
    <w:multiLevelType w:val="hybridMultilevel"/>
    <w:lvl w:ilvl="0">
      <w:lvlJc w:val="left"/>
      <w:lvlText w:val="%1"/>
      <w:numFmt w:val="decimal"/>
      <w:start w:val="1"/>
    </w:lvl>
    <w:lvl w:ilvl="1">
      <w:lvlJc w:val="left"/>
      <w:lvlText w:val="(%2)"/>
      <w:numFmt w:val="lowerRoman"/>
      <w:start w:val="1"/>
    </w:lvl>
  </w:abstractNum>
  <w:abstractNum w:abstractNumId="135">
    <w:nsid w:val="5454945E"/>
    <w:multiLevelType w:val="hybridMultilevel"/>
    <w:lvl w:ilvl="0">
      <w:lvlJc w:val="left"/>
      <w:lvlText w:val="%1."/>
      <w:numFmt w:val="decimal"/>
      <w:start w:val="6"/>
    </w:lvl>
    <w:lvl w:ilvl="1">
      <w:lvlJc w:val="left"/>
      <w:lvlText w:val="%2"/>
      <w:numFmt w:val="lowerRoman"/>
      <w:start w:val="1"/>
    </w:lvl>
  </w:abstractNum>
  <w:abstractNum w:abstractNumId="136">
    <w:nsid w:val="4DEFDFA0"/>
    <w:multiLevelType w:val="hybridMultilevel"/>
    <w:lvl w:ilvl="0">
      <w:lvlJc w:val="left"/>
      <w:lvlText w:val="(%1)"/>
      <w:numFmt w:val="lowerLetter"/>
      <w:start w:val="1"/>
    </w:lvl>
  </w:abstractNum>
  <w:abstractNum w:abstractNumId="137">
    <w:nsid w:val="2123D5F2"/>
    <w:multiLevelType w:val="hybridMultilevel"/>
    <w:lvl w:ilvl="0">
      <w:lvlJc w:val="left"/>
      <w:lvlText w:val="(%1)"/>
      <w:numFmt w:val="lowerLetter"/>
      <w:start w:val="6"/>
    </w:lvl>
  </w:abstractNum>
  <w:abstractNum w:abstractNumId="138">
    <w:nsid w:val="135B8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9">
    <w:nsid w:val="94927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40">
    <w:nsid w:val="DCDF8F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1">
    <w:nsid w:val="52D7B105"/>
    <w:multiLevelType w:val="hybridMultilevel"/>
    <w:lvl w:ilvl="0">
      <w:lvlJc w:val="left"/>
      <w:lvlText w:val="%1"/>
      <w:numFmt w:val="lowerLetter"/>
      <w:start w:val="1"/>
    </w:lvl>
    <w:lvl w:ilvl="1">
      <w:lvlJc w:val="left"/>
      <w:lvlText w:val="(%2)"/>
      <w:numFmt w:val="lowerRoman"/>
      <w:start w:val="2"/>
    </w:lvl>
  </w:abstractNum>
  <w:abstractNum w:abstractNumId="142">
    <w:nsid w:val="2E8A6394"/>
    <w:multiLevelType w:val="hybridMultilevel"/>
    <w:lvl w:ilvl="0">
      <w:lvlJc w:val="left"/>
      <w:lvlText w:val="(%1)"/>
      <w:numFmt w:val="lowerLetter"/>
      <w:start w:val="5"/>
    </w:lvl>
    <w:lvl w:ilvl="1">
      <w:lvlJc w:val="left"/>
      <w:lvlText w:val="%2"/>
      <w:numFmt w:val="lowerRoman"/>
      <w:start w:val="1"/>
    </w:lvl>
  </w:abstractNum>
  <w:abstractNum w:abstractNumId="143">
    <w:nsid w:val="24E60401"/>
    <w:multiLevelType w:val="hybridMultilevel"/>
    <w:lvl w:ilvl="0">
      <w:lvlJc w:val="left"/>
      <w:lvlText w:val="(%1)"/>
      <w:numFmt w:val="lowerLetter"/>
      <w:start w:val="6"/>
    </w:lvl>
    <w:lvl w:ilvl="1">
      <w:lvlJc w:val="left"/>
      <w:lvlText w:val="(%2)"/>
      <w:numFmt w:val="lowerRoman"/>
      <w:start w:val="1"/>
    </w:lvl>
  </w:abstractNum>
  <w:abstractNum w:abstractNumId="144">
    <w:nsid w:val="2A6AD9BE"/>
    <w:multiLevelType w:val="hybridMultilevel"/>
    <w:lvl w:ilvl="0">
      <w:lvlJc w:val="left"/>
      <w:lvlText w:val="(%1)"/>
      <w:numFmt w:val="lowerRoman"/>
      <w:start w:val="1"/>
    </w:lvl>
    <w:lvl w:ilvl="1">
      <w:lvlJc w:val="left"/>
      <w:lvlText w:val="(%2)"/>
      <w:numFmt w:val="lowerRoman"/>
      <w:start w:val="1"/>
    </w:lvl>
  </w:abstractNum>
  <w:abstractNum w:abstractNumId="145">
    <w:nsid w:val="BAAC1B4"/>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46">
    <w:nsid w:val="36B2ACBC"/>
    <w:multiLevelType w:val="hybridMultilevel"/>
    <w:lvl w:ilvl="0">
      <w:lvlJc w:val="left"/>
      <w:lvlText w:val="%1"/>
      <w:numFmt w:val="lowerRoman"/>
      <w:start w:val="1"/>
    </w:lvl>
    <w:lvl w:ilvl="1">
      <w:lvlJc w:val="left"/>
      <w:lvlText w:val="(%2)"/>
      <w:numFmt w:val="upperLetter"/>
      <w:start w:val="2"/>
    </w:lvl>
  </w:abstractNum>
  <w:abstractNum w:abstractNumId="147">
    <w:nsid w:val="779D8544"/>
    <w:multiLevelType w:val="hybridMultilevel"/>
    <w:lvl w:ilvl="0">
      <w:lvlJc w:val="left"/>
      <w:lvlText w:val="(%1)"/>
      <w:numFmt w:val="lowerRoman"/>
      <w:start w:val="3"/>
    </w:lvl>
    <w:lvl w:ilvl="1">
      <w:lvlJc w:val="left"/>
      <w:lvlText w:val="%2"/>
      <w:numFmt w:val="upperLetter"/>
      <w:start w:val="1"/>
    </w:lvl>
  </w:abstractNum>
  <w:abstractNum w:abstractNumId="148">
    <w:nsid w:val="4AB26E78"/>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149">
    <w:nsid w:val="21FAA2FA"/>
    <w:multiLevelType w:val="hybridMultilevel"/>
    <w:lvl w:ilvl="0">
      <w:lvlJc w:val="left"/>
      <w:lvlText w:val="%1"/>
      <w:numFmt w:val="lowerLetter"/>
      <w:start w:val="1"/>
    </w:lvl>
    <w:lvl w:ilvl="1">
      <w:lvlJc w:val="left"/>
      <w:lvlText w:val="(%2)"/>
      <w:numFmt w:val="lowerRoman"/>
      <w:start w:val="4"/>
    </w:lvl>
  </w:abstractNum>
  <w:abstractNum w:abstractNumId="150">
    <w:nsid w:val="5451CF49"/>
    <w:multiLevelType w:val="hybridMultilevel"/>
    <w:lvl w:ilvl="0">
      <w:lvlJc w:val="left"/>
      <w:lvlText w:val="(%1)"/>
      <w:numFmt w:val="lowerLetter"/>
      <w:start w:val="12"/>
    </w:lvl>
    <w:lvl w:ilvl="1">
      <w:lvlJc w:val="left"/>
      <w:lvlText w:val="%2"/>
      <w:numFmt w:val="lowerRoman"/>
      <w:start w:val="1"/>
    </w:lvl>
  </w:abstractNum>
  <w:abstractNum w:abstractNumId="151">
    <w:nsid w:val="6181EF69"/>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152">
    <w:nsid w:val="3E6400E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53">
    <w:nsid w:val="14217E23"/>
    <w:multiLevelType w:val="hybridMultilevel"/>
    <w:lvl w:ilvl="0">
      <w:lvlJc w:val="left"/>
      <w:lvlText w:val="(%1)"/>
      <w:numFmt w:val="lowerRoman"/>
      <w:start w:val="2"/>
    </w:lvl>
    <w:lvl w:ilvl="1">
      <w:lvlJc w:val="left"/>
      <w:lvlText w:val="(%2)"/>
      <w:numFmt w:val="upperLetter"/>
      <w:start w:val="1"/>
    </w:lvl>
  </w:abstractNum>
  <w:abstractNum w:abstractNumId="154">
    <w:nsid w:val="710757D0"/>
    <w:multiLevelType w:val="hybridMultilevel"/>
    <w:lvl w:ilvl="0">
      <w:lvlJc w:val="left"/>
      <w:lvlText w:val="(%1)"/>
      <w:numFmt w:val="upperLetter"/>
      <w:start w:val="3"/>
    </w:lvl>
  </w:abstractNum>
  <w:abstractNum w:abstractNumId="155">
    <w:nsid w:val="5015CD1A"/>
    <w:multiLevelType w:val="hybridMultilevel"/>
    <w:lvl w:ilvl="0">
      <w:lvlJc w:val="left"/>
      <w:lvlText w:val="(%1)"/>
      <w:numFmt w:val="lowerRoman"/>
      <w:start w:val="3"/>
    </w:lvl>
  </w:abstractNum>
  <w:abstractNum w:abstractNumId="156">
    <w:nsid w:val="424479DA"/>
    <w:multiLevelType w:val="hybridMultilevel"/>
    <w:lvl w:ilvl="0">
      <w:lvlJc w:val="left"/>
      <w:lvlText w:val="%1."/>
      <w:numFmt w:val="decimal"/>
      <w:start w:val="11"/>
    </w:lvl>
    <w:lvl w:ilvl="1">
      <w:lvlJc w:val="left"/>
      <w:lvlText w:val="(%2)"/>
      <w:numFmt w:val="lowerLetter"/>
      <w:start w:val="1"/>
    </w:lvl>
  </w:abstractNum>
  <w:abstractNum w:abstractNumId="157">
    <w:nsid w:val="1A9A9E69"/>
    <w:multiLevelType w:val="hybridMultilevel"/>
    <w:lvl w:ilvl="0">
      <w:lvlJc w:val="left"/>
      <w:lvlText w:val="(%1)"/>
      <w:numFmt w:val="lowerLetter"/>
      <w:start w:val="1"/>
    </w:lvl>
  </w:abstractNum>
  <w:abstractNum w:abstractNumId="158">
    <w:nsid w:val="475E256A"/>
    <w:multiLevelType w:val="hybridMultilevel"/>
    <w:lvl w:ilvl="0">
      <w:lvlJc w:val="left"/>
      <w:lvlText w:val="(%1)"/>
      <w:numFmt w:val="lowerRoman"/>
      <w:start w:val="2"/>
    </w:lvl>
  </w:abstractNum>
  <w:abstractNum w:abstractNumId="159">
    <w:nsid w:val="368DB37E"/>
    <w:multiLevelType w:val="hybridMultilevel"/>
    <w:lvl w:ilvl="0">
      <w:lvlJc w:val="left"/>
      <w:lvlText w:val="%1."/>
      <w:numFmt w:val="decimal"/>
      <w:start w:val="16"/>
    </w:lvl>
  </w:abstractNum>
  <w:abstractNum w:abstractNumId="160">
    <w:nsid w:val="6A3B714C"/>
    <w:multiLevelType w:val="hybridMultilevel"/>
    <w:lvl w:ilvl="0">
      <w:lvlJc w:val="left"/>
      <w:lvlText w:val="%1."/>
      <w:numFmt w:val="decimal"/>
      <w:start w:val="17"/>
    </w:lvl>
  </w:abstractNum>
  <w:abstractNum w:abstractNumId="161">
    <w:nsid w:val="327B517E"/>
    <w:multiLevelType w:val="hybridMultilevel"/>
    <w:lvl w:ilvl="0">
      <w:lvlJc w:val="left"/>
      <w:lvlText w:val="%1."/>
      <w:numFmt w:val="decimal"/>
      <w:start w:val="1"/>
    </w:lvl>
    <w:lvl w:ilvl="1">
      <w:lvlJc w:val="left"/>
      <w:lvlText w:val="(%2)"/>
      <w:numFmt w:val="lowerLetter"/>
      <w:start w:val="1"/>
    </w:lvl>
  </w:abstractNum>
  <w:abstractNum w:abstractNumId="162">
    <w:nsid w:val="1F461B51"/>
    <w:multiLevelType w:val="hybridMultilevel"/>
    <w:lvl w:ilvl="0">
      <w:lvlJc w:val="left"/>
      <w:lvlText w:val="(%1)"/>
      <w:numFmt w:val="lowerLetter"/>
      <w:start w:val="6"/>
    </w:lvl>
    <w:lvl w:ilvl="1">
      <w:lvlJc w:val="left"/>
      <w:lvlText w:val="(%2)"/>
      <w:numFmt w:val="lowerRoman"/>
      <w:start w:val="1"/>
    </w:lvl>
  </w:abstractNum>
  <w:abstractNum w:abstractNumId="163">
    <w:nsid w:val="29BACF2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64">
    <w:nsid w:val="5D5BABB3"/>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65">
    <w:nsid w:val="51BF6B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66">
    <w:nsid w:val="7E0F6384"/>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167">
    <w:nsid w:val="2B4B8B53"/>
    <w:multiLevelType w:val="hybridMultilevel"/>
    <w:lvl w:ilvl="0">
      <w:lvlJc w:val="left"/>
      <w:lvlText w:val="(%1)"/>
      <w:numFmt w:val="lowerLetter"/>
      <w:start w:val="19"/>
    </w:lvl>
    <w:lvl w:ilvl="1">
      <w:lvlJc w:val="left"/>
      <w:lvlText w:val="(%2)"/>
      <w:numFmt w:val="lowerRoman"/>
      <w:start w:val="1"/>
    </w:lvl>
  </w:abstractNum>
  <w:abstractNum w:abstractNumId="168">
    <w:nsid w:val="72E3413A"/>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69">
    <w:nsid w:val="116AE494"/>
    <w:multiLevelType w:val="hybridMultilevel"/>
    <w:lvl w:ilvl="0">
      <w:lvlJc w:val="left"/>
      <w:lvlText w:val="(%1)"/>
      <w:numFmt w:val="decimal"/>
      <w:start w:val="3"/>
    </w:lvl>
  </w:abstractNum>
  <w:abstractNum w:abstractNumId="170">
    <w:nsid w:val="3494B2FB"/>
    <w:multiLevelType w:val="hybridMultilevel"/>
    <w:lvl w:ilvl="0">
      <w:lvlJc w:val="left"/>
      <w:lvlText w:val="(%1)"/>
      <w:numFmt w:val="lowerLetter"/>
      <w:start w:val="24"/>
    </w:lvl>
  </w:abstractNum>
  <w:abstractNum w:abstractNumId="171">
    <w:nsid w:val="B13A31"/>
    <w:multiLevelType w:val="hybridMultilevel"/>
    <w:lvl w:ilvl="0">
      <w:lvlJc w:val="left"/>
      <w:lvlText w:val="(%1)"/>
      <w:numFmt w:val="lowerLetter"/>
      <w:start w:val="27"/>
    </w:lvl>
    <w:lvl w:ilvl="1">
      <w:lvlJc w:val="left"/>
      <w:lvlText w:val="(%2)"/>
      <w:numFmt w:val="lowerRoman"/>
      <w:start w:val="1"/>
    </w:lvl>
  </w:abstractNum>
  <w:abstractNum w:abstractNumId="172">
    <w:nsid w:val="64429599"/>
    <w:multiLevelType w:val="hybridMultilevel"/>
    <w:lvl w:ilvl="0">
      <w:lvlJc w:val="left"/>
      <w:lvlText w:val="%1"/>
      <w:numFmt w:val="decimal"/>
      <w:start w:val="1"/>
    </w:lvl>
    <w:lvl w:ilvl="1">
      <w:lvlJc w:val="left"/>
      <w:lvlText w:val="(%2)"/>
      <w:numFmt w:val="lowerLetter"/>
      <w:start w:val="29"/>
    </w:lvl>
    <w:lvl w:ilvl="2">
      <w:lvlJc w:val="left"/>
      <w:lvlText w:val="%3"/>
      <w:numFmt w:val="lowerRoman"/>
      <w:start w:val="1"/>
    </w:lvl>
  </w:abstractNum>
  <w:abstractNum w:abstractNumId="173">
    <w:nsid w:val="631F169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4">
    <w:nsid w:val="25973E32"/>
    <w:multiLevelType w:val="hybridMultilevel"/>
    <w:lvl w:ilvl="0">
      <w:lvlJc w:val="left"/>
      <w:lvlText w:val="%1"/>
      <w:numFmt w:val="decimal"/>
      <w:start w:val="1"/>
    </w:lvl>
    <w:lvl w:ilvl="1">
      <w:lvlJc w:val="left"/>
      <w:lvlText w:val="(%2)"/>
      <w:numFmt w:val="lowerLetter"/>
      <w:start w:val="2"/>
    </w:lvl>
  </w:abstractNum>
  <w:abstractNum w:abstractNumId="175">
    <w:nsid w:val="EAD6F57"/>
    <w:multiLevelType w:val="hybridMultilevel"/>
    <w:lvl w:ilvl="0">
      <w:lvlJc w:val="left"/>
      <w:lvlText w:val="%1."/>
      <w:numFmt w:val="decimal"/>
      <w:start w:val="4"/>
    </w:lvl>
    <w:lvl w:ilvl="1">
      <w:lvlJc w:val="left"/>
      <w:lvlText w:val="(%2)"/>
      <w:numFmt w:val="lowerLetter"/>
      <w:start w:val="1"/>
    </w:lvl>
  </w:abstractNum>
  <w:abstractNum w:abstractNumId="176">
    <w:nsid w:val="6EC9D84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7">
    <w:nsid w:val="5C49EAE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8">
    <w:nsid w:val="64AF49B"/>
    <w:multiLevelType w:val="hybridMultilevel"/>
    <w:lvl w:ilvl="0">
      <w:lvlJc w:val="left"/>
      <w:lvlText w:val="%1"/>
      <w:numFmt w:val="decimal"/>
      <w:start w:val="1"/>
    </w:lvl>
    <w:lvl w:ilvl="1">
      <w:lvlJc w:val="left"/>
      <w:lvlText w:val="(%2)"/>
      <w:numFmt w:val="lowerLetter"/>
      <w:start w:val="2"/>
    </w:lvl>
  </w:abstractNum>
  <w:abstractNum w:abstractNumId="179">
    <w:nsid w:val="397C46BC"/>
    <w:multiLevelType w:val="hybridMultilevel"/>
    <w:lvl w:ilvl="0">
      <w:lvlJc w:val="left"/>
      <w:lvlText w:val="%1."/>
      <w:numFmt w:val="decimal"/>
      <w:start w:val="7"/>
    </w:lvl>
    <w:lvl w:ilvl="1">
      <w:lvlJc w:val="left"/>
      <w:lvlText w:val="%2"/>
      <w:numFmt w:val="lowerLetter"/>
      <w:start w:val="1"/>
    </w:lvl>
  </w:abstractNum>
  <w:abstractNum w:abstractNumId="180">
    <w:nsid w:val="7E448DE9"/>
    <w:multiLevelType w:val="hybridMultilevel"/>
    <w:lvl w:ilvl="0">
      <w:lvlJc w:val="left"/>
      <w:lvlText w:val="%1"/>
      <w:numFmt w:val="lowerLetter"/>
      <w:start w:val="1"/>
    </w:lvl>
    <w:lvl w:ilvl="1">
      <w:lvlJc w:val="left"/>
      <w:lvlText w:val="(%2)"/>
      <w:numFmt w:val="lowerLetter"/>
      <w:start w:val="1"/>
    </w:lvl>
  </w:abstractNum>
  <w:abstractNum w:abstractNumId="181">
    <w:nsid w:val="5A9CC3E5"/>
    <w:multiLevelType w:val="hybridMultilevel"/>
    <w:lvl w:ilvl="0">
      <w:lvlJc w:val="left"/>
      <w:lvlText w:val="(%1)"/>
      <w:numFmt w:val="lowerLetter"/>
      <w:start w:val="35"/>
    </w:lvl>
    <w:lvl w:ilvl="1">
      <w:lvlJc w:val="left"/>
      <w:lvlText w:val="%2"/>
      <w:numFmt w:val="lowerLetter"/>
      <w:start w:val="1"/>
    </w:lvl>
  </w:abstractNum>
  <w:abstractNum w:abstractNumId="182">
    <w:nsid w:val="1AFE3625"/>
    <w:multiLevelType w:val="hybridMultilevel"/>
    <w:lvl w:ilvl="0">
      <w:lvlJc w:val="left"/>
      <w:lvlText w:val="(%1)"/>
      <w:numFmt w:val="lowerLetter"/>
      <w:start w:val="4"/>
    </w:lvl>
    <w:lvl w:ilvl="1">
      <w:lvlJc w:val="left"/>
      <w:lvlText w:val="(%2)"/>
      <w:numFmt w:val="lowerRoman"/>
      <w:start w:val="1"/>
    </w:lvl>
  </w:abstractNum>
  <w:abstractNum w:abstractNumId="183">
    <w:nsid w:val="3CA88ECF"/>
    <w:multiLevelType w:val="hybridMultilevel"/>
    <w:lvl w:ilvl="0">
      <w:lvlJc w:val="left"/>
      <w:lvlText w:val="(%1)"/>
      <w:numFmt w:val="lowerLetter"/>
      <w:start w:val="5"/>
    </w:lvl>
  </w:abstractNum>
  <w:abstractNum w:abstractNumId="184">
    <w:nsid w:val="6EBE4208"/>
    <w:multiLevelType w:val="hybridMultilevel"/>
    <w:lvl w:ilvl="0">
      <w:lvlJc w:val="left"/>
      <w:lvlText w:val="(%1)"/>
      <w:numFmt w:val="lowerLetter"/>
      <w:start w:val="7"/>
    </w:lvl>
    <w:lvl w:ilvl="1">
      <w:lvlJc w:val="left"/>
      <w:lvlText w:val="(%2)"/>
      <w:numFmt w:val="lowerRoman"/>
      <w:start w:val="1"/>
    </w:lvl>
  </w:abstractNum>
  <w:abstractNum w:abstractNumId="185">
    <w:nsid w:val="C058DF5"/>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86">
    <w:nsid w:val="CBE5BE9"/>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87">
    <w:nsid w:val="3102BBE2"/>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188">
    <w:nsid w:val="26A02C5E"/>
    <w:multiLevelType w:val="hybridMultilevel"/>
    <w:lvl w:ilvl="0">
      <w:lvlJc w:val="left"/>
      <w:lvlText w:val="%1."/>
      <w:numFmt w:val="decimal"/>
      <w:start w:val="11"/>
    </w:lvl>
    <w:lvl w:ilvl="1">
      <w:lvlJc w:val="left"/>
      <w:lvlText w:val="(%2)"/>
      <w:numFmt w:val="lowerLetter"/>
      <w:start w:val="1"/>
    </w:lvl>
  </w:abstractNum>
  <w:abstractNum w:abstractNumId="189">
    <w:nsid w:val="541C8153"/>
    <w:multiLevelType w:val="hybridMultilevel"/>
    <w:lvl w:ilvl="0">
      <w:lvlJc w:val="left"/>
      <w:lvlText w:val="%1"/>
      <w:numFmt w:val="decimal"/>
      <w:start w:val="1"/>
    </w:lvl>
    <w:lvl w:ilvl="1">
      <w:lvlJc w:val="left"/>
      <w:lvlText w:val="(%2)"/>
      <w:numFmt w:val="lowerLetter"/>
      <w:start w:val="2"/>
    </w:lvl>
  </w:abstractNum>
  <w:abstractNum w:abstractNumId="190">
    <w:nsid w:val="67906F60"/>
    <w:multiLevelType w:val="hybridMultilevel"/>
    <w:lvl w:ilvl="0">
      <w:lvlJc w:val="left"/>
      <w:lvlText w:val="%1."/>
      <w:numFmt w:val="decimal"/>
      <w:start w:val="12"/>
    </w:lvl>
    <w:lvl w:ilvl="1">
      <w:lvlJc w:val="left"/>
      <w:lvlText w:val="%2"/>
      <w:numFmt w:val="lowerLetter"/>
      <w:start w:val="1"/>
    </w:lvl>
  </w:abstractNum>
  <w:abstractNum w:abstractNumId="191">
    <w:nsid w:val="10DB9DAA"/>
    <w:multiLevelType w:val="hybridMultilevel"/>
    <w:lvl w:ilvl="0">
      <w:lvlJc w:val="left"/>
      <w:lvlText w:val="%1."/>
      <w:numFmt w:val="decimal"/>
      <w:start w:val="13"/>
    </w:lvl>
    <w:lvl w:ilvl="1">
      <w:lvlJc w:val="left"/>
      <w:lvlText w:val="(%2)"/>
      <w:numFmt w:val="lowerLetter"/>
      <w:start w:val="1"/>
    </w:lvl>
  </w:abstractNum>
  <w:abstractNum w:abstractNumId="192">
    <w:nsid w:val="697D2D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3">
    <w:nsid w:val="6D68AB2"/>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94">
    <w:nsid w:val="3A966CD0"/>
    <w:multiLevelType w:val="hybridMultilevel"/>
    <w:lvl w:ilvl="0">
      <w:lvlJc w:val="left"/>
      <w:lvlText w:val="(%1)"/>
      <w:numFmt w:val="lowerLetter"/>
      <w:start w:val="2"/>
    </w:lvl>
    <w:lvl w:ilvl="1">
      <w:lvlJc w:val="left"/>
      <w:lvlText w:val="(%2)"/>
      <w:numFmt w:val="lowerRoman"/>
      <w:start w:val="1"/>
    </w:lvl>
  </w:abstractNum>
  <w:abstractNum w:abstractNumId="195">
    <w:nsid w:val="63F37E85"/>
    <w:multiLevelType w:val="hybridMultilevel"/>
    <w:lvl w:ilvl="0">
      <w:lvlJc w:val="left"/>
      <w:lvlText w:val="(%1)"/>
      <w:numFmt w:val="lowerRoman"/>
      <w:start w:val="3"/>
    </w:lvl>
  </w:abstractNum>
  <w:abstractNum w:abstractNumId="196">
    <w:nsid w:val="5895F5FA"/>
    <w:multiLevelType w:val="hybridMultilevel"/>
    <w:lvl w:ilvl="0">
      <w:lvlJc w:val="left"/>
      <w:lvlText w:val="%1"/>
      <w:numFmt w:val="decimal"/>
      <w:start w:val="1"/>
    </w:lvl>
    <w:lvl w:ilvl="1">
      <w:lvlJc w:val="left"/>
      <w:lvlText w:val="(%2)"/>
      <w:numFmt w:val="lowerLetter"/>
      <w:start w:val="3"/>
    </w:lvl>
  </w:abstractNum>
  <w:abstractNum w:abstractNumId="197">
    <w:nsid w:val="38A5D054"/>
    <w:multiLevelType w:val="hybridMultilevel"/>
    <w:lvl w:ilvl="0">
      <w:lvlJc w:val="left"/>
      <w:lvlText w:val="%1."/>
      <w:numFmt w:val="decimal"/>
      <w:start w:val="16"/>
    </w:lvl>
    <w:lvl w:ilvl="1">
      <w:lvlJc w:val="left"/>
      <w:lvlText w:val="%2"/>
      <w:numFmt w:val="lowerLetter"/>
      <w:start w:val="1"/>
    </w:lvl>
  </w:abstractNum>
  <w:abstractNum w:abstractNumId="198">
    <w:nsid w:val="F3F09D8"/>
    <w:multiLevelType w:val="hybridMultilevel"/>
    <w:lvl w:ilvl="0">
      <w:lvlJc w:val="left"/>
      <w:lvlText w:val="%1."/>
      <w:numFmt w:val="decimal"/>
      <w:start w:val="1"/>
    </w:lvl>
  </w:abstractNum>
  <w:abstractNum w:abstractNumId="199">
    <w:nsid w:val="4B793735"/>
    <w:multiLevelType w:val="hybridMultilevel"/>
    <w:lvl w:ilvl="0">
      <w:lvlJc w:val="left"/>
      <w:lvlText w:val="%1."/>
      <w:numFmt w:val="decimal"/>
      <w:start w:val="1"/>
    </w:lvl>
    <w:lvl w:ilvl="1">
      <w:lvlJc w:val="left"/>
      <w:lvlText w:val="%2)"/>
      <w:numFmt w:val="lowerLetter"/>
      <w:start w:val="1"/>
    </w:lvl>
  </w:abstractNum>
  <w:abstractNum w:abstractNumId="200">
    <w:nsid w:val="4A10B4E8"/>
    <w:multiLevelType w:val="hybridMultilevel"/>
    <w:lvl w:ilvl="0">
      <w:lvlJc w:val="left"/>
      <w:lvlText w:val="%1."/>
      <w:numFmt w:val="decimal"/>
      <w:start w:val="1"/>
    </w:lvl>
    <w:lvl w:ilvl="1">
      <w:lvlJc w:val="left"/>
      <w:lvlText w:val="%2)"/>
      <w:numFmt w:val="lowerLetter"/>
      <w:start w:val="1"/>
    </w:lvl>
  </w:abstractNum>
  <w:abstractNum w:abstractNumId="201">
    <w:nsid w:val="43D3BC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2020-04-30T14:26:49Z</dcterms:created>
  <dcterms:modified xsi:type="dcterms:W3CDTF">2020-04-30T14:26:49Z</dcterms:modified>
</cp:coreProperties>
</file>