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14A</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spacing w:after="0" w:line="31" w:lineRule="exact"/>
        <w:rPr>
          <w:sz w:val="24"/>
          <w:szCs w:val="24"/>
          <w:color w:val="auto"/>
        </w:rPr>
      </w:pP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spacing w:after="0" w:line="2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COMMISSION ONLY (AS PERMITTED BY</w:t>
      </w:r>
    </w:p>
    <w:p>
      <w:pPr>
        <w:ind w:left="540"/>
        <w:spacing w:after="0"/>
        <w:rPr>
          <w:sz w:val="20"/>
          <w:szCs w:val="20"/>
          <w:color w:val="auto"/>
        </w:rPr>
      </w:pPr>
      <w:r>
        <w:rPr>
          <w:rFonts w:ascii="Courier New" w:cs="Courier New" w:eastAsia="Courier New" w:hAnsi="Courier New"/>
          <w:sz w:val="18"/>
          <w:szCs w:val="18"/>
          <w:color w:val="auto"/>
        </w:rPr>
        <w:t>RULE 14A-6(E)(2))</w:t>
      </w:r>
    </w:p>
    <w:p>
      <w:pPr>
        <w:spacing w:after="0" w:line="169"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right="2419" w:hanging="425"/>
        <w:spacing w:after="0" w:line="344"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3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31" w:lineRule="exact"/>
        <w:rPr>
          <w:sz w:val="24"/>
          <w:szCs w:val="24"/>
          <w:color w:val="auto"/>
        </w:rPr>
      </w:pPr>
    </w:p>
    <w:p>
      <w:pPr>
        <w:ind w:left="540" w:right="1779"/>
        <w:spacing w:after="0" w:line="273"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82"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20"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515"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[LOGO COMCAST]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TO BE HELD ON JUNE 22, 2000</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Annual Meeting of Shareholders of Comcast Corporation (the "Company") will be held on Thursday, June 22, 2000 at 9:00 a.m. local time at the offices of the Company, 1500 Market Street, West Tower, 9th Floor, Philadelphia, Pennsylvania, for the following purposes:</w:t>
      </w:r>
    </w:p>
    <w:p>
      <w:pPr>
        <w:spacing w:after="0" w:line="82" w:lineRule="exact"/>
        <w:rPr>
          <w:sz w:val="20"/>
          <w:szCs w:val="20"/>
          <w:color w:val="auto"/>
        </w:rPr>
      </w:pPr>
    </w:p>
    <w:p>
      <w:pPr>
        <w:ind w:left="540" w:right="2419" w:hanging="321"/>
        <w:spacing w:after="0" w:line="402"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nine directors to serve for the ensuing year and until their respective successors shall have been duly elected and qualified.</w:t>
      </w:r>
    </w:p>
    <w:p>
      <w:pPr>
        <w:ind w:left="540" w:right="3259" w:hanging="321"/>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 proposal to approve an amendment to the Comcast Corporation 1996 Stock Option Plan.</w:t>
      </w:r>
    </w:p>
    <w:p>
      <w:pPr>
        <w:spacing w:after="0" w:line="18" w:lineRule="exact"/>
        <w:rPr>
          <w:rFonts w:ascii="Courier New" w:cs="Courier New" w:eastAsia="Courier New" w:hAnsi="Courier New"/>
          <w:sz w:val="18"/>
          <w:szCs w:val="18"/>
          <w:color w:val="auto"/>
        </w:rPr>
      </w:pPr>
    </w:p>
    <w:p>
      <w:pPr>
        <w:ind w:left="540" w:right="2619" w:hanging="321"/>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2000 fiscal year.</w:t>
      </w:r>
    </w:p>
    <w:p>
      <w:pPr>
        <w:spacing w:after="0" w:line="18" w:lineRule="exact"/>
        <w:rPr>
          <w:rFonts w:ascii="Courier New" w:cs="Courier New" w:eastAsia="Courier New" w:hAnsi="Courier New"/>
          <w:sz w:val="18"/>
          <w:szCs w:val="18"/>
          <w:color w:val="auto"/>
        </w:rPr>
      </w:pPr>
    </w:p>
    <w:p>
      <w:pPr>
        <w:ind w:left="540" w:right="2199" w:hanging="321"/>
        <w:spacing w:after="0" w:line="34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postponement thereof.</w:t>
      </w:r>
    </w:p>
    <w:p>
      <w:pPr>
        <w:spacing w:after="0" w:line="18" w:lineRule="exact"/>
        <w:rPr>
          <w:sz w:val="20"/>
          <w:szCs w:val="20"/>
          <w:color w:val="auto"/>
        </w:rPr>
      </w:pPr>
    </w:p>
    <w:p>
      <w:pPr>
        <w:ind w:right="2099" w:firstLine="211"/>
        <w:spacing w:after="0" w:line="318" w:lineRule="auto"/>
        <w:rPr>
          <w:sz w:val="20"/>
          <w:szCs w:val="20"/>
          <w:color w:val="auto"/>
        </w:rPr>
      </w:pPr>
      <w:r>
        <w:rPr>
          <w:rFonts w:ascii="Courier New" w:cs="Courier New" w:eastAsia="Courier New" w:hAnsi="Courier New"/>
          <w:sz w:val="16"/>
          <w:szCs w:val="16"/>
          <w:color w:val="auto"/>
        </w:rPr>
        <w:t>The close of business on May 3, 2000 has been fixed as the record date for the meeting. All shareholders of record at that time are entitled to notice of, and all holders of Class A Common Stock and Class B Common Stock are entitled to vote at, the meeting and any adjournment or postponement thereof.</w:t>
      </w:r>
    </w:p>
    <w:p>
      <w:pPr>
        <w:spacing w:after="0" w:line="52"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Because holders of Class A Special Common Stock are not generally entitled to vote and no resolution is proposed for the meeting for which a vote of the Class A Special Common Stock is required by law, holders of Class A Special Common Stock are not entitled to vote at the meeting. The enclosed proxy statement is being sent to holders of Class A Special Common Stock for informational purposes only.</w:t>
      </w:r>
    </w:p>
    <w:p>
      <w:pPr>
        <w:spacing w:after="0" w:line="93" w:lineRule="exact"/>
        <w:rPr>
          <w:sz w:val="20"/>
          <w:szCs w:val="20"/>
          <w:color w:val="auto"/>
        </w:rPr>
      </w:pPr>
    </w:p>
    <w:p>
      <w:pPr>
        <w:ind w:right="2419" w:firstLine="211"/>
        <w:spacing w:after="0" w:line="265" w:lineRule="auto"/>
        <w:rPr>
          <w:sz w:val="20"/>
          <w:szCs w:val="20"/>
          <w:color w:val="auto"/>
        </w:rPr>
      </w:pPr>
      <w:r>
        <w:rPr>
          <w:rFonts w:ascii="Courier New" w:cs="Courier New" w:eastAsia="Courier New" w:hAnsi="Courier New"/>
          <w:sz w:val="18"/>
          <w:szCs w:val="18"/>
          <w:color w:val="auto"/>
        </w:rPr>
        <w:t>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90"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All shareholders are cordially invited to attend the meeting. The Board of Directors urges you to date, sign and return promptly the enclosed proxy with respect to your shares of Class A Common Stock. The proxies are solicited by the Board of Directors of the Company. The return of the proxy will not affect your right to vote in person if you do attend the meeting. Copies of the Company's Annual Report on Form 10-K and Summary Annual Report are enclosed.</w:t>
      </w:r>
    </w:p>
    <w:p>
      <w:pPr>
        <w:spacing w:after="0" w:line="6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STANLEY WANG</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16, 2000</w:t>
      </w:r>
    </w:p>
    <w:p>
      <w:pPr>
        <w:sectPr>
          <w:pgSz w:w="11900" w:h="16838" w:orient="portrait"/>
          <w:cols w:equalWidth="0" w:num="1">
            <w:col w:w="10219"/>
          </w:cols>
          <w:pgMar w:left="240" w:top="691"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[LOGO OF COMCAST]</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The enclosed proxy is solicited by the Board of Directors of Comcast Corporation (the "Company"), a Pennsylvania corporation, for use at the Annual Meeting of Shareholders (the "meeting") to be held on Thursday, June 22, 2000 at 9:00 a.m. local time at the offices of the Company, 1500 Market Street, West Tower, 9th Floor, Philadelphia, Pennsylvania, and any adjournment or postponement thereof. This Proxy Statement, the foregoing notice and the enclosed proxy are being mailed to shareholders on or about May 16, 2000.</w:t>
      </w:r>
    </w:p>
    <w:p>
      <w:pPr>
        <w:spacing w:after="0" w:line="72"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04"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Electronically</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Instead of submitting your vote by mail on the enclosed proxy card, the Company's by-laws permit you to vote electronically via the Internet. Please note that there are separate Internet voting arrangements depending on whether shares registered in the Company's stock records are in your name or in the name of a brokerage firm or bank.</w:t>
      </w:r>
    </w:p>
    <w:p>
      <w:pPr>
        <w:spacing w:after="0" w:line="90"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The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w:t>
      </w:r>
    </w:p>
    <w:p>
      <w:pPr>
        <w:spacing w:after="0" w:line="9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Shares Registered Directly in the Name of the Shareholder</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Shareholders with shares registered directly in their name in the Company's stock records maintained by its transfer agent, EquiServe Trust Company, N.A. ("EquiServe"), may vote their shares (1) via the Internet at the following address on the World Wide Web: http://www.eproxyvote.com/cmcsa, (2) by mailing their signed proxy card, or (3) by attending the meeting and voting in person. Specific instructions to be followed by registered shareholders are set forth on the enclosed proxy card. Votes submitted via the Internet through EquiServe as described herein must be received by 5:00 p.m. eastern time on June 21, 2000.</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For Shares Registered in the Name of a Brokerage Firm or Bank</w:t>
      </w:r>
    </w:p>
    <w:p>
      <w:pPr>
        <w:spacing w:after="0" w:line="201"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A number of brokerage firms and banks are participating in separate programs that offer Internet voting options. Such programs are different from the program provided by EquiServe for shares registered directly in the name of the shareholder. If your shares are held in an account at a brokerage firm or bank participating in any such program, you may vote those shares via the Internet in accordance with instructions set forth on the voting form provided to you by the brokerage firm or bank that holds your shares.</w:t>
      </w:r>
    </w:p>
    <w:p>
      <w:pPr>
        <w:spacing w:after="0" w:line="7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At the close of business on May 3, 2000, the record date, the Company had outstanding 23,251,580 shares of Class A Common Stock, par value $1.00 per share, 9,444,375 shares of Class B Common Stock, par value $1.00 per share, and 873,648,780 shares of Class A Special Common Stock, par value $1.00 per share. All share amounts in this Proxy Statement reflect the stock split in the form of a dividend of one share of Class A Special Common Stock for each share of Class A Common Stock, Class A Special Common Stock and Class B Common Stock paid on May 5, 1999 to shareholders of record as of the close of business on April 20, 1999.</w:t>
      </w:r>
    </w:p>
    <w:p>
      <w:pPr>
        <w:spacing w:after="0" w:line="99"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On each matter voted upon at the meeting and any adjournment or postponement thereof, the Class A Common Stock and Class B Common Stock will vote together. Each record holder of Class A Common Stock will be entitled to one vote per share and each record holder of Class B Common Stock will be entitled to fifteen votes per share. Holders of Class A Special Common Stock shall not be entitled to vote at the meeting.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99"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presence, in person or by proxy, of shareholders entitled to cast a majority of the votes which shareholders are entitled to cast on each matter to be voted upon at the meeting will constitute a quorum for the meeting. In the event that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99" w:lineRule="exact"/>
        <w:rPr>
          <w:sz w:val="20"/>
          <w:szCs w:val="20"/>
          <w:color w:val="auto"/>
        </w:rPr>
      </w:pPr>
    </w:p>
    <w:p>
      <w:pPr>
        <w:ind w:right="1999" w:firstLine="211"/>
        <w:spacing w:after="0" w:line="288" w:lineRule="auto"/>
        <w:rPr>
          <w:sz w:val="20"/>
          <w:szCs w:val="20"/>
          <w:color w:val="auto"/>
        </w:rPr>
      </w:pPr>
      <w:r>
        <w:rPr>
          <w:rFonts w:ascii="Courier New" w:cs="Courier New" w:eastAsia="Courier New" w:hAnsi="Courier New"/>
          <w:sz w:val="16"/>
          <w:szCs w:val="16"/>
          <w:color w:val="auto"/>
        </w:rPr>
        <w:t>In the election of directors, the nine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"AGAINST" or, in the case of the election of directors, "WITHHELD," are included. Abstentions and broker non-votes are counted only for purposes of determining whether a quorum is present at the meeting.</w:t>
      </w:r>
    </w:p>
    <w:p>
      <w:pPr>
        <w:spacing w:after="0" w:line="286"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The holder of all of the Class B Common Stock has indicated that it will vote all of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the approval of each of the other proposals submitted to shareholders in accordance with the foregoing notice of meeting and as set forth in this Proxy Statement are assured.</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Principal Shareholders</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(Class A and Class B) as of February 29, 2000.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307"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60" w:type="dxa"/>
            <w:vAlign w:val="bottom"/>
          </w:tcPr>
          <w:p>
            <w:pPr>
              <w:ind w:left="360"/>
              <w:spacing w:after="0"/>
              <w:rPr>
                <w:sz w:val="20"/>
                <w:szCs w:val="20"/>
                <w:color w:val="auto"/>
              </w:rPr>
            </w:pPr>
            <w:r>
              <w:rPr>
                <w:rFonts w:ascii="Courier New" w:cs="Courier New" w:eastAsia="Courier New" w:hAnsi="Courier New"/>
                <w:sz w:val="18"/>
                <w:szCs w:val="18"/>
                <w:color w:val="auto"/>
              </w:rPr>
              <w:t>Amount</w:t>
            </w:r>
          </w:p>
        </w:tc>
        <w:tc>
          <w:tcPr>
            <w:tcW w:w="100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Percent</w:t>
            </w: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Title of Voting Class</w:t>
            </w:r>
          </w:p>
        </w:tc>
        <w:tc>
          <w:tcPr>
            <w:tcW w:w="196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9"/>
              </w:rPr>
              <w:t>Name and Address</w:t>
            </w:r>
          </w:p>
        </w:tc>
        <w:tc>
          <w:tcPr>
            <w:tcW w:w="210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9"/>
              </w:rPr>
              <w:t>of Beneficial Owner</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Owned</w:t>
            </w: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9"/>
              </w:rPr>
              <w:t>Class</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42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311"/>
        </w:trPr>
        <w:tc>
          <w:tcPr>
            <w:tcW w:w="2420" w:type="dxa"/>
            <w:vAlign w:val="bottom"/>
          </w:tcPr>
          <w:p>
            <w:pPr>
              <w:spacing w:after="0"/>
              <w:rPr>
                <w:sz w:val="20"/>
                <w:szCs w:val="20"/>
                <w:color w:val="auto"/>
              </w:rPr>
            </w:pPr>
            <w:r>
              <w:rPr>
                <w:rFonts w:ascii="Courier New" w:cs="Courier New" w:eastAsia="Courier New" w:hAnsi="Courier New"/>
                <w:sz w:val="18"/>
                <w:szCs w:val="18"/>
                <w:color w:val="auto"/>
              </w:rPr>
              <w:t>Class A Common Stock</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w w:val="99"/>
              </w:rPr>
              <w:t>Brian L. Roberts</w:t>
            </w:r>
          </w:p>
        </w:tc>
        <w:tc>
          <w:tcPr>
            <w:tcW w:w="2100" w:type="dxa"/>
            <w:vAlign w:val="bottom"/>
          </w:tcPr>
          <w:p>
            <w:pPr>
              <w:spacing w:after="0"/>
              <w:rPr>
                <w:sz w:val="24"/>
                <w:szCs w:val="24"/>
                <w:color w:val="auto"/>
              </w:rPr>
            </w:pP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138,269</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w w:val="92"/>
              </w:rPr>
              <w:t>0.6%(1)</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4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Courier New" w:cs="Courier New" w:eastAsia="Courier New" w:hAnsi="Courier New"/>
                <w:sz w:val="18"/>
                <w:szCs w:val="18"/>
                <w:color w:val="auto"/>
              </w:rPr>
              <w:t>Class B Common Stock</w:t>
            </w: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Philadelphia, PA</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19102-2148</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9,444,375</w:t>
            </w:r>
          </w:p>
        </w:tc>
        <w:tc>
          <w:tcPr>
            <w:tcW w:w="1000" w:type="dxa"/>
            <w:vAlign w:val="bottom"/>
            <w:vMerge w:val="restart"/>
          </w:tcPr>
          <w:p>
            <w:pPr>
              <w:ind w:left="280"/>
              <w:spacing w:after="0"/>
              <w:rPr>
                <w:sz w:val="20"/>
                <w:szCs w:val="20"/>
                <w:color w:val="auto"/>
              </w:rPr>
            </w:pPr>
            <w:r>
              <w:rPr>
                <w:rFonts w:ascii="Courier New" w:cs="Courier New" w:eastAsia="Courier New" w:hAnsi="Courier New"/>
                <w:sz w:val="18"/>
                <w:szCs w:val="18"/>
                <w:color w:val="auto"/>
                <w:w w:val="92"/>
              </w:rPr>
              <w:t>100%(1)</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Brian L. Roberts</w:t>
            </w:r>
          </w:p>
        </w:tc>
        <w:tc>
          <w:tcPr>
            <w:tcW w:w="2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4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4"/>
                <w:szCs w:val="24"/>
                <w:color w:val="auto"/>
              </w:rPr>
            </w:pP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w w:val="99"/>
              </w:rPr>
              <w:t>Philadelphia, PA</w:t>
            </w:r>
          </w:p>
        </w:tc>
        <w:tc>
          <w:tcPr>
            <w:tcW w:w="2100" w:type="dxa"/>
            <w:vAlign w:val="bottom"/>
          </w:tcPr>
          <w:p>
            <w:pPr>
              <w:ind w:left="40"/>
              <w:spacing w:after="0"/>
              <w:rPr>
                <w:sz w:val="20"/>
                <w:szCs w:val="20"/>
                <w:color w:val="auto"/>
              </w:rPr>
            </w:pPr>
            <w:r>
              <w:rPr>
                <w:rFonts w:ascii="Courier New" w:cs="Courier New" w:eastAsia="Courier New" w:hAnsi="Courier New"/>
                <w:sz w:val="18"/>
                <w:szCs w:val="18"/>
                <w:color w:val="auto"/>
              </w:rPr>
              <w:t>19102-2148</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1999" w:hanging="412"/>
        <w:spacing w:after="0" w:line="274"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February 29, 2000, Sural Corporation ("Sural"), a Delaware corporation, was the sole owner of the Company's outstanding Class B Common Stock and owned 136,913 shares of the Company's outstanding Class A Common Stock. Mr. Brian L. Roberts, President of the Company, owns stock representing substantially all of the voting power of all classes of voting securities of Sural. Pursuant to Rule 13d-3 under the Exchange Act, Mr. Brian L. Roberts is deemed to be the beneficial owner of the shares of Class B Common Stock and Class A Common Stock owned by Sural, and he is deemed to be the beneficial owner of 1,356 shares of Class A Common Stock owned by his wife, as to which he disclaims beneficial ownership. Since each share of Class B Common Stock is entitled to fifteen votes, the shares of Class A Common Stock and Class B Common Stock owned by Sural and Mr. Brian L. Roberts constituted as of February 29, 2000 approximately 85%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that they are deemed to beneficially own into Class A Common Stock, Mr. Roberts would beneficially own 9,582,644 shares of Class A Common Stock (approximately 27.9% of the Class A Common Stock).</w:t>
      </w:r>
    </w:p>
    <w:p>
      <w:pPr>
        <w:spacing w:after="0" w:line="200" w:lineRule="exact"/>
        <w:rPr>
          <w:sz w:val="20"/>
          <w:szCs w:val="20"/>
          <w:color w:val="auto"/>
        </w:rPr>
      </w:pPr>
    </w:p>
    <w:p>
      <w:pPr>
        <w:spacing w:after="0" w:line="29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1"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The following table sets forth certain information regarding the Class A Common Stock (one vote per share) and the Class A Special Common Stock (generally non-voting) beneficially owned by each director of the Company, by Mr. Ralph J. Roberts (the "Chief Executive Officer," see note (12) below), by each of the Company's other four most highly compensated executive officers during 1999 and by all directors and executive officers of the Company as a group, as of February 29, 2000.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120" w:type="dxa"/>
            <w:vAlign w:val="bottom"/>
          </w:tcPr>
          <w:p>
            <w:pPr>
              <w:jc w:val="right"/>
              <w:ind w:right="33"/>
              <w:spacing w:after="0"/>
              <w:rPr>
                <w:sz w:val="20"/>
                <w:szCs w:val="20"/>
                <w:color w:val="auto"/>
              </w:rPr>
            </w:pPr>
            <w:r>
              <w:rPr>
                <w:rFonts w:ascii="Courier New" w:cs="Courier New" w:eastAsia="Courier New" w:hAnsi="Courier New"/>
                <w:sz w:val="18"/>
                <w:szCs w:val="18"/>
                <w:color w:val="auto"/>
              </w:rPr>
              <w:t>Amount</w:t>
            </w:r>
          </w:p>
        </w:tc>
        <w:tc>
          <w:tcPr>
            <w:tcW w:w="2420" w:type="dxa"/>
            <w:vAlign w:val="bottom"/>
          </w:tcPr>
          <w:p>
            <w:pPr>
              <w:spacing w:after="0"/>
              <w:rPr>
                <w:sz w:val="17"/>
                <w:szCs w:val="17"/>
                <w:color w:val="auto"/>
              </w:rPr>
            </w:pPr>
          </w:p>
        </w:tc>
        <w:tc>
          <w:tcPr>
            <w:tcW w:w="1900" w:type="dxa"/>
            <w:vAlign w:val="bottom"/>
            <w:gridSpan w:val="2"/>
          </w:tcPr>
          <w:p>
            <w:pPr>
              <w:jc w:val="center"/>
              <w:ind w:right="32"/>
              <w:spacing w:after="0"/>
              <w:rPr>
                <w:sz w:val="20"/>
                <w:szCs w:val="20"/>
                <w:color w:val="auto"/>
              </w:rPr>
            </w:pPr>
            <w:r>
              <w:rPr>
                <w:rFonts w:ascii="Courier New" w:cs="Courier New" w:eastAsia="Courier New" w:hAnsi="Courier New"/>
                <w:sz w:val="18"/>
                <w:szCs w:val="18"/>
                <w:color w:val="auto"/>
                <w:w w:val="97"/>
              </w:rPr>
              <w:t>Percent</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454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rPr>
              <w:t>Beneficially Owned(1)</w:t>
            </w:r>
          </w:p>
        </w:tc>
        <w:tc>
          <w:tcPr>
            <w:tcW w:w="19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of Class(1)</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3"/>
                <w:szCs w:val="13"/>
                <w:color w:val="auto"/>
                <w:w w:val="70"/>
              </w:rPr>
              <w:t>--------------------------------------</w:t>
            </w:r>
          </w:p>
        </w:tc>
        <w:tc>
          <w:tcPr>
            <w:tcW w:w="242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Class A</w:t>
            </w:r>
          </w:p>
        </w:tc>
        <w:tc>
          <w:tcPr>
            <w:tcW w:w="19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Name of Beneficial Owner</w:t>
            </w:r>
          </w:p>
        </w:tc>
        <w:tc>
          <w:tcPr>
            <w:tcW w:w="2120" w:type="dxa"/>
            <w:vAlign w:val="bottom"/>
            <w:vMerge w:val="restart"/>
          </w:tcPr>
          <w:p>
            <w:pPr>
              <w:jc w:val="right"/>
              <w:ind w:right="553"/>
              <w:spacing w:after="0"/>
              <w:rPr>
                <w:sz w:val="20"/>
                <w:szCs w:val="20"/>
                <w:color w:val="auto"/>
              </w:rPr>
            </w:pPr>
            <w:r>
              <w:rPr>
                <w:rFonts w:ascii="Courier New" w:cs="Courier New" w:eastAsia="Courier New" w:hAnsi="Courier New"/>
                <w:sz w:val="18"/>
                <w:szCs w:val="18"/>
                <w:color w:val="auto"/>
              </w:rPr>
              <w:t>Class A</w:t>
            </w:r>
          </w:p>
        </w:tc>
        <w:tc>
          <w:tcPr>
            <w:tcW w:w="24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Class A</w:t>
            </w: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2120" w:type="dxa"/>
            <w:vAlign w:val="bottom"/>
            <w:vMerge w:val="continue"/>
          </w:tcPr>
          <w:p>
            <w:pPr>
              <w:spacing w:after="0"/>
              <w:rPr>
                <w:sz w:val="17"/>
                <w:szCs w:val="17"/>
                <w:color w:val="auto"/>
              </w:rPr>
            </w:pP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Special</w:t>
            </w:r>
          </w:p>
        </w:tc>
        <w:tc>
          <w:tcPr>
            <w:tcW w:w="19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Class A Special</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 ------------------------</w:t>
            </w:r>
          </w:p>
        </w:tc>
        <w:tc>
          <w:tcPr>
            <w:tcW w:w="2120" w:type="dxa"/>
            <w:vAlign w:val="bottom"/>
          </w:tcPr>
          <w:p>
            <w:pPr>
              <w:jc w:val="right"/>
              <w:ind w:right="333"/>
              <w:spacing w:after="0"/>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John R. Alchin(3).......</w:t>
            </w:r>
          </w:p>
        </w:tc>
        <w:tc>
          <w:tcPr>
            <w:tcW w:w="2120" w:type="dxa"/>
            <w:vAlign w:val="bottom"/>
          </w:tcPr>
          <w:p>
            <w:pPr>
              <w:jc w:val="right"/>
              <w:ind w:right="653"/>
              <w:spacing w:after="0"/>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585,587(4)</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Gustave G. Amsterdam....</w:t>
            </w:r>
          </w:p>
        </w:tc>
        <w:tc>
          <w:tcPr>
            <w:tcW w:w="2120" w:type="dxa"/>
            <w:vAlign w:val="bottom"/>
          </w:tcPr>
          <w:p>
            <w:pPr>
              <w:jc w:val="right"/>
              <w:ind w:right="553"/>
              <w:spacing w:after="0" w:line="203" w:lineRule="exact"/>
              <w:rPr>
                <w:sz w:val="20"/>
                <w:szCs w:val="20"/>
                <w:color w:val="auto"/>
              </w:rPr>
            </w:pPr>
            <w:r>
              <w:rPr>
                <w:rFonts w:ascii="Courier New" w:cs="Courier New" w:eastAsia="Courier New" w:hAnsi="Courier New"/>
                <w:sz w:val="18"/>
                <w:szCs w:val="18"/>
                <w:color w:val="auto"/>
              </w:rPr>
              <w:t>25,269</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185,369</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212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16,523(5)</w:t>
            </w:r>
          </w:p>
        </w:tc>
        <w:tc>
          <w:tcPr>
            <w:tcW w:w="2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228,316(6)</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Brodsky(3)....</w:t>
            </w:r>
          </w:p>
        </w:tc>
        <w:tc>
          <w:tcPr>
            <w:tcW w:w="212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234,146(7)</w:t>
            </w:r>
          </w:p>
        </w:tc>
        <w:tc>
          <w:tcPr>
            <w:tcW w:w="2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3,267,338(8)</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2120" w:type="dxa"/>
            <w:vAlign w:val="bottom"/>
          </w:tcPr>
          <w:p>
            <w:pPr>
              <w:jc w:val="right"/>
              <w:ind w:right="553"/>
              <w:spacing w:after="0" w:line="203" w:lineRule="exact"/>
              <w:rPr>
                <w:sz w:val="20"/>
                <w:szCs w:val="20"/>
                <w:color w:val="auto"/>
              </w:rPr>
            </w:pPr>
            <w:r>
              <w:rPr>
                <w:rFonts w:ascii="Courier New" w:cs="Courier New" w:eastAsia="Courier New" w:hAnsi="Courier New"/>
                <w:sz w:val="18"/>
                <w:szCs w:val="18"/>
                <w:color w:val="auto"/>
              </w:rPr>
              <w:t>375</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33,569</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Roberts(3)(9)..</w:t>
            </w:r>
          </w:p>
        </w:tc>
        <w:tc>
          <w:tcPr>
            <w:tcW w:w="2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138,269(10)</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10,486,597(11)</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Roberts(12)....</w:t>
            </w:r>
          </w:p>
        </w:tc>
        <w:tc>
          <w:tcPr>
            <w:tcW w:w="2120" w:type="dxa"/>
            <w:vAlign w:val="bottom"/>
          </w:tcPr>
          <w:p>
            <w:pPr>
              <w:jc w:val="right"/>
              <w:ind w:right="133"/>
              <w:spacing w:after="0" w:line="203" w:lineRule="exact"/>
              <w:rPr>
                <w:sz w:val="20"/>
                <w:szCs w:val="20"/>
                <w:color w:val="auto"/>
              </w:rPr>
            </w:pPr>
            <w:r>
              <w:rPr>
                <w:rFonts w:ascii="Courier New" w:cs="Courier New" w:eastAsia="Courier New" w:hAnsi="Courier New"/>
                <w:sz w:val="18"/>
                <w:szCs w:val="18"/>
                <w:color w:val="auto"/>
              </w:rPr>
              <w:t>872,866(13)</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6,480,647(14)</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3.5%</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Smith(3)....</w:t>
            </w:r>
          </w:p>
        </w:tc>
        <w:tc>
          <w:tcPr>
            <w:tcW w:w="2120" w:type="dxa"/>
            <w:vAlign w:val="bottom"/>
          </w:tcPr>
          <w:p>
            <w:pPr>
              <w:jc w:val="right"/>
              <w:ind w:right="653"/>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256,328(15)</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2120" w:type="dxa"/>
            <w:vAlign w:val="bottom"/>
          </w:tcPr>
          <w:p>
            <w:pPr>
              <w:jc w:val="right"/>
              <w:ind w:right="653"/>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54,000</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2120" w:type="dxa"/>
            <w:vAlign w:val="bottom"/>
          </w:tcPr>
          <w:p>
            <w:pPr>
              <w:jc w:val="right"/>
              <w:ind w:right="553"/>
              <w:spacing w:after="0" w:line="203" w:lineRule="exact"/>
              <w:rPr>
                <w:sz w:val="20"/>
                <w:szCs w:val="20"/>
                <w:color w:val="auto"/>
              </w:rPr>
            </w:pPr>
            <w:r>
              <w:rPr>
                <w:rFonts w:ascii="Courier New" w:cs="Courier New" w:eastAsia="Courier New" w:hAnsi="Courier New"/>
                <w:sz w:val="18"/>
                <w:szCs w:val="18"/>
                <w:color w:val="auto"/>
              </w:rPr>
              <w:t>110,607</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618,711</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2120" w:type="dxa"/>
            <w:vAlign w:val="bottom"/>
          </w:tcPr>
          <w:p>
            <w:pPr>
              <w:jc w:val="right"/>
              <w:ind w:right="653"/>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44,700</w:t>
            </w: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w:t>
            </w:r>
          </w:p>
        </w:tc>
        <w:tc>
          <w:tcPr>
            <w:tcW w:w="11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2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officers as a</w:t>
            </w:r>
          </w:p>
        </w:tc>
        <w:tc>
          <w:tcPr>
            <w:tcW w:w="2120" w:type="dxa"/>
            <w:vAlign w:val="bottom"/>
            <w:vMerge w:val="restart"/>
          </w:tcPr>
          <w:p>
            <w:pPr>
              <w:jc w:val="right"/>
              <w:ind w:right="553"/>
              <w:spacing w:after="0"/>
              <w:rPr>
                <w:sz w:val="20"/>
                <w:szCs w:val="20"/>
                <w:color w:val="auto"/>
              </w:rPr>
            </w:pPr>
            <w:r>
              <w:rPr>
                <w:rFonts w:ascii="Courier New" w:cs="Courier New" w:eastAsia="Courier New" w:hAnsi="Courier New"/>
                <w:sz w:val="18"/>
                <w:szCs w:val="18"/>
                <w:color w:val="auto"/>
              </w:rPr>
              <w:t>1,438,946</w:t>
            </w:r>
          </w:p>
        </w:tc>
        <w:tc>
          <w:tcPr>
            <w:tcW w:w="24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22,630,857(4)</w:t>
            </w:r>
          </w:p>
        </w:tc>
        <w:tc>
          <w:tcPr>
            <w:tcW w:w="78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5.8%</w:t>
            </w:r>
          </w:p>
        </w:tc>
        <w:tc>
          <w:tcPr>
            <w:tcW w:w="112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 (12 persons)(3)..</w:t>
            </w:r>
          </w:p>
        </w:tc>
        <w:tc>
          <w:tcPr>
            <w:tcW w:w="212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2120" w:type="dxa"/>
            <w:vAlign w:val="bottom"/>
          </w:tcPr>
          <w:p>
            <w:pPr>
              <w:jc w:val="right"/>
              <w:ind w:right="553"/>
              <w:spacing w:after="0"/>
              <w:rPr>
                <w:sz w:val="20"/>
                <w:szCs w:val="20"/>
                <w:color w:val="auto"/>
              </w:rPr>
            </w:pPr>
            <w:r>
              <w:rPr>
                <w:rFonts w:ascii="Courier New" w:cs="Courier New" w:eastAsia="Courier New" w:hAnsi="Courier New"/>
                <w:sz w:val="18"/>
                <w:szCs w:val="18"/>
                <w:color w:val="auto"/>
                <w:w w:val="96"/>
              </w:rPr>
              <w:t>(5)(7)(10)(13)</w:t>
            </w:r>
          </w:p>
        </w:tc>
        <w:tc>
          <w:tcPr>
            <w:tcW w:w="2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(6)(8)(11)(14)(15)(16)</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540" w:right="2099" w:hanging="427"/>
        <w:spacing w:after="0" w:line="274" w:lineRule="auto"/>
        <w:tabs>
          <w:tab w:leader="none" w:pos="5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beneficial owner, the shares issuable upon exercise of his or her currently exercisable options and options exercisable within 60 days of February 29, 2000 are deemed to be outstanding for the purpose of computing the percentage of the class of Common Stock owned. Includes the following shares of Class A Special Common Stock for which the named individuals, and all directors and executive officers as a group, hold currently exercisable options or options exercisable within 60 days of February 29, 2000: Mr. Alchin, 389,150 shares; Mr. Amsterdam, 10,800 shares; Mr. Bonovitz, 43,200 shares; Mr. Brodsky, 2,089,301 shares; Mr. Castle, 28,200 shares; Mr. Brian L. Roberts, 781,096 shares; Mr. Ralph J. Roberts, 4,417,497 shares; Mr. Smith, 138,230 shares; Mr. Watson, 43,200 shares; Mr. Wechsler, 43,200 shares; Ms. Wexler, 43,200 shares; and all directors and executive officers as a group, 8,340,528 shares. Does not include the following shares which were issuable under options exercised prior to February 29, 2000, but the receipt of which was irrevocably deferred pursuant to the Company's 1997 Deferred Stock Option Plan: Mr. Amsterdam, 39,006 shares; Mr. Bonovitz, 18,329 shares; Mr. Brodsky, 789,326 shares; Mr. Ralph J. Roberts, 2,921,518 shares; and Mr. Wechsler, 13,393 shares.</w:t>
      </w:r>
    </w:p>
    <w:p>
      <w:pPr>
        <w:spacing w:after="0" w:line="294"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applicable class.</w:t>
      </w:r>
    </w:p>
    <w:p>
      <w:pPr>
        <w:spacing w:after="0" w:line="201" w:lineRule="exact"/>
        <w:rPr>
          <w:rFonts w:ascii="Courier New" w:cs="Courier New" w:eastAsia="Courier New" w:hAnsi="Courier New"/>
          <w:sz w:val="18"/>
          <w:szCs w:val="18"/>
          <w:color w:val="auto"/>
        </w:rPr>
      </w:pPr>
    </w:p>
    <w:p>
      <w:pPr>
        <w:ind w:left="540" w:right="2319" w:hanging="427"/>
        <w:spacing w:after="0" w:line="278" w:lineRule="auto"/>
        <w:tabs>
          <w:tab w:leader="none" w:pos="54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named executive officers also beneficially own shares of the common stock of QVC, Inc., a 57%-owned subsidiary of the Company, including shares issuable under options to purchase shares exercisable within 60 days of February 29, 2000: Mr. Alchin, 2,040 shares;</w:t>
      </w:r>
    </w:p>
    <w:p>
      <w:pPr>
        <w:spacing w:after="0" w:line="2" w:lineRule="exact"/>
        <w:rPr>
          <w:rFonts w:ascii="Courier New" w:cs="Courier New" w:eastAsia="Courier New" w:hAnsi="Courier New"/>
          <w:sz w:val="16"/>
          <w:szCs w:val="16"/>
          <w:color w:val="auto"/>
        </w:rPr>
      </w:pPr>
    </w:p>
    <w:p>
      <w:pPr>
        <w:ind w:left="540" w:right="199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Brodsky, 2,720 shares; Mr. Brian L. Roberts, 4,160 shares; Mr. Smith, 2,120 shares; and all directors and executive officers as a group, 11,040 shares. The number of shares of common stock of QVC, Inc. beneficially owned by each of them, and by all directors and executive officers as a group, represents less than one percent of the outstanding common stock of QVC, Inc.</w:t>
      </w:r>
    </w:p>
    <w:p>
      <w:pPr>
        <w:spacing w:after="0" w:line="3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793" w:gutter="0" w:footer="0" w:header="0"/>
        </w:sectPr>
      </w:pPr>
    </w:p>
    <w:bookmarkStart w:id="7" w:name="page8"/>
    <w:bookmarkEnd w:id="7"/>
    <w:p>
      <w:pPr>
        <w:ind w:left="532" w:right="2099" w:hanging="427"/>
        <w:spacing w:after="0" w:line="292"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 shares of Class A Special Common Stock owned in the Comcast Corporation Retirement--Investment Plan, as to which shares he disclaims beneficial ownership.</w:t>
      </w:r>
    </w:p>
    <w:p>
      <w:pPr>
        <w:spacing w:after="0" w:line="66" w:lineRule="exact"/>
        <w:rPr>
          <w:rFonts w:ascii="Courier New" w:cs="Courier New" w:eastAsia="Courier New" w:hAnsi="Courier New"/>
          <w:sz w:val="18"/>
          <w:szCs w:val="18"/>
          <w:color w:val="auto"/>
        </w:rPr>
      </w:pPr>
    </w:p>
    <w:p>
      <w:pPr>
        <w:ind w:left="532" w:right="2419" w:hanging="427"/>
        <w:spacing w:after="0" w:line="274"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4,443 shares of Class A Common Stock held in trust or as a custodian for his children, 6,425 shares owned by his wife, and 2,636 shares held by him as trustee for a testamentary trust, as to all of which shares he disclaims beneficial ownership.</w:t>
      </w:r>
    </w:p>
    <w:p>
      <w:pPr>
        <w:spacing w:after="0" w:line="81" w:lineRule="exact"/>
        <w:rPr>
          <w:rFonts w:ascii="Courier New" w:cs="Courier New" w:eastAsia="Courier New" w:hAnsi="Courier New"/>
          <w:sz w:val="18"/>
          <w:szCs w:val="18"/>
          <w:color w:val="auto"/>
        </w:rPr>
      </w:pPr>
    </w:p>
    <w:p>
      <w:pPr>
        <w:ind w:left="532" w:right="1999" w:hanging="427"/>
        <w:spacing w:after="0" w:line="26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8,568 shares of Class A Special Common Stock held in trust or as a custodian for his children, 6,513 shares owned by his wife, 152,528 shares held by him as trustee for a testamentary trust, and 10,476 shares owned by a charitable foundation of which his wife is a trustee, as to all of which shares he disclaims beneficial ownership.</w:t>
      </w:r>
    </w:p>
    <w:p>
      <w:pPr>
        <w:spacing w:after="0" w:line="89" w:lineRule="exact"/>
        <w:rPr>
          <w:rFonts w:ascii="Courier New" w:cs="Courier New" w:eastAsia="Courier New" w:hAnsi="Courier New"/>
          <w:sz w:val="18"/>
          <w:szCs w:val="18"/>
          <w:color w:val="auto"/>
        </w:rPr>
      </w:pPr>
    </w:p>
    <w:p>
      <w:pPr>
        <w:ind w:left="532" w:right="1999" w:hanging="427"/>
        <w:spacing w:after="0" w:line="306"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of Class A Common Stock owned by a charitable foundation of which he and members of his family are directors and officers, and 88,178 shares owned by Swallow Drive Fund, L.P., a limited partnership the general partner of which is controlled by Mr. Brodsky and his wife, as to all of which shares he disclaims beneficial ownership.</w:t>
      </w:r>
    </w:p>
    <w:p>
      <w:pPr>
        <w:spacing w:after="0" w:line="60" w:lineRule="exact"/>
        <w:rPr>
          <w:rFonts w:ascii="Courier New" w:cs="Courier New" w:eastAsia="Courier New" w:hAnsi="Courier New"/>
          <w:sz w:val="16"/>
          <w:szCs w:val="16"/>
          <w:color w:val="auto"/>
        </w:rPr>
      </w:pPr>
    </w:p>
    <w:p>
      <w:pPr>
        <w:ind w:left="532" w:right="2099" w:hanging="427"/>
        <w:spacing w:after="0" w:line="292"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289,562 shares of Class A Special Common Stock owned by Swallow Drive Fund, L.P., as to which shares he disclaims beneficial ownership. See note (7) above.</w:t>
      </w:r>
    </w:p>
    <w:p>
      <w:pPr>
        <w:spacing w:after="0" w:line="66" w:lineRule="exact"/>
        <w:rPr>
          <w:rFonts w:ascii="Courier New" w:cs="Courier New" w:eastAsia="Courier New" w:hAnsi="Courier New"/>
          <w:sz w:val="18"/>
          <w:szCs w:val="18"/>
          <w:color w:val="auto"/>
        </w:rPr>
      </w:pPr>
    </w:p>
    <w:p>
      <w:pPr>
        <w:ind w:left="532" w:right="1999" w:hanging="427"/>
        <w:spacing w:after="0" w:line="274"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13d-3 of the Exchange Act, Mr. Brian L. Roberts is also deemed to be the beneficial owner of all of the outstanding shares of the Company's Class B Common Stock owned by Sural. See note (1) to the table under the caption "Principal Shareholders."</w:t>
      </w:r>
    </w:p>
    <w:p>
      <w:pPr>
        <w:spacing w:after="0" w:line="81" w:lineRule="exact"/>
        <w:rPr>
          <w:rFonts w:ascii="Courier New" w:cs="Courier New" w:eastAsia="Courier New" w:hAnsi="Courier New"/>
          <w:sz w:val="18"/>
          <w:szCs w:val="18"/>
          <w:color w:val="auto"/>
        </w:rPr>
      </w:pPr>
    </w:p>
    <w:p>
      <w:pPr>
        <w:ind w:left="532" w:right="2099" w:hanging="532"/>
        <w:spacing w:after="0" w:line="274"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1,356 shares of Class A Common Stock owned by his wife, as to which shares he disclaims beneficial ownership, and 136,913 shares of Class A Common Stock owned by Sural. See note (1) to the table under the caption "Principal Shareholders."</w:t>
      </w:r>
    </w:p>
    <w:p>
      <w:pPr>
        <w:spacing w:after="0" w:line="81" w:lineRule="exact"/>
        <w:rPr>
          <w:rFonts w:ascii="Courier New" w:cs="Courier New" w:eastAsia="Courier New" w:hAnsi="Courier New"/>
          <w:sz w:val="18"/>
          <w:szCs w:val="18"/>
          <w:color w:val="auto"/>
        </w:rPr>
      </w:pPr>
    </w:p>
    <w:p>
      <w:pPr>
        <w:ind w:left="532" w:right="1999" w:hanging="532"/>
        <w:spacing w:after="0" w:line="247"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2,712 shares of Class A Special Common Stock owned by his wife, 40,206 shares owned in the Comcast Corporation Retirement--Investment Plan, and 10,000 shares owned by a charitable foundation of which he and his wife are directors and officers, as to all of which shares he disclaims beneficial ownership. Also includes 9,581,288 shares owned by Sural, but does not include additional shares of Class A Special Common Stock issuable upon conversion of Class B Common Stock beneficially owned by Mr. Brian L. Roberts. See note (1) to the table under the caption "Principal Shareholders." If Sural and Mr. Brian L. Roberts were to convert the Class B Common Stock that they are deemed to beneficially own into Class A Special Common Stock, Mr. Roberts would beneficially own 19,930,972 shares of Class A Special Common Stock (approximately 2.3% of the Class A Special Common Stock).</w:t>
      </w:r>
    </w:p>
    <w:p>
      <w:pPr>
        <w:spacing w:after="0" w:line="107" w:lineRule="exact"/>
        <w:rPr>
          <w:rFonts w:ascii="Courier New" w:cs="Courier New" w:eastAsia="Courier New" w:hAnsi="Courier New"/>
          <w:sz w:val="18"/>
          <w:szCs w:val="18"/>
          <w:color w:val="auto"/>
        </w:rPr>
      </w:pPr>
    </w:p>
    <w:p>
      <w:pPr>
        <w:ind w:left="532" w:right="1999" w:hanging="532"/>
        <w:spacing w:after="0" w:line="265"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89" w:lineRule="exact"/>
        <w:rPr>
          <w:rFonts w:ascii="Courier New" w:cs="Courier New" w:eastAsia="Courier New" w:hAnsi="Courier New"/>
          <w:sz w:val="18"/>
          <w:szCs w:val="18"/>
          <w:color w:val="auto"/>
        </w:rPr>
      </w:pPr>
    </w:p>
    <w:p>
      <w:pPr>
        <w:ind w:left="532" w:right="2199" w:hanging="532"/>
        <w:spacing w:after="0" w:line="292"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570,813 shares of Class A Common Stock owned by a limited partnership, the general partner of which is controlled by Mr. Ralph J. Roberts.</w:t>
      </w:r>
    </w:p>
    <w:p>
      <w:pPr>
        <w:spacing w:after="0" w:line="66" w:lineRule="exact"/>
        <w:rPr>
          <w:rFonts w:ascii="Courier New" w:cs="Courier New" w:eastAsia="Courier New" w:hAnsi="Courier New"/>
          <w:sz w:val="18"/>
          <w:szCs w:val="18"/>
          <w:color w:val="auto"/>
        </w:rPr>
      </w:pPr>
    </w:p>
    <w:p>
      <w:pPr>
        <w:ind w:left="532" w:right="2099" w:hanging="532"/>
        <w:spacing w:after="0" w:line="278" w:lineRule="auto"/>
        <w:tabs>
          <w:tab w:leader="none" w:pos="5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267,033 shares of Class A Special Common Stock owned by a charitable foundation of which he and his wife are trustees, as to which shares he disclaims beneficial ownership, and 570,813 shares owned by a limited partnership, the general partner of which is controlled by</w:t>
      </w:r>
    </w:p>
    <w:p>
      <w:pPr>
        <w:spacing w:after="0" w:line="2"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Mr. Ralph J. Roberts.</w:t>
      </w:r>
    </w:p>
    <w:p>
      <w:pPr>
        <w:spacing w:after="0" w:line="169" w:lineRule="exact"/>
        <w:rPr>
          <w:rFonts w:ascii="Courier New" w:cs="Courier New" w:eastAsia="Courier New" w:hAnsi="Courier New"/>
          <w:sz w:val="16"/>
          <w:szCs w:val="16"/>
          <w:color w:val="auto"/>
        </w:rPr>
      </w:pPr>
    </w:p>
    <w:p>
      <w:pPr>
        <w:ind w:left="532" w:right="1999" w:hanging="532"/>
        <w:spacing w:after="0" w:line="292"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58,000 shares of Class A Special Common Stock owned in a grantor retained annuity trust, as to which shares he disclaims beneficial ownership.</w:t>
      </w:r>
    </w:p>
    <w:p>
      <w:pPr>
        <w:spacing w:after="0" w:line="66" w:lineRule="exact"/>
        <w:rPr>
          <w:rFonts w:ascii="Courier New" w:cs="Courier New" w:eastAsia="Courier New" w:hAnsi="Courier New"/>
          <w:sz w:val="18"/>
          <w:szCs w:val="18"/>
          <w:color w:val="auto"/>
        </w:rPr>
      </w:pPr>
    </w:p>
    <w:p>
      <w:pPr>
        <w:ind w:left="532" w:right="2099" w:hanging="532"/>
        <w:spacing w:after="0" w:line="274" w:lineRule="auto"/>
        <w:tabs>
          <w:tab w:leader="none" w:pos="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 shares of Class A Special Common Stock owned by an executive officer, other than those named above, in the Comcast Corporation Retirement--Investment Plan, as to which shares beneficial ownership is disclaimed.</w:t>
      </w:r>
    </w:p>
    <w:p>
      <w:pPr>
        <w:spacing w:after="0" w:line="2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691" w:right="1440" w:bottom="186"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1"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1999 through December 31, 1999 were made on a timely basis, except for: one report regarding a disposition of shares of stock by Mr. Bonovitz, a director of the Company, in connection with the exercise of stock options, for which a Form 4 was inadvertently filed late; one report regarding a disposition of shares of stock by Mr. Wechsler, a director of the Company, in connection with the exercise of stock options, for which a Form 4 was inadvertently filed late; one report regarding a disposition of shares of stock by Mr. Amsterdam, a director of the Company, in connection with the exercise of stock options, for which a Form 4 was inadvertently filed late; and two reports regarding dispositions of shares of stock by Mr. Smith, Executive Vice President of the Company, one report in connection with the exercise of stock options and one report in connection with a gift of common stock, for each of which transactions a Form 4 was inadvertently filed late.</w:t>
      </w: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9" w:name="page10"/>
    <w:bookmarkEnd w:id="9"/>
    <w:p>
      <w:pPr>
        <w:ind w:left="29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1" w:lineRule="exact"/>
        <w:rPr>
          <w:sz w:val="20"/>
          <w:szCs w:val="20"/>
          <w:color w:val="auto"/>
        </w:rPr>
      </w:pPr>
    </w:p>
    <w:p>
      <w:pPr>
        <w:ind w:right="2640" w:firstLine="211"/>
        <w:spacing w:after="0" w:line="265" w:lineRule="auto"/>
        <w:rPr>
          <w:sz w:val="20"/>
          <w:szCs w:val="20"/>
          <w:color w:val="auto"/>
        </w:rPr>
      </w:pPr>
      <w:r>
        <w:rPr>
          <w:rFonts w:ascii="Courier New" w:cs="Courier New" w:eastAsia="Courier New" w:hAnsi="Courier New"/>
          <w:sz w:val="18"/>
          <w:szCs w:val="18"/>
          <w:color w:val="auto"/>
        </w:rPr>
        <w:t>The following table sets forth, for the Company's last three fiscal years, certain information concerning the annual and long-term compensation, as well as other compensation paid to or for the Chief Executive Officer and each of the Company's other four most highly compensated executive officers (the "named executive officers"):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Long-Term</w:t>
            </w:r>
          </w:p>
        </w:tc>
        <w:tc>
          <w:tcPr>
            <w:tcW w:w="154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All Other</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Annual</w:t>
            </w:r>
          </w:p>
        </w:tc>
        <w:tc>
          <w:tcPr>
            <w:tcW w:w="2420" w:type="dxa"/>
            <w:vAlign w:val="bottom"/>
            <w:gridSpan w:val="3"/>
            <w:vMerge w:val="restart"/>
          </w:tcPr>
          <w:p>
            <w:pPr>
              <w:jc w:val="right"/>
              <w:ind w:right="972"/>
              <w:spacing w:after="0"/>
              <w:rPr>
                <w:sz w:val="20"/>
                <w:szCs w:val="20"/>
                <w:color w:val="auto"/>
              </w:rPr>
            </w:pPr>
            <w:r>
              <w:rPr>
                <w:rFonts w:ascii="Courier New" w:cs="Courier New" w:eastAsia="Courier New" w:hAnsi="Courier New"/>
                <w:sz w:val="18"/>
                <w:szCs w:val="18"/>
                <w:color w:val="auto"/>
              </w:rPr>
              <w:t>Compensation</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420" w:type="dxa"/>
            <w:vAlign w:val="bottom"/>
            <w:gridSpan w:val="3"/>
            <w:vMerge w:val="continue"/>
          </w:tcPr>
          <w:p>
            <w:pPr>
              <w:spacing w:after="0"/>
              <w:rPr>
                <w:sz w:val="17"/>
                <w:szCs w:val="17"/>
                <w:color w:val="auto"/>
              </w:rPr>
            </w:pP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Awards</w:t>
            </w:r>
          </w:p>
        </w:tc>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4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(Principally</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gridSpan w:val="2"/>
            <w:vMerge w:val="restart"/>
          </w:tcPr>
          <w:p>
            <w:pPr>
              <w:jc w:val="center"/>
              <w:ind w:right="92"/>
              <w:spacing w:after="0"/>
              <w:rPr>
                <w:sz w:val="20"/>
                <w:szCs w:val="20"/>
                <w:color w:val="auto"/>
              </w:rPr>
            </w:pPr>
            <w:r>
              <w:rPr>
                <w:rFonts w:ascii="Courier New" w:cs="Courier New" w:eastAsia="Courier New" w:hAnsi="Courier New"/>
                <w:sz w:val="18"/>
                <w:szCs w:val="18"/>
                <w:color w:val="auto"/>
                <w:w w:val="97"/>
              </w:rPr>
              <w:t>Other Annual</w:t>
            </w: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Number of</w:t>
            </w:r>
          </w:p>
        </w:tc>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Split-Dollar</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spacing w:after="0"/>
              <w:rPr>
                <w:sz w:val="20"/>
                <w:szCs w:val="20"/>
                <w:color w:val="auto"/>
              </w:rPr>
            </w:pPr>
            <w:r>
              <w:rPr>
                <w:rFonts w:ascii="Courier New" w:cs="Courier New" w:eastAsia="Courier New" w:hAnsi="Courier New"/>
                <w:sz w:val="18"/>
                <w:szCs w:val="18"/>
                <w:color w:val="auto"/>
              </w:rPr>
              <w:t>Bonus</w:t>
            </w:r>
          </w:p>
        </w:tc>
        <w:tc>
          <w:tcPr>
            <w:tcW w:w="1520" w:type="dxa"/>
            <w:vAlign w:val="bottom"/>
            <w:gridSpan w:val="2"/>
            <w:vMerge w:val="continue"/>
          </w:tcPr>
          <w:p>
            <w:pPr>
              <w:spacing w:after="0"/>
              <w:rPr>
                <w:sz w:val="17"/>
                <w:szCs w:val="17"/>
                <w:color w:val="auto"/>
              </w:rPr>
            </w:pP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Insurance</w:t>
            </w:r>
          </w:p>
        </w:tc>
        <w:tc>
          <w:tcPr>
            <w:tcW w:w="0" w:type="dxa"/>
            <w:vAlign w:val="bottom"/>
          </w:tcPr>
          <w:p>
            <w:pPr>
              <w:spacing w:after="0"/>
              <w:rPr>
                <w:sz w:val="1"/>
                <w:szCs w:val="1"/>
                <w:color w:val="auto"/>
              </w:rPr>
            </w:pPr>
          </w:p>
        </w:tc>
      </w:tr>
      <w:tr>
        <w:trPr>
          <w:trHeight w:val="203"/>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Principal Position(1)</w:t>
            </w:r>
          </w:p>
        </w:tc>
        <w:tc>
          <w:tcPr>
            <w:tcW w:w="1640" w:type="dxa"/>
            <w:vAlign w:val="bottom"/>
            <w:gridSpan w:val="3"/>
            <w:vMerge w:val="restart"/>
          </w:tcPr>
          <w:p>
            <w:pPr>
              <w:spacing w:after="0"/>
              <w:rPr>
                <w:sz w:val="20"/>
                <w:szCs w:val="20"/>
                <w:color w:val="auto"/>
              </w:rPr>
            </w:pPr>
            <w:r>
              <w:rPr>
                <w:rFonts w:ascii="Courier New" w:cs="Courier New" w:eastAsia="Courier New" w:hAnsi="Courier New"/>
                <w:sz w:val="18"/>
                <w:szCs w:val="18"/>
                <w:color w:val="auto"/>
              </w:rPr>
              <w:t>Year Salary($)</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520" w:type="dxa"/>
            <w:vAlign w:val="bottom"/>
            <w:gridSpan w:val="2"/>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15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Benefits)</w:t>
            </w: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17"/>
                <w:szCs w:val="17"/>
                <w:color w:val="auto"/>
              </w:rPr>
            </w:pPr>
          </w:p>
        </w:tc>
        <w:tc>
          <w:tcPr>
            <w:tcW w:w="12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($)(3)</w:t>
            </w:r>
          </w:p>
        </w:tc>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Options(#)</w:t>
            </w:r>
          </w:p>
        </w:tc>
        <w:tc>
          <w:tcPr>
            <w:tcW w:w="260" w:type="dxa"/>
            <w:vAlign w:val="bottom"/>
          </w:tcPr>
          <w:p>
            <w:pPr>
              <w:spacing w:after="0"/>
              <w:rPr>
                <w:sz w:val="17"/>
                <w:szCs w:val="17"/>
                <w:color w:val="auto"/>
              </w:rPr>
            </w:pPr>
          </w:p>
        </w:tc>
        <w:tc>
          <w:tcPr>
            <w:tcW w:w="1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5"/>
              </w:rPr>
              <w:t>($)(4)</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w w:val="97"/>
              </w:rPr>
              <w:t>- ------------------------------</w:t>
            </w:r>
          </w:p>
        </w:tc>
        <w:tc>
          <w:tcPr>
            <w:tcW w:w="4320" w:type="dxa"/>
            <w:vAlign w:val="bottom"/>
            <w:gridSpan w:val="7"/>
          </w:tcPr>
          <w:p>
            <w:pPr>
              <w:jc w:val="right"/>
              <w:spacing w:after="0"/>
              <w:rPr>
                <w:sz w:val="20"/>
                <w:szCs w:val="20"/>
                <w:color w:val="auto"/>
              </w:rPr>
            </w:pPr>
            <w:r>
              <w:rPr>
                <w:rFonts w:ascii="Courier New" w:cs="Courier New" w:eastAsia="Courier New" w:hAnsi="Courier New"/>
                <w:sz w:val="18"/>
                <w:szCs w:val="18"/>
                <w:color w:val="auto"/>
              </w:rPr>
              <w:t>---- ---------- ---------- ------------</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Ralph J. Roberts.........</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1,050,000</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525,000</w:t>
            </w:r>
          </w:p>
        </w:tc>
        <w:tc>
          <w:tcPr>
            <w:tcW w:w="15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$2,279,829</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250,000(6)</w:t>
            </w:r>
          </w:p>
        </w:tc>
        <w:tc>
          <w:tcPr>
            <w:tcW w:w="1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$9,109,062</w:t>
            </w: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1,000,000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260" w:type="dxa"/>
            <w:vAlign w:val="bottom"/>
          </w:tcPr>
          <w:p>
            <w:pPr>
              <w:spacing w:after="0"/>
              <w:rPr>
                <w:sz w:val="17"/>
                <w:szCs w:val="17"/>
                <w:color w:val="auto"/>
              </w:rPr>
            </w:pPr>
          </w:p>
        </w:tc>
        <w:tc>
          <w:tcPr>
            <w:tcW w:w="2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1,998,687(5) 1,134,610(6)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7,369,463</w:t>
            </w:r>
          </w:p>
        </w:tc>
        <w:tc>
          <w:tcPr>
            <w:tcW w:w="0" w:type="dxa"/>
            <w:vAlign w:val="bottom"/>
          </w:tcPr>
          <w:p>
            <w:pPr>
              <w:spacing w:after="0"/>
              <w:rPr>
                <w:sz w:val="1"/>
                <w:szCs w:val="1"/>
                <w:color w:val="auto"/>
              </w:rPr>
            </w:pPr>
          </w:p>
        </w:tc>
      </w:tr>
      <w:tr>
        <w:trPr>
          <w:trHeight w:val="296"/>
        </w:trPr>
        <w:tc>
          <w:tcPr>
            <w:tcW w:w="3380" w:type="dxa"/>
            <w:vAlign w:val="bottom"/>
          </w:tcPr>
          <w:p>
            <w:pPr>
              <w:ind w:left="120"/>
              <w:spacing w:after="0"/>
              <w:rPr>
                <w:sz w:val="20"/>
                <w:szCs w:val="20"/>
                <w:color w:val="auto"/>
              </w:rPr>
            </w:pPr>
            <w:r>
              <w:rPr>
                <w:rFonts w:ascii="Courier New" w:cs="Courier New" w:eastAsia="Courier New" w:hAnsi="Courier New"/>
                <w:sz w:val="18"/>
                <w:szCs w:val="18"/>
                <w:color w:val="auto"/>
              </w:rPr>
              <w:t>Board of Directors</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870,185</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5"/>
              </w:rPr>
              <w:t>1,387,050(5)</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117,738(6)</w:t>
            </w:r>
          </w:p>
        </w:tc>
        <w:tc>
          <w:tcPr>
            <w:tcW w:w="260" w:type="dxa"/>
            <w:vAlign w:val="bottom"/>
          </w:tcPr>
          <w:p>
            <w:pPr>
              <w:spacing w:after="0"/>
              <w:rPr>
                <w:sz w:val="24"/>
                <w:szCs w:val="24"/>
                <w:color w:val="auto"/>
              </w:rPr>
            </w:pP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5,625,776</w:t>
            </w:r>
          </w:p>
        </w:tc>
        <w:tc>
          <w:tcPr>
            <w:tcW w:w="0" w:type="dxa"/>
            <w:vAlign w:val="bottom"/>
          </w:tcPr>
          <w:p>
            <w:pPr>
              <w:spacing w:after="0"/>
              <w:rPr>
                <w:sz w:val="1"/>
                <w:szCs w:val="1"/>
                <w:color w:val="auto"/>
              </w:rPr>
            </w:pPr>
          </w:p>
        </w:tc>
      </w:tr>
      <w:tr>
        <w:trPr>
          <w:trHeight w:val="514"/>
        </w:trPr>
        <w:tc>
          <w:tcPr>
            <w:tcW w:w="3380" w:type="dxa"/>
            <w:vAlign w:val="bottom"/>
          </w:tcPr>
          <w:p>
            <w:pPr>
              <w:spacing w:after="0"/>
              <w:rPr>
                <w:sz w:val="20"/>
                <w:szCs w:val="20"/>
                <w:color w:val="auto"/>
              </w:rPr>
            </w:pPr>
            <w:r>
              <w:rPr>
                <w:rFonts w:ascii="Courier New" w:cs="Courier New" w:eastAsia="Courier New" w:hAnsi="Courier New"/>
                <w:sz w:val="18"/>
                <w:szCs w:val="18"/>
                <w:color w:val="auto"/>
              </w:rPr>
              <w:t>Julian A. Brodsky........</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723,516</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361,758</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25,252</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60,000(6)</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918,136</w:t>
            </w: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 of</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689,063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344,532</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23,409</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605,000(6)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973,578</w:t>
            </w: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Board of Directors</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656,250</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328,125</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26,483</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1,600(7)</w:t>
            </w:r>
          </w:p>
        </w:tc>
        <w:tc>
          <w:tcPr>
            <w:tcW w:w="260" w:type="dxa"/>
            <w:vAlign w:val="bottom"/>
          </w:tcPr>
          <w:p>
            <w:pPr>
              <w:spacing w:after="0"/>
              <w:rPr>
                <w:sz w:val="17"/>
                <w:szCs w:val="17"/>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6"/>
              </w:rPr>
              <w:t>1,067,761</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105,000(6)</w:t>
            </w:r>
          </w:p>
        </w:tc>
        <w:tc>
          <w:tcPr>
            <w:tcW w:w="2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380" w:type="dxa"/>
            <w:vAlign w:val="bottom"/>
          </w:tcPr>
          <w:p>
            <w:pPr>
              <w:spacing w:after="0"/>
              <w:rPr>
                <w:sz w:val="20"/>
                <w:szCs w:val="20"/>
                <w:color w:val="auto"/>
              </w:rPr>
            </w:pPr>
            <w:r>
              <w:rPr>
                <w:rFonts w:ascii="Courier New" w:cs="Courier New" w:eastAsia="Courier New" w:hAnsi="Courier New"/>
                <w:sz w:val="18"/>
                <w:szCs w:val="18"/>
                <w:color w:val="auto"/>
              </w:rPr>
              <w:t>Brian L. Roberts.........</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1,000,000</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$1,662,000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360,643</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4,000,000(6)</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224,203</w:t>
            </w: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689,063</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713,250</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278,398</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2,600(7)</w:t>
            </w:r>
          </w:p>
        </w:tc>
        <w:tc>
          <w:tcPr>
            <w:tcW w:w="260" w:type="dxa"/>
            <w:vAlign w:val="bottom"/>
          </w:tcPr>
          <w:p>
            <w:pPr>
              <w:spacing w:after="0"/>
              <w:rPr>
                <w:sz w:val="17"/>
                <w:szCs w:val="17"/>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222,026</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3,169,610(6)</w:t>
            </w:r>
          </w:p>
        </w:tc>
        <w:tc>
          <w:tcPr>
            <w:tcW w:w="2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656,250</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687,000</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42,883</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7,800(7)</w:t>
            </w:r>
          </w:p>
        </w:tc>
        <w:tc>
          <w:tcPr>
            <w:tcW w:w="260" w:type="dxa"/>
            <w:vAlign w:val="bottom"/>
          </w:tcPr>
          <w:p>
            <w:pPr>
              <w:spacing w:after="0"/>
              <w:rPr>
                <w:sz w:val="17"/>
                <w:szCs w:val="17"/>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33,859</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160,160(6)</w:t>
            </w:r>
          </w:p>
        </w:tc>
        <w:tc>
          <w:tcPr>
            <w:tcW w:w="2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5,000(7)</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380" w:type="dxa"/>
            <w:vAlign w:val="bottom"/>
          </w:tcPr>
          <w:p>
            <w:pPr>
              <w:spacing w:after="0"/>
              <w:rPr>
                <w:sz w:val="20"/>
                <w:szCs w:val="20"/>
                <w:color w:val="auto"/>
              </w:rPr>
            </w:pPr>
            <w:r>
              <w:rPr>
                <w:rFonts w:ascii="Courier New" w:cs="Courier New" w:eastAsia="Courier New" w:hAnsi="Courier New"/>
                <w:sz w:val="18"/>
                <w:szCs w:val="18"/>
                <w:color w:val="auto"/>
              </w:rPr>
              <w:t>Lawrence S. Smith........</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723,516</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431,440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3,496</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100,000(6)</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32,261</w:t>
            </w: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689,063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413,800</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3,257</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705,000(6)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30,361</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656,250</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397,000</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10,452</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2,200(7)</w:t>
            </w:r>
          </w:p>
        </w:tc>
        <w:tc>
          <w:tcPr>
            <w:tcW w:w="260" w:type="dxa"/>
            <w:vAlign w:val="bottom"/>
          </w:tcPr>
          <w:p>
            <w:pPr>
              <w:spacing w:after="0"/>
              <w:rPr>
                <w:sz w:val="17"/>
                <w:szCs w:val="17"/>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34,899</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105,000(6)</w:t>
            </w:r>
          </w:p>
        </w:tc>
        <w:tc>
          <w:tcPr>
            <w:tcW w:w="2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200(7)</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380" w:type="dxa"/>
            <w:vAlign w:val="bottom"/>
          </w:tcPr>
          <w:p>
            <w:pPr>
              <w:spacing w:after="0"/>
              <w:rPr>
                <w:sz w:val="20"/>
                <w:szCs w:val="20"/>
                <w:color w:val="auto"/>
              </w:rPr>
            </w:pPr>
            <w:r>
              <w:rPr>
                <w:rFonts w:ascii="Courier New" w:cs="Courier New" w:eastAsia="Courier New" w:hAnsi="Courier New"/>
                <w:sz w:val="18"/>
                <w:szCs w:val="18"/>
                <w:color w:val="auto"/>
              </w:rPr>
              <w:t>John R. Alchin...........</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608,753</w:t>
            </w:r>
          </w:p>
        </w:tc>
        <w:tc>
          <w:tcPr>
            <w:tcW w:w="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332,877</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31,799</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75,000(6)</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35,460</w:t>
            </w: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579,813</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318,407</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48,411</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587,500(6)</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33,670</w:t>
            </w:r>
          </w:p>
        </w:tc>
        <w:tc>
          <w:tcPr>
            <w:tcW w:w="0" w:type="dxa"/>
            <w:vAlign w:val="bottom"/>
          </w:tcPr>
          <w:p>
            <w:pPr>
              <w:spacing w:after="0"/>
              <w:rPr>
                <w:sz w:val="1"/>
                <w:szCs w:val="1"/>
                <w:color w:val="auto"/>
              </w:rPr>
            </w:pPr>
          </w:p>
        </w:tc>
      </w:tr>
      <w:tr>
        <w:trPr>
          <w:trHeight w:val="203"/>
        </w:trPr>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Treasurer</w:t>
            </w:r>
          </w:p>
        </w:tc>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552,250</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304,625</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17,984</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1,200(7)</w:t>
            </w:r>
          </w:p>
        </w:tc>
        <w:tc>
          <w:tcPr>
            <w:tcW w:w="260" w:type="dxa"/>
            <w:vAlign w:val="bottom"/>
          </w:tcPr>
          <w:p>
            <w:pPr>
              <w:spacing w:after="0"/>
              <w:rPr>
                <w:sz w:val="17"/>
                <w:szCs w:val="17"/>
                <w:color w:val="auto"/>
              </w:rPr>
            </w:pPr>
          </w:p>
        </w:tc>
        <w:tc>
          <w:tcPr>
            <w:tcW w:w="1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37,845</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87,500(6)</w:t>
            </w:r>
          </w:p>
        </w:tc>
        <w:tc>
          <w:tcPr>
            <w:tcW w:w="2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540" w:hanging="412"/>
        <w:spacing w:after="0" w:line="25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95" w:lineRule="exact"/>
        <w:rPr>
          <w:rFonts w:ascii="Courier New" w:cs="Courier New" w:eastAsia="Courier New" w:hAnsi="Courier New"/>
          <w:sz w:val="18"/>
          <w:szCs w:val="18"/>
          <w:color w:val="auto"/>
        </w:rPr>
      </w:pPr>
    </w:p>
    <w:p>
      <w:pPr>
        <w:ind w:left="420" w:right="2540" w:hanging="412"/>
        <w:spacing w:after="0" w:line="287"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in this column include bonuses earned by the named persons under the Company's 1996 Executive Cash Bonus Plan, bonuses paid to the named persons (except Messrs. Ralph J. Roberts and Brodsky) in 1999, 1998 and 1997 relating to termination of the Company's discretionary bonus plan (see "Report on Executive Compensation of the Compensation Committee's Subcommittee on Performance-Based Compensation--Effect of Internal Revenue Code Section 162(m)"), and guaranteed bonuses of $137,812 and $131,250, paid to Mr. Brian L. Roberts in 1998 and 1997, respectively, and $5,788, $5,512 and $5,250, paid to Mr. Smith in 1999, 1998 and 1997, respectively.</w:t>
      </w:r>
    </w:p>
    <w:p>
      <w:pPr>
        <w:spacing w:after="0" w:line="75" w:lineRule="exact"/>
        <w:rPr>
          <w:rFonts w:ascii="Courier New" w:cs="Courier New" w:eastAsia="Courier New" w:hAnsi="Courier New"/>
          <w:sz w:val="16"/>
          <w:szCs w:val="16"/>
          <w:color w:val="auto"/>
        </w:rPr>
      </w:pPr>
    </w:p>
    <w:p>
      <w:pPr>
        <w:jc w:val="both"/>
        <w:ind w:left="420" w:right="2740" w:hanging="412"/>
        <w:spacing w:after="0" w:line="292"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includes Company payments to the named executive officers to cover their tax liabilities incurred in connection with: (a) local taxes on stock option grants or exercises;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760"/>
          </w:cols>
          <w:pgMar w:left="240" w:top="691" w:right="899" w:bottom="388" w:gutter="0" w:footer="0" w:header="0"/>
        </w:sectPr>
      </w:pPr>
    </w:p>
    <w:bookmarkStart w:id="10" w:name="page11"/>
    <w:bookmarkEnd w:id="10"/>
    <w:p>
      <w:pPr>
        <w:ind w:left="632" w:right="2199"/>
        <w:spacing w:after="0" w:line="287" w:lineRule="auto"/>
        <w:tabs>
          <w:tab w:leader="none" w:pos="105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payments to Messrs. Ralph J. Roberts, Brodsky and Brian L. Roberts to cover the premiums attributable to the term life insurance portion of split-dollar life insurance policies or separate term life insurance policies (see note (4)(b) below); (c) Company payments to cover premiums attributable to the executive long-term disability plan (see note (4)(e)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75" w:lineRule="exact"/>
        <w:rPr>
          <w:rFonts w:ascii="Courier New" w:cs="Courier New" w:eastAsia="Courier New" w:hAnsi="Courier New"/>
          <w:sz w:val="16"/>
          <w:szCs w:val="16"/>
          <w:color w:val="auto"/>
        </w:rPr>
      </w:pPr>
    </w:p>
    <w:p>
      <w:pPr>
        <w:ind w:left="412" w:right="1999" w:hanging="412"/>
        <w:spacing w:after="0" w:line="272" w:lineRule="auto"/>
        <w:tabs>
          <w:tab w:leader="none" w:pos="4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principally represent benefits associated with split-dollar life insurance arrangements. In accordance with the terms of the split-dollar life insurance arrangements, the Company will recover all of the cumulative premiums paid by the Company for the whole-life portion of such policies. This column includes (with respect to amounts applicable to 1999): (a) the dollar value, on a term loan approach, of the benefit of the whole-life portion of the premiums for split-dollar life insurance policies paid by the Company projected on an actuarial basis (Mr. Ralph J. Roberts $7,833,061; Mr. Brodsky $890,012; Mr. Brian L. Roberts $22,830; Mr. Smith $22,278; and Mr. Alchin $21,332), although the Company believes that a more realistic determination of the economic value of the benefit would be based on an approach which calculates the time value of money (using the applicable short-term federal funds rate) of the premiums paid by the Company through 1999 (Mr. Ralph J. Roberts $4,800,720; Mr. Brodsky $534,712; Mr. Brian L. Roberts $16,711; Mr. Smith $20,697; and Mr. Alchin $20,541); (b) Company payments to named executive officers to cover the premiums attributable to the term life insurance portion of split-dollar life insurance policies or separate term life insurance policies (Mr. Ralph J. Roberts $1,270,401; Mr. Brodsky $18,009; Mr. Brian L. Roberts $190,689; Mr. Smith $1,745; and</w:t>
      </w:r>
    </w:p>
    <w:p>
      <w:pPr>
        <w:spacing w:after="0" w:line="180" w:lineRule="exact"/>
        <w:rPr>
          <w:rFonts w:ascii="Courier New" w:cs="Courier New" w:eastAsia="Courier New" w:hAnsi="Courier New"/>
          <w:sz w:val="16"/>
          <w:szCs w:val="16"/>
          <w:color w:val="auto"/>
        </w:rPr>
      </w:pPr>
    </w:p>
    <w:p>
      <w:pPr>
        <w:ind w:left="412" w:right="21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Mr. Alchin $1,610); (c) Company contributions to its 401(k) Retirement-- Investment Plan in the amount of $5,600 for each of the named executive officers; (d) Company payments to its long-term disability plan in the amount of $980 for each of the named executive officers (other than</w:t>
      </w:r>
    </w:p>
    <w:p>
      <w:pPr>
        <w:ind w:left="412" w:right="209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Ralph J. Roberts, who did not participate in such plan); and (e) Company payments to the named executive officers (other than Mr. Ralph J. Roberts, who did not participate in such plan) to cover the premiums attributable to the executive long-term disability plan (Mr. Brodsky $3,535; Mr. Brian L. Roberts $4,104; Mr. Smith $1,658; and Mr. Alchin $5,938).</w:t>
      </w:r>
    </w:p>
    <w:p>
      <w:pPr>
        <w:spacing w:after="0" w:line="101" w:lineRule="exact"/>
        <w:rPr>
          <w:rFonts w:ascii="Courier New" w:cs="Courier New" w:eastAsia="Courier New" w:hAnsi="Courier New"/>
          <w:sz w:val="16"/>
          <w:szCs w:val="16"/>
          <w:color w:val="auto"/>
        </w:rPr>
      </w:pPr>
    </w:p>
    <w:p>
      <w:pPr>
        <w:ind w:left="412" w:right="1999" w:hanging="412"/>
        <w:spacing w:after="0" w:line="292"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includes $15,379 and $33,581 paid to him to cover the taxes payable by him with respect to estate and succession planning services provided to him by the Company in 1998 and 1997, respectively.</w:t>
      </w:r>
    </w:p>
    <w:p>
      <w:pPr>
        <w:spacing w:after="0" w:line="66" w:lineRule="exact"/>
        <w:rPr>
          <w:rFonts w:ascii="Courier New" w:cs="Courier New" w:eastAsia="Courier New" w:hAnsi="Courier New"/>
          <w:sz w:val="18"/>
          <w:szCs w:val="18"/>
          <w:color w:val="auto"/>
        </w:rPr>
      </w:pPr>
    </w:p>
    <w:p>
      <w:pPr>
        <w:ind w:left="412" w:right="2319" w:hanging="412"/>
        <w:spacing w:after="0" w:line="347"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Company's Class A Special Common Stock issuable upon exercise of options.</w:t>
      </w:r>
    </w:p>
    <w:p>
      <w:pPr>
        <w:spacing w:after="0" w:line="18" w:lineRule="exact"/>
        <w:rPr>
          <w:rFonts w:ascii="Courier New" w:cs="Courier New" w:eastAsia="Courier New" w:hAnsi="Courier New"/>
          <w:sz w:val="18"/>
          <w:szCs w:val="18"/>
          <w:color w:val="auto"/>
        </w:rPr>
      </w:pPr>
    </w:p>
    <w:p>
      <w:pPr>
        <w:ind w:left="412" w:right="1999" w:hanging="412"/>
        <w:spacing w:after="0" w:line="243"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common stock of QVC, Inc., a 57%-owned non-public subsidiary of the Company, issuable upon exercise of: (a) options granted to the named executive officers by the Compensation Committee of the QVC, Inc. Board of Directors on November 28, 1997, April 30, 1998 or July 7, 1999 pursuant to the 1995 QVC Stock Option and Stock Appreciation Rights Plan (the "1995 QVC Plan") (except for options to purchase 800 shares granted to Mr. Smith on July 7, 1998, and options to purchase 4,600 shares granted to Mr. Brian L. Roberts on October 26,</w:t>
      </w:r>
    </w:p>
    <w:p>
      <w:pPr>
        <w:ind w:left="412" w:right="2099"/>
        <w:spacing w:after="0" w:line="2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1998); and (b) options granted April 18, 1996, assigned by the Company to Mr. Brian L. Roberts on December 18, 1997. Such options were issued with tandem stock appreciation rights exercisable in lieu of the options for 75% of the excess of the value of the QVC, Inc. common stock (as determined pursuant to the 1995 QVC Plan) over the exercise price of such options. Such options have an exercise price per share of $865.47 (for options granted July 7, 1999), $651.84 (for options granted July 7 and October 26, 1998), $688.14 (for options granted November 28, 1997 and April 30, 1998), or $177.05 (for options granted April 18, 1996), representing the value of the shares underlying such options on the date of grant as determined pursuant to the 1995 QVC Plan, and such options vest 20% on each of the first five anniversaries of the date of grant (except for the options granted April 18, 1996, which vest 20%</w:t>
      </w:r>
    </w:p>
    <w:p>
      <w:pPr>
        <w:spacing w:after="0" w:line="29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69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on grant and 20% on each January 1, 1997-2000), based on the named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executive's continued service to the Company. In all cases, vesting is</w:t>
      </w:r>
    </w:p>
    <w:p>
      <w:pPr>
        <w:spacing w:after="0" w:line="238" w:lineRule="auto"/>
        <w:rPr>
          <w:sz w:val="20"/>
          <w:szCs w:val="20"/>
          <w:color w:val="auto"/>
        </w:rPr>
      </w:pPr>
      <w:r>
        <w:rPr>
          <w:rFonts w:ascii="Courier New" w:cs="Courier New" w:eastAsia="Courier New" w:hAnsi="Courier New"/>
          <w:sz w:val="18"/>
          <w:szCs w:val="18"/>
          <w:color w:val="auto"/>
        </w:rPr>
        <w:t>accelerated upon a change of control of QVC, Inc. The QVC, Inc. options</w:t>
      </w:r>
    </w:p>
    <w:p>
      <w:pPr>
        <w:spacing w:after="0"/>
        <w:rPr>
          <w:sz w:val="20"/>
          <w:szCs w:val="20"/>
          <w:color w:val="auto"/>
        </w:rPr>
      </w:pPr>
      <w:r>
        <w:rPr>
          <w:rFonts w:ascii="Courier New" w:cs="Courier New" w:eastAsia="Courier New" w:hAnsi="Courier New"/>
          <w:sz w:val="18"/>
          <w:szCs w:val="18"/>
          <w:color w:val="auto"/>
        </w:rPr>
        <w:t>expire ten years after the date of grant. The estimated present value of</w:t>
      </w:r>
    </w:p>
    <w:p>
      <w:pPr>
        <w:spacing w:after="0"/>
        <w:rPr>
          <w:sz w:val="20"/>
          <w:szCs w:val="20"/>
          <w:color w:val="auto"/>
        </w:rPr>
      </w:pPr>
      <w:r>
        <w:rPr>
          <w:rFonts w:ascii="Courier New" w:cs="Courier New" w:eastAsia="Courier New" w:hAnsi="Courier New"/>
          <w:sz w:val="16"/>
          <w:szCs w:val="16"/>
          <w:color w:val="auto"/>
        </w:rPr>
        <w:t>QVC, Inc. stock options at the date of grant which were granted in 1999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Brian L. Roberts is $956,332 and is calculated using the Black-Scholes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pricing model, based upon the following assumptions used in</w:t>
      </w:r>
    </w:p>
    <w:p>
      <w:pPr>
        <w:spacing w:after="0" w:line="238" w:lineRule="auto"/>
        <w:rPr>
          <w:sz w:val="20"/>
          <w:szCs w:val="20"/>
          <w:color w:val="auto"/>
        </w:rPr>
      </w:pPr>
      <w:r>
        <w:rPr>
          <w:rFonts w:ascii="Courier New" w:cs="Courier New" w:eastAsia="Courier New" w:hAnsi="Courier New"/>
          <w:sz w:val="18"/>
          <w:szCs w:val="18"/>
          <w:color w:val="auto"/>
        </w:rPr>
        <w:t>developing the grant valuation: an expected volatility of approximately</w:t>
      </w:r>
    </w:p>
    <w:p>
      <w:pPr>
        <w:spacing w:after="0"/>
        <w:rPr>
          <w:sz w:val="20"/>
          <w:szCs w:val="20"/>
          <w:color w:val="auto"/>
        </w:rPr>
      </w:pPr>
      <w:r>
        <w:rPr>
          <w:rFonts w:ascii="Courier New" w:cs="Courier New" w:eastAsia="Courier New" w:hAnsi="Courier New"/>
          <w:sz w:val="18"/>
          <w:szCs w:val="18"/>
          <w:color w:val="auto"/>
        </w:rPr>
        <w:t>20.0%; an expected term to exercise of eight years; an interest rate of</w:t>
      </w:r>
    </w:p>
    <w:p>
      <w:pPr>
        <w:spacing w:after="0"/>
        <w:rPr>
          <w:sz w:val="20"/>
          <w:szCs w:val="20"/>
          <w:color w:val="auto"/>
        </w:rPr>
      </w:pPr>
      <w:r>
        <w:rPr>
          <w:rFonts w:ascii="Courier New" w:cs="Courier New" w:eastAsia="Courier New" w:hAnsi="Courier New"/>
          <w:sz w:val="16"/>
          <w:szCs w:val="16"/>
          <w:color w:val="auto"/>
        </w:rPr>
        <w:t>approximately 6.1%; and no dividend yield. The actual value of the options,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any, realized by Mr. Brian L. Roberts will depend on the extent to which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market value of the common stock of QVC, Inc. exceeds the exercise</w:t>
      </w:r>
    </w:p>
    <w:p>
      <w:pPr>
        <w:spacing w:after="0" w:line="238" w:lineRule="auto"/>
        <w:rPr>
          <w:sz w:val="20"/>
          <w:szCs w:val="20"/>
          <w:color w:val="auto"/>
        </w:rPr>
      </w:pPr>
      <w:r>
        <w:rPr>
          <w:rFonts w:ascii="Courier New" w:cs="Courier New" w:eastAsia="Courier New" w:hAnsi="Courier New"/>
          <w:sz w:val="18"/>
          <w:szCs w:val="18"/>
          <w:color w:val="auto"/>
        </w:rPr>
        <w:t>price of the option on the date the option is exercised. Consequently,</w:t>
      </w:r>
    </w:p>
    <w:p>
      <w:pPr>
        <w:spacing w:after="0"/>
        <w:rPr>
          <w:sz w:val="20"/>
          <w:szCs w:val="20"/>
          <w:color w:val="auto"/>
        </w:rPr>
      </w:pPr>
      <w:r>
        <w:rPr>
          <w:rFonts w:ascii="Courier New" w:cs="Courier New" w:eastAsia="Courier New" w:hAnsi="Courier New"/>
          <w:sz w:val="16"/>
          <w:szCs w:val="16"/>
          <w:color w:val="auto"/>
        </w:rPr>
        <w:t>there is no assurance that the value realized by Mr. Brian L. Roberts will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at or near the value estimated above. During 1999, such executive</w:t>
      </w:r>
    </w:p>
    <w:p>
      <w:pPr>
        <w:spacing w:after="0"/>
        <w:rPr>
          <w:sz w:val="20"/>
          <w:szCs w:val="20"/>
          <w:color w:val="auto"/>
        </w:rPr>
      </w:pPr>
      <w:r>
        <w:rPr>
          <w:rFonts w:ascii="Courier New" w:cs="Courier New" w:eastAsia="Courier New" w:hAnsi="Courier New"/>
          <w:sz w:val="16"/>
          <w:szCs w:val="16"/>
          <w:color w:val="auto"/>
        </w:rPr>
        <w:t>officers exercised certain of such options to purchase shares of QVC, Inc.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realized value upon such exercises as follows: Mr.</w:t>
      </w:r>
    </w:p>
    <w:p>
      <w:pPr>
        <w:spacing w:after="0" w:line="238" w:lineRule="auto"/>
        <w:rPr>
          <w:sz w:val="20"/>
          <w:szCs w:val="20"/>
          <w:color w:val="auto"/>
        </w:rPr>
      </w:pPr>
      <w:r>
        <w:rPr>
          <w:rFonts w:ascii="Courier New" w:cs="Courier New" w:eastAsia="Courier New" w:hAnsi="Courier New"/>
          <w:sz w:val="18"/>
          <w:szCs w:val="18"/>
          <w:color w:val="auto"/>
        </w:rPr>
        <w:t>Brodsky, 800 shares, $550,736; Mr. Brian L. Roberts, 4,160 shares,</w:t>
      </w:r>
    </w:p>
    <w:p>
      <w:pPr>
        <w:spacing w:after="0"/>
        <w:rPr>
          <w:sz w:val="20"/>
          <w:szCs w:val="20"/>
          <w:color w:val="auto"/>
        </w:rPr>
      </w:pPr>
      <w:r>
        <w:rPr>
          <w:rFonts w:ascii="Courier New" w:cs="Courier New" w:eastAsia="Courier New" w:hAnsi="Courier New"/>
          <w:sz w:val="18"/>
          <w:szCs w:val="18"/>
          <w:color w:val="auto"/>
        </w:rPr>
        <w:t>$1,778,355; Mr. Smith, 800 shares, $451,792; and Mr. Alchin, 600 shares,</w:t>
      </w:r>
    </w:p>
    <w:p>
      <w:pPr>
        <w:spacing w:after="0"/>
        <w:rPr>
          <w:sz w:val="20"/>
          <w:szCs w:val="20"/>
          <w:color w:val="auto"/>
        </w:rPr>
      </w:pPr>
      <w:r>
        <w:rPr>
          <w:rFonts w:ascii="Courier New" w:cs="Courier New" w:eastAsia="Courier New" w:hAnsi="Courier New"/>
          <w:sz w:val="16"/>
          <w:szCs w:val="16"/>
          <w:color w:val="auto"/>
        </w:rPr>
        <w:t>$413,052. At December 31, 1999, the excess of the fair market value of QVC,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 common stock over the exercise price for options outstanding based</w:t>
      </w:r>
    </w:p>
    <w:p>
      <w:pPr>
        <w:spacing w:after="0" w:line="238" w:lineRule="auto"/>
        <w:rPr>
          <w:sz w:val="20"/>
          <w:szCs w:val="20"/>
          <w:color w:val="auto"/>
        </w:rPr>
      </w:pPr>
      <w:r>
        <w:rPr>
          <w:rFonts w:ascii="Courier New" w:cs="Courier New" w:eastAsia="Courier New" w:hAnsi="Courier New"/>
          <w:sz w:val="18"/>
          <w:szCs w:val="18"/>
          <w:color w:val="auto"/>
        </w:rPr>
        <w:t>upon the most recent valuation date was as follows: Mr. Brodsky ($125,715</w:t>
      </w:r>
    </w:p>
    <w:p>
      <w:pPr>
        <w:spacing w:after="0"/>
        <w:rPr>
          <w:sz w:val="20"/>
          <w:szCs w:val="20"/>
          <w:color w:val="auto"/>
        </w:rPr>
      </w:pPr>
      <w:r>
        <w:rPr>
          <w:rFonts w:ascii="Courier New" w:cs="Courier New" w:eastAsia="Courier New" w:hAnsi="Courier New"/>
          <w:sz w:val="18"/>
          <w:szCs w:val="18"/>
          <w:color w:val="auto"/>
        </w:rPr>
        <w:t>exercisable, $1,226,021 unexercisable); Mr. Brian L. Roberts ($0</w:t>
      </w:r>
    </w:p>
    <w:p>
      <w:pPr>
        <w:spacing w:after="0" w:line="238" w:lineRule="auto"/>
        <w:rPr>
          <w:sz w:val="20"/>
          <w:szCs w:val="20"/>
          <w:color w:val="auto"/>
        </w:rPr>
      </w:pPr>
      <w:r>
        <w:rPr>
          <w:rFonts w:ascii="Courier New" w:cs="Courier New" w:eastAsia="Courier New" w:hAnsi="Courier New"/>
          <w:sz w:val="18"/>
          <w:szCs w:val="18"/>
          <w:color w:val="auto"/>
        </w:rPr>
        <w:t>exercisable, $5,495,678 unexercisable); Mr. Smith ($210,095 exercisable,</w:t>
      </w:r>
    </w:p>
    <w:p>
      <w:pPr>
        <w:spacing w:after="0"/>
        <w:rPr>
          <w:sz w:val="20"/>
          <w:szCs w:val="20"/>
          <w:color w:val="auto"/>
        </w:rPr>
      </w:pPr>
      <w:r>
        <w:rPr>
          <w:rFonts w:ascii="Courier New" w:cs="Courier New" w:eastAsia="Courier New" w:hAnsi="Courier New"/>
          <w:sz w:val="18"/>
          <w:szCs w:val="18"/>
          <w:color w:val="auto"/>
        </w:rPr>
        <w:t>$1,484,969 unexercisable); and Mr. Alchin ($94,286 exercisable, $919,516</w:t>
      </w:r>
    </w:p>
    <w:p>
      <w:pPr>
        <w:spacing w:after="0"/>
        <w:rPr>
          <w:sz w:val="20"/>
          <w:szCs w:val="20"/>
          <w:color w:val="auto"/>
        </w:rPr>
      </w:pPr>
      <w:r>
        <w:rPr>
          <w:rFonts w:ascii="Courier New" w:cs="Courier New" w:eastAsia="Courier New" w:hAnsi="Courier New"/>
          <w:sz w:val="18"/>
          <w:szCs w:val="18"/>
          <w:color w:val="auto"/>
        </w:rPr>
        <w:t>unexercisable).</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69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Stock Option Grants</w:t>
      </w:r>
    </w:p>
    <w:p>
      <w:pPr>
        <w:spacing w:after="0" w:line="201"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The following table contains information concerning grants of stock options under the Company's 1996 Stock Option Plan to the Chief Executive Officer and to each of the Company's other four most highly compensated executive officers during 1999. No Comcast Corporation stock appreciation rights ("SARs") were granted during 1999 to the Chief Executive Officer or to any of the Company's other four most highly compensated executive officers.</w:t>
      </w:r>
    </w:p>
    <w:p>
      <w:pPr>
        <w:spacing w:after="0" w:line="6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Option Grants in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Individual Grants(1)</w:t>
      </w:r>
    </w:p>
    <w:tbl>
      <w:tblPr>
        <w:tblLayout w:type="fixed"/>
        <w:tblInd w:w="0" w:type="dxa"/>
        <w:tblCellMar>
          <w:top w:w="0" w:type="dxa"/>
          <w:left w:w="0" w:type="dxa"/>
          <w:bottom w:w="0" w:type="dxa"/>
          <w:right w:w="0" w:type="dxa"/>
        </w:tblCellMar>
      </w:tblPr>
      <w:tr>
        <w:trPr>
          <w:trHeight w:val="201"/>
        </w:trPr>
        <w:tc>
          <w:tcPr>
            <w:tcW w:w="7320" w:type="dxa"/>
            <w:vAlign w:val="bottom"/>
            <w:gridSpan w:val="5"/>
          </w:tcPr>
          <w:p>
            <w:pPr>
              <w:jc w:val="right"/>
              <w:ind w:right="52"/>
              <w:spacing w:after="0" w:line="201" w:lineRule="exact"/>
              <w:rPr>
                <w:sz w:val="20"/>
                <w:szCs w:val="20"/>
                <w:color w:val="auto"/>
              </w:rPr>
            </w:pPr>
            <w:r>
              <w:rPr>
                <w:rFonts w:ascii="Courier New" w:cs="Courier New" w:eastAsia="Courier New" w:hAnsi="Courier New"/>
                <w:sz w:val="18"/>
                <w:szCs w:val="18"/>
                <w:color w:val="auto"/>
                <w:w w:val="98"/>
              </w:rPr>
              <w:t>-------------------------------------------------------------------</w:t>
            </w: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 of</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Total</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Granted</w:t>
            </w:r>
          </w:p>
        </w:tc>
        <w:tc>
          <w:tcPr>
            <w:tcW w:w="10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Exercise</w:t>
            </w: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vMerge w:val="continue"/>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Expiration</w:t>
            </w:r>
          </w:p>
        </w:tc>
        <w:tc>
          <w:tcPr>
            <w:tcW w:w="2060" w:type="dxa"/>
            <w:vAlign w:val="bottom"/>
            <w:gridSpan w:val="2"/>
            <w:vMerge w:val="restart"/>
          </w:tcPr>
          <w:p>
            <w:pPr>
              <w:jc w:val="right"/>
              <w:ind w:right="532"/>
              <w:spacing w:after="0"/>
              <w:rPr>
                <w:sz w:val="20"/>
                <w:szCs w:val="20"/>
                <w:color w:val="auto"/>
              </w:rPr>
            </w:pPr>
            <w:r>
              <w:rPr>
                <w:rFonts w:ascii="Courier New" w:cs="Courier New" w:eastAsia="Courier New" w:hAnsi="Courier New"/>
                <w:sz w:val="18"/>
                <w:szCs w:val="18"/>
                <w:color w:val="auto"/>
              </w:rPr>
              <w:t>Grant Date</w:t>
            </w: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Options</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Employees</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Price</w:t>
            </w:r>
          </w:p>
        </w:tc>
        <w:tc>
          <w:tcPr>
            <w:tcW w:w="1140" w:type="dxa"/>
            <w:vAlign w:val="bottom"/>
            <w:vMerge w:val="continue"/>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 1999</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($/Sh)</w:t>
            </w:r>
          </w:p>
        </w:tc>
        <w:tc>
          <w:tcPr>
            <w:tcW w:w="11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Dates</w:t>
            </w:r>
          </w:p>
        </w:tc>
        <w:tc>
          <w:tcPr>
            <w:tcW w:w="2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Present Value (2)</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5360" w:type="dxa"/>
            <w:vAlign w:val="bottom"/>
            <w:gridSpan w:val="5"/>
          </w:tcPr>
          <w:p>
            <w:pPr>
              <w:ind w:left="300"/>
              <w:spacing w:after="0"/>
              <w:rPr>
                <w:sz w:val="20"/>
                <w:szCs w:val="20"/>
                <w:color w:val="auto"/>
              </w:rPr>
            </w:pPr>
            <w:r>
              <w:rPr>
                <w:rFonts w:ascii="Courier New" w:cs="Courier New" w:eastAsia="Courier New" w:hAnsi="Courier New"/>
                <w:sz w:val="18"/>
                <w:szCs w:val="18"/>
                <w:color w:val="auto"/>
                <w:w w:val="97"/>
              </w:rPr>
              <w:t>--------- --------- ---------- -----------------</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2,790(3)</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$36.1281</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05/03/04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34,289</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247,210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05/03/09</w:t>
            </w:r>
          </w:p>
        </w:tc>
        <w:tc>
          <w:tcPr>
            <w:tcW w:w="58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4,264,373</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Julian A. Brodsky.......</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60,000</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05/03/09</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1,035,000</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Brian L. Roberts(4).....</w:t>
            </w: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3,094(3)</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$32.5875</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01/05/04</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33,230</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996,906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29.6250</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01/05/09</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15,043,312</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1,000,000</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31.6875</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04/05/09</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16,610,000</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1,000,000</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05/03/09</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17,250,000</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2,338(3)</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42.7625</w:t>
            </w:r>
          </w:p>
        </w:tc>
        <w:tc>
          <w:tcPr>
            <w:tcW w:w="11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10/04/04</w:t>
            </w:r>
          </w:p>
        </w:tc>
        <w:tc>
          <w:tcPr>
            <w:tcW w:w="58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34,228</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997,662</w:t>
            </w: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38.8750</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10/04/09</w:t>
            </w:r>
          </w:p>
        </w:tc>
        <w:tc>
          <w:tcPr>
            <w:tcW w:w="58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20,611,697</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Lawrence S. Smith.......</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100,000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05/03/09</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1,725,000</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John R. Alchin..........</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75,000</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$32.8437</w:t>
            </w:r>
          </w:p>
        </w:tc>
        <w:tc>
          <w:tcPr>
            <w:tcW w:w="11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05/03/09</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1,293,750</w:t>
            </w:r>
          </w:p>
        </w:tc>
        <w:tc>
          <w:tcPr>
            <w:tcW w:w="0" w:type="dxa"/>
            <w:vAlign w:val="bottom"/>
          </w:tcPr>
          <w:p>
            <w:pPr>
              <w:spacing w:after="0"/>
              <w:rPr>
                <w:sz w:val="1"/>
                <w:szCs w:val="1"/>
                <w:color w:val="auto"/>
              </w:rPr>
            </w:pPr>
          </w:p>
        </w:tc>
      </w:tr>
      <w:tr>
        <w:trPr>
          <w:trHeight w:val="343"/>
        </w:trPr>
        <w:tc>
          <w:tcPr>
            <w:tcW w:w="25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total options granted to employees in 1999.</w:t>
      </w:r>
    </w:p>
    <w:p>
      <w:pPr>
        <w:spacing w:after="0" w:line="169" w:lineRule="exact"/>
        <w:rPr>
          <w:sz w:val="20"/>
          <w:szCs w:val="20"/>
          <w:color w:val="auto"/>
        </w:rPr>
      </w:pPr>
    </w:p>
    <w:p>
      <w:pPr>
        <w:ind w:left="420" w:right="1999" w:hanging="412"/>
        <w:spacing w:after="0" w:line="277"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options are for the purchase of shares of Class A Special Common Stock and were granted on either January 5, April 5, May 3, or October 4, 1999 under the Company's 1996 Stock Option Plan. Except as described in note (3) below, all options granted in 1999 have exercise prices equal to their fair market value on the date of grant and generally become exercisable at the rate of 40% of the shares covered thereby on the second anniversary of the date of grant, and 20% each on the third, fourth and fifth anniversaries of the date of grant, or, as to 50% of the excess of the options granted on May 3, 1999 to each of Messrs. Brodsky, Smith and Alchin over options to purchase 7,500 shares, at the rate of 20% of the shares covered thereby on the second anniversary of the date of grant, another 10% on each of the third through ninth anniversaries of the date of grant, and 10% six months prior to the tenth anniversary of the date of grant. The options that expire on January 5, 2004, May 3, 2004 and October 4, 2004, as well as 3,044 of the options granted to each of Messrs. Brodsky, Smith and Alchin expiring May 3, 2009, are incentive stock options. All other options granted are nonqualified stock options.</w:t>
      </w:r>
    </w:p>
    <w:p>
      <w:pPr>
        <w:spacing w:after="0" w:line="299" w:lineRule="exact"/>
        <w:rPr>
          <w:rFonts w:ascii="Courier New" w:cs="Courier New" w:eastAsia="Courier New" w:hAnsi="Courier New"/>
          <w:sz w:val="16"/>
          <w:szCs w:val="16"/>
          <w:color w:val="auto"/>
        </w:rPr>
      </w:pPr>
    </w:p>
    <w:p>
      <w:pPr>
        <w:ind w:left="420" w:right="1999" w:hanging="412"/>
        <w:spacing w:after="0" w:line="246"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represent the estimated present value of stock options at the date of grant calculated using the Black-Scholes option pricing model, based upon the following assumptions used in developing the grant valuations: an expected volatility of approximately 35.9%; an expected term to exercise of eight years, except for certain incentive stock options granted to Messrs. Ralph J. Roberts and Brian L. Roberts, for which the expected term to exercise is five years; an interest rate of approximately 5.5%; and no dividend yield. The actual value of the options, if any, realized by an executive officer will depend on the extent to which the market value of the Class A Special Common Stock exceeds the exercise price of the option on the date the option is exercised. Consequently, there is no assurance that the value realized by an executive officer will be at or near the value estimated above. These amounts should not be used to predict stock performance.</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0" w:gutter="0" w:footer="0" w:header="0"/>
        </w:sectPr>
      </w:pPr>
    </w:p>
    <w:bookmarkStart w:id="13" w:name="page14"/>
    <w:bookmarkEnd w:id="13"/>
    <w:p>
      <w:pPr>
        <w:ind w:left="420" w:right="3060" w:hanging="412"/>
        <w:spacing w:after="0" w:line="253"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tax rules governing incentive stock options, these options were granted at an exercise price equal to 110% of the fair market value on the date of grant. The options to purchase shares of the Company's Class A Special Common Stock become exercisable at the rate of 40% of the shares covered thereby on the second anniversary of the date of grant, another 20% on each of the third and fourth anniversaries of the date of grant, and another 20% six months prior to the fifth anniversary of the date of grant.</w:t>
      </w:r>
    </w:p>
    <w:p>
      <w:pPr>
        <w:spacing w:after="0" w:line="103" w:lineRule="exact"/>
        <w:rPr>
          <w:rFonts w:ascii="Courier New" w:cs="Courier New" w:eastAsia="Courier New" w:hAnsi="Courier New"/>
          <w:sz w:val="18"/>
          <w:szCs w:val="18"/>
          <w:color w:val="auto"/>
        </w:rPr>
      </w:pPr>
    </w:p>
    <w:p>
      <w:pPr>
        <w:ind w:left="420" w:right="3260" w:hanging="412"/>
        <w:spacing w:after="0" w:line="282"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options described above, options to purchase 2,600 shares of the common stock of QVC, Inc. at an exercise price of $865.47 per share were granted to Mr. Brian L. Roberts on July 7, 1999. See note</w:t>
      </w:r>
    </w:p>
    <w:p>
      <w:pPr>
        <w:ind w:left="860" w:hanging="431"/>
        <w:spacing w:after="0"/>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"Executive Compensation--Summary Compensation Table."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Exercises and Holdings</w:t>
      </w:r>
    </w:p>
    <w:p>
      <w:pPr>
        <w:spacing w:after="0" w:line="201" w:lineRule="exact"/>
        <w:rPr>
          <w:sz w:val="20"/>
          <w:szCs w:val="20"/>
          <w:color w:val="auto"/>
        </w:rPr>
      </w:pPr>
    </w:p>
    <w:p>
      <w:pPr>
        <w:ind w:right="3380" w:firstLine="211"/>
        <w:spacing w:after="0" w:line="318" w:lineRule="auto"/>
        <w:rPr>
          <w:sz w:val="20"/>
          <w:szCs w:val="20"/>
          <w:color w:val="auto"/>
        </w:rPr>
      </w:pPr>
      <w:r>
        <w:rPr>
          <w:rFonts w:ascii="Courier New" w:cs="Courier New" w:eastAsia="Courier New" w:hAnsi="Courier New"/>
          <w:sz w:val="16"/>
          <w:szCs w:val="16"/>
          <w:color w:val="auto"/>
        </w:rPr>
        <w:t>The following table sets forth information related to options exercised during 1999 by the Chief Executive Officer and each of the Company's other four most highly compensated executive officers during 1999, and the number and value of options or SARs held at December 31, 1999 by such individuals.</w:t>
      </w:r>
    </w:p>
    <w:p>
      <w:pPr>
        <w:spacing w:after="0" w:line="5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Aggregated Option Exercises in 1999 and Option Values at December 31, 1999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60" w:type="dxa"/>
            <w:vAlign w:val="bottom"/>
          </w:tcPr>
          <w:p>
            <w:pPr>
              <w:ind w:left="42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Securities</w:t>
            </w:r>
          </w:p>
        </w:tc>
        <w:tc>
          <w:tcPr>
            <w:tcW w:w="290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7"/>
              </w:rPr>
              <w:t>Value of Unexercised</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80" w:type="dxa"/>
            <w:vAlign w:val="bottom"/>
            <w:gridSpan w:val="2"/>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Underlying Unexercised</w:t>
            </w: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940" w:type="dxa"/>
            <w:vAlign w:val="bottom"/>
            <w:vMerge w:val="restart"/>
          </w:tcPr>
          <w:p>
            <w:pPr>
              <w:ind w:left="840"/>
              <w:spacing w:after="0"/>
              <w:rPr>
                <w:sz w:val="20"/>
                <w:szCs w:val="20"/>
                <w:color w:val="auto"/>
              </w:rPr>
            </w:pPr>
            <w:r>
              <w:rPr>
                <w:rFonts w:ascii="Courier New" w:cs="Courier New" w:eastAsia="Courier New" w:hAnsi="Courier New"/>
                <w:sz w:val="18"/>
                <w:szCs w:val="18"/>
                <w:color w:val="auto"/>
              </w:rPr>
              <w:t>Shares</w:t>
            </w:r>
          </w:p>
        </w:tc>
        <w:tc>
          <w:tcPr>
            <w:tcW w:w="1540" w:type="dxa"/>
            <w:vAlign w:val="bottom"/>
          </w:tcPr>
          <w:p>
            <w:pPr>
              <w:spacing w:after="0"/>
              <w:rPr>
                <w:sz w:val="17"/>
                <w:szCs w:val="17"/>
                <w:color w:val="auto"/>
              </w:rPr>
            </w:pPr>
          </w:p>
        </w:tc>
        <w:tc>
          <w:tcPr>
            <w:tcW w:w="278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Options at</w:t>
            </w: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In-the-Money Options at</w:t>
            </w: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15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Value</w:t>
            </w:r>
          </w:p>
        </w:tc>
        <w:tc>
          <w:tcPr>
            <w:tcW w:w="2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December 31, 1999(#)</w:t>
            </w:r>
          </w:p>
        </w:tc>
        <w:tc>
          <w:tcPr>
            <w:tcW w:w="29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December 31, 1999($)</w:t>
            </w:r>
          </w:p>
        </w:tc>
        <w:tc>
          <w:tcPr>
            <w:tcW w:w="0" w:type="dxa"/>
            <w:vAlign w:val="bottom"/>
          </w:tcPr>
          <w:p>
            <w:pPr>
              <w:spacing w:after="0"/>
              <w:rPr>
                <w:sz w:val="1"/>
                <w:szCs w:val="1"/>
                <w:color w:val="auto"/>
              </w:rPr>
            </w:pPr>
          </w:p>
        </w:tc>
      </w:tr>
      <w:tr>
        <w:trPr>
          <w:trHeight w:val="203"/>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19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Acquired on</w:t>
            </w:r>
          </w:p>
        </w:tc>
        <w:tc>
          <w:tcPr>
            <w:tcW w:w="1540" w:type="dxa"/>
            <w:vAlign w:val="bottom"/>
            <w:vMerge w:val="continue"/>
          </w:tcPr>
          <w:p>
            <w:pPr>
              <w:spacing w:after="0"/>
              <w:rPr>
                <w:sz w:val="17"/>
                <w:szCs w:val="17"/>
                <w:color w:val="auto"/>
              </w:rPr>
            </w:pPr>
          </w:p>
        </w:tc>
        <w:tc>
          <w:tcPr>
            <w:tcW w:w="278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5"/>
              </w:rPr>
              <w:t>-------------------------</w:t>
            </w:r>
          </w:p>
        </w:tc>
        <w:tc>
          <w:tcPr>
            <w:tcW w:w="29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35"/>
        </w:trPr>
        <w:tc>
          <w:tcPr>
            <w:tcW w:w="1060" w:type="dxa"/>
            <w:vAlign w:val="bottom"/>
            <w:vMerge w:val="continue"/>
          </w:tcPr>
          <w:p>
            <w:pPr>
              <w:spacing w:after="0"/>
              <w:rPr>
                <w:sz w:val="20"/>
                <w:szCs w:val="20"/>
                <w:color w:val="auto"/>
              </w:rPr>
            </w:pPr>
          </w:p>
        </w:tc>
        <w:tc>
          <w:tcPr>
            <w:tcW w:w="1940" w:type="dxa"/>
            <w:vAlign w:val="bottom"/>
          </w:tcPr>
          <w:p>
            <w:pPr>
              <w:ind w:left="620"/>
              <w:spacing w:after="0"/>
              <w:rPr>
                <w:sz w:val="20"/>
                <w:szCs w:val="20"/>
                <w:color w:val="auto"/>
              </w:rPr>
            </w:pPr>
            <w:r>
              <w:rPr>
                <w:rFonts w:ascii="Courier New" w:cs="Courier New" w:eastAsia="Courier New" w:hAnsi="Courier New"/>
                <w:sz w:val="18"/>
                <w:szCs w:val="18"/>
                <w:color w:val="auto"/>
              </w:rPr>
              <w:t>Exercise(#)</w:t>
            </w: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7"/>
              </w:rPr>
              <w:t>Realized($)</w:t>
            </w: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w w:val="97"/>
              </w:rPr>
              <w:t>Exercisable Unexercisable Exercisable  Unexercisable</w:t>
            </w:r>
          </w:p>
        </w:tc>
        <w:tc>
          <w:tcPr>
            <w:tcW w:w="0" w:type="dxa"/>
            <w:vAlign w:val="bottom"/>
          </w:tcPr>
          <w:p>
            <w:pPr>
              <w:spacing w:after="0"/>
              <w:rPr>
                <w:sz w:val="1"/>
                <w:szCs w:val="1"/>
                <w:color w:val="auto"/>
              </w:rPr>
            </w:pPr>
          </w:p>
        </w:tc>
      </w:tr>
    </w:tbl>
    <w:p>
      <w:pPr>
        <w:ind w:left="2740" w:hanging="1679"/>
        <w:spacing w:after="0"/>
        <w:tabs>
          <w:tab w:leader="none" w:pos="2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 ------------- ------------ -------------</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jc w:val="right"/>
              <w:ind w:right="14"/>
              <w:spacing w:after="0"/>
              <w:rPr>
                <w:sz w:val="20"/>
                <w:szCs w:val="20"/>
                <w:color w:val="auto"/>
              </w:rPr>
            </w:pPr>
            <w:r>
              <w:rPr>
                <w:rFonts w:ascii="Courier New" w:cs="Courier New" w:eastAsia="Courier New" w:hAnsi="Courier New"/>
                <w:sz w:val="18"/>
                <w:szCs w:val="18"/>
                <w:color w:val="auto"/>
                <w:w w:val="97"/>
              </w:rPr>
              <w:t>Ralph J.</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Roberts</w:t>
            </w: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20"/>
                <w:szCs w:val="20"/>
                <w:color w:val="auto"/>
                <w:w w:val="71"/>
                <w:vertAlign w:val="superscript"/>
              </w:rPr>
              <w:t>Special</w:t>
            </w:r>
            <w:r>
              <w:rPr>
                <w:rFonts w:ascii="Courier New" w:cs="Courier New" w:eastAsia="Courier New" w:hAnsi="Courier New"/>
                <w:sz w:val="12"/>
                <w:szCs w:val="12"/>
                <w:color w:val="auto"/>
                <w:w w:val="71"/>
              </w:rPr>
              <w:t>..........</w:t>
            </w:r>
          </w:p>
        </w:tc>
        <w:tc>
          <w:tcPr>
            <w:tcW w:w="2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2,921,518(1)</w:t>
            </w:r>
          </w:p>
        </w:tc>
        <w:tc>
          <w:tcPr>
            <w:tcW w:w="160" w:type="dxa"/>
            <w:vAlign w:val="bottom"/>
          </w:tcPr>
          <w:p>
            <w:pPr>
              <w:spacing w:after="0"/>
              <w:rPr>
                <w:sz w:val="17"/>
                <w:szCs w:val="17"/>
                <w:color w:val="auto"/>
              </w:rPr>
            </w:pPr>
          </w:p>
        </w:tc>
        <w:tc>
          <w:tcPr>
            <w:tcW w:w="148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(1)</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5,570,892</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1,453,770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239,251,400</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45,672,619</w:t>
            </w:r>
          </w:p>
        </w:tc>
        <w:tc>
          <w:tcPr>
            <w:tcW w:w="0" w:type="dxa"/>
            <w:vAlign w:val="bottom"/>
          </w:tcPr>
          <w:p>
            <w:pPr>
              <w:spacing w:after="0"/>
              <w:rPr>
                <w:sz w:val="1"/>
                <w:szCs w:val="1"/>
                <w:color w:val="auto"/>
              </w:rPr>
            </w:pPr>
          </w:p>
        </w:tc>
      </w:tr>
      <w:tr>
        <w:trPr>
          <w:trHeight w:val="296"/>
        </w:trPr>
        <w:tc>
          <w:tcPr>
            <w:tcW w:w="960" w:type="dxa"/>
            <w:vAlign w:val="bottom"/>
            <w:gridSpan w:val="2"/>
          </w:tcPr>
          <w:p>
            <w:pPr>
              <w:jc w:val="right"/>
              <w:ind w:right="14"/>
              <w:spacing w:after="0"/>
              <w:rPr>
                <w:sz w:val="20"/>
                <w:szCs w:val="20"/>
                <w:color w:val="auto"/>
              </w:rPr>
            </w:pPr>
            <w:r>
              <w:rPr>
                <w:rFonts w:ascii="Courier New" w:cs="Courier New" w:eastAsia="Courier New" w:hAnsi="Courier New"/>
                <w:sz w:val="18"/>
                <w:szCs w:val="18"/>
                <w:color w:val="auto"/>
              </w:rPr>
              <w:t>Common</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Stock</w:t>
            </w:r>
          </w:p>
        </w:tc>
        <w:tc>
          <w:tcPr>
            <w:tcW w:w="2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Julian</w:t>
            </w:r>
          </w:p>
        </w:tc>
        <w:tc>
          <w:tcPr>
            <w:tcW w:w="3520" w:type="dxa"/>
            <w:vAlign w:val="bottom"/>
            <w:gridSpan w:val="3"/>
          </w:tcPr>
          <w:p>
            <w:pPr>
              <w:jc w:val="right"/>
              <w:ind w:right="1952"/>
              <w:spacing w:after="0"/>
              <w:rPr>
                <w:sz w:val="20"/>
                <w:szCs w:val="20"/>
                <w:color w:val="auto"/>
              </w:rPr>
            </w:pPr>
            <w:r>
              <w:rPr>
                <w:rFonts w:ascii="Courier New" w:cs="Courier New" w:eastAsia="Courier New" w:hAnsi="Courier New"/>
                <w:sz w:val="18"/>
                <w:szCs w:val="18"/>
                <w:color w:val="auto"/>
              </w:rPr>
              <w:t>A. Brodsky(2)</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26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w w:val="95"/>
              </w:rPr>
              <w:t>Common</w:t>
            </w:r>
          </w:p>
        </w:tc>
        <w:tc>
          <w:tcPr>
            <w:tcW w:w="160" w:type="dxa"/>
            <w:vAlign w:val="bottom"/>
          </w:tcPr>
          <w:p>
            <w:pPr>
              <w:spacing w:after="0"/>
              <w:rPr>
                <w:sz w:val="17"/>
                <w:szCs w:val="17"/>
                <w:color w:val="auto"/>
              </w:rPr>
            </w:pP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942,947(3)</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1,877,369</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1,541,258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80,763,349</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58,628,474</w:t>
            </w:r>
          </w:p>
        </w:tc>
        <w:tc>
          <w:tcPr>
            <w:tcW w:w="0" w:type="dxa"/>
            <w:vAlign w:val="bottom"/>
          </w:tcPr>
          <w:p>
            <w:pPr>
              <w:spacing w:after="0"/>
              <w:rPr>
                <w:sz w:val="1"/>
                <w:szCs w:val="1"/>
                <w:color w:val="auto"/>
              </w:rPr>
            </w:pPr>
          </w:p>
        </w:tc>
      </w:tr>
      <w:tr>
        <w:trPr>
          <w:trHeight w:val="296"/>
        </w:trPr>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Stock</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807,785(3) $</w:t>
            </w:r>
          </w:p>
        </w:tc>
        <w:tc>
          <w:tcPr>
            <w:tcW w:w="14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gridSpan w:val="2"/>
          </w:tcPr>
          <w:p>
            <w:pPr>
              <w:jc w:val="right"/>
              <w:ind w:right="14"/>
              <w:spacing w:after="0"/>
              <w:rPr>
                <w:sz w:val="20"/>
                <w:szCs w:val="20"/>
                <w:color w:val="auto"/>
              </w:rPr>
            </w:pPr>
            <w:r>
              <w:rPr>
                <w:rFonts w:ascii="Courier New" w:cs="Courier New" w:eastAsia="Courier New" w:hAnsi="Courier New"/>
                <w:sz w:val="18"/>
                <w:szCs w:val="18"/>
                <w:color w:val="auto"/>
                <w:w w:val="97"/>
              </w:rPr>
              <w:t>Brian L.</w:t>
            </w:r>
          </w:p>
        </w:tc>
        <w:tc>
          <w:tcPr>
            <w:tcW w:w="3200" w:type="dxa"/>
            <w:vAlign w:val="bottom"/>
            <w:gridSpan w:val="2"/>
          </w:tcPr>
          <w:p>
            <w:pPr>
              <w:spacing w:after="0"/>
              <w:rPr>
                <w:sz w:val="20"/>
                <w:szCs w:val="20"/>
                <w:color w:val="auto"/>
              </w:rPr>
            </w:pPr>
            <w:r>
              <w:rPr>
                <w:rFonts w:ascii="Courier New" w:cs="Courier New" w:eastAsia="Courier New" w:hAnsi="Courier New"/>
                <w:sz w:val="18"/>
                <w:szCs w:val="18"/>
                <w:color w:val="auto"/>
              </w:rPr>
              <w:t>Roberts(2)</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26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w w:val="95"/>
              </w:rPr>
              <w:t>Common</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6"/>
              </w:rPr>
              <w:t>17,260,219</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555,005</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8,413,977</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22,801,962</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228,501,217</w:t>
            </w:r>
          </w:p>
        </w:tc>
        <w:tc>
          <w:tcPr>
            <w:tcW w:w="0" w:type="dxa"/>
            <w:vAlign w:val="bottom"/>
          </w:tcPr>
          <w:p>
            <w:pPr>
              <w:spacing w:after="0"/>
              <w:rPr>
                <w:sz w:val="1"/>
                <w:szCs w:val="1"/>
                <w:color w:val="auto"/>
              </w:rPr>
            </w:pPr>
          </w:p>
        </w:tc>
      </w:tr>
      <w:tr>
        <w:trPr>
          <w:trHeight w:val="296"/>
        </w:trPr>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Stock</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2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550,927</w:t>
            </w:r>
          </w:p>
        </w:tc>
        <w:tc>
          <w:tcPr>
            <w:tcW w:w="16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gridSpan w:val="2"/>
          </w:tcPr>
          <w:p>
            <w:pPr>
              <w:jc w:val="right"/>
              <w:ind w:right="14"/>
              <w:spacing w:after="0"/>
              <w:rPr>
                <w:sz w:val="20"/>
                <w:szCs w:val="20"/>
                <w:color w:val="auto"/>
              </w:rPr>
            </w:pPr>
            <w:r>
              <w:rPr>
                <w:rFonts w:ascii="Courier New" w:cs="Courier New" w:eastAsia="Courier New" w:hAnsi="Courier New"/>
                <w:sz w:val="18"/>
                <w:szCs w:val="18"/>
                <w:color w:val="auto"/>
                <w:w w:val="97"/>
              </w:rPr>
              <w:t>Lawrence</w:t>
            </w:r>
          </w:p>
        </w:tc>
        <w:tc>
          <w:tcPr>
            <w:tcW w:w="3200" w:type="dxa"/>
            <w:vAlign w:val="bottom"/>
            <w:gridSpan w:val="2"/>
          </w:tcPr>
          <w:p>
            <w:pPr>
              <w:spacing w:after="0"/>
              <w:rPr>
                <w:sz w:val="20"/>
                <w:szCs w:val="20"/>
                <w:color w:val="auto"/>
              </w:rPr>
            </w:pPr>
            <w:r>
              <w:rPr>
                <w:rFonts w:ascii="Courier New" w:cs="Courier New" w:eastAsia="Courier New" w:hAnsi="Courier New"/>
                <w:sz w:val="18"/>
                <w:szCs w:val="18"/>
                <w:color w:val="auto"/>
              </w:rPr>
              <w:t>S. Smith(2)</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w:t>
            </w:r>
          </w:p>
        </w:tc>
        <w:tc>
          <w:tcPr>
            <w:tcW w:w="226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w w:val="95"/>
              </w:rPr>
              <w:t>Common</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9,218,896</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159,992</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1,523,314</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6,499,126</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56,271,872</w:t>
            </w:r>
          </w:p>
        </w:tc>
        <w:tc>
          <w:tcPr>
            <w:tcW w:w="0" w:type="dxa"/>
            <w:vAlign w:val="bottom"/>
          </w:tcPr>
          <w:p>
            <w:pPr>
              <w:spacing w:after="0"/>
              <w:rPr>
                <w:sz w:val="1"/>
                <w:szCs w:val="1"/>
                <w:color w:val="auto"/>
              </w:rPr>
            </w:pPr>
          </w:p>
        </w:tc>
      </w:tr>
      <w:tr>
        <w:trPr>
          <w:trHeight w:val="296"/>
        </w:trPr>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Stock</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2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340,180</w:t>
            </w:r>
          </w:p>
        </w:tc>
        <w:tc>
          <w:tcPr>
            <w:tcW w:w="16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00" w:type="dxa"/>
            <w:vAlign w:val="bottom"/>
            <w:gridSpan w:val="3"/>
          </w:tcPr>
          <w:p>
            <w:pPr>
              <w:jc w:val="right"/>
              <w:ind w:right="18"/>
              <w:spacing w:after="0"/>
              <w:rPr>
                <w:sz w:val="20"/>
                <w:szCs w:val="20"/>
                <w:color w:val="auto"/>
              </w:rPr>
            </w:pPr>
            <w:r>
              <w:rPr>
                <w:rFonts w:ascii="Courier New" w:cs="Courier New" w:eastAsia="Courier New" w:hAnsi="Courier New"/>
                <w:sz w:val="18"/>
                <w:szCs w:val="18"/>
                <w:color w:val="auto"/>
                <w:w w:val="96"/>
              </w:rPr>
              <w:t>John R. Alchin(2)</w:t>
            </w: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w:t>
            </w:r>
          </w:p>
        </w:tc>
        <w:tc>
          <w:tcPr>
            <w:tcW w:w="940" w:type="dxa"/>
            <w:vAlign w:val="bottom"/>
          </w:tcPr>
          <w:p>
            <w:pPr>
              <w:spacing w:after="0" w:line="203" w:lineRule="exact"/>
              <w:rPr>
                <w:sz w:val="20"/>
                <w:szCs w:val="20"/>
                <w:color w:val="auto"/>
              </w:rPr>
            </w:pPr>
            <w:r>
              <w:rPr>
                <w:rFonts w:ascii="Courier New" w:cs="Courier New" w:eastAsia="Courier New" w:hAnsi="Courier New"/>
                <w:sz w:val="20"/>
                <w:szCs w:val="20"/>
                <w:color w:val="auto"/>
                <w:w w:val="71"/>
                <w:vertAlign w:val="superscript"/>
              </w:rPr>
              <w:t>Special</w:t>
            </w:r>
            <w:r>
              <w:rPr>
                <w:rFonts w:ascii="Courier New" w:cs="Courier New" w:eastAsia="Courier New" w:hAnsi="Courier New"/>
                <w:sz w:val="12"/>
                <w:szCs w:val="12"/>
                <w:color w:val="auto"/>
                <w:w w:val="71"/>
              </w:rPr>
              <w:t>..........</w:t>
            </w:r>
          </w:p>
        </w:tc>
        <w:tc>
          <w:tcPr>
            <w:tcW w:w="2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215,706</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6,799,848</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292,814</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1,226,256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12,165,881</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45,269,963</w:t>
            </w:r>
          </w:p>
        </w:tc>
        <w:tc>
          <w:tcPr>
            <w:tcW w:w="0" w:type="dxa"/>
            <w:vAlign w:val="bottom"/>
          </w:tcPr>
          <w:p>
            <w:pPr>
              <w:spacing w:after="0"/>
              <w:rPr>
                <w:sz w:val="1"/>
                <w:szCs w:val="1"/>
                <w:color w:val="auto"/>
              </w:rPr>
            </w:pPr>
          </w:p>
        </w:tc>
      </w:tr>
      <w:tr>
        <w:trPr>
          <w:trHeight w:val="296"/>
        </w:trPr>
        <w:tc>
          <w:tcPr>
            <w:tcW w:w="960" w:type="dxa"/>
            <w:vAlign w:val="bottom"/>
            <w:gridSpan w:val="2"/>
          </w:tcPr>
          <w:p>
            <w:pPr>
              <w:jc w:val="right"/>
              <w:ind w:right="14"/>
              <w:spacing w:after="0"/>
              <w:rPr>
                <w:sz w:val="20"/>
                <w:szCs w:val="20"/>
                <w:color w:val="auto"/>
              </w:rPr>
            </w:pPr>
            <w:r>
              <w:rPr>
                <w:rFonts w:ascii="Courier New" w:cs="Courier New" w:eastAsia="Courier New" w:hAnsi="Courier New"/>
                <w:sz w:val="18"/>
                <w:szCs w:val="18"/>
                <w:color w:val="auto"/>
              </w:rPr>
              <w:t>Common</w:t>
            </w:r>
          </w:p>
        </w:tc>
        <w:tc>
          <w:tcPr>
            <w:tcW w:w="940" w:type="dxa"/>
            <w:vAlign w:val="bottom"/>
          </w:tcPr>
          <w:p>
            <w:pPr>
              <w:spacing w:after="0"/>
              <w:rPr>
                <w:sz w:val="20"/>
                <w:szCs w:val="20"/>
                <w:color w:val="auto"/>
              </w:rPr>
            </w:pPr>
            <w:r>
              <w:rPr>
                <w:rFonts w:ascii="Courier New" w:cs="Courier New" w:eastAsia="Courier New" w:hAnsi="Courier New"/>
                <w:sz w:val="18"/>
                <w:szCs w:val="18"/>
                <w:color w:val="auto"/>
              </w:rPr>
              <w:t>Stock</w:t>
            </w:r>
          </w:p>
        </w:tc>
        <w:tc>
          <w:tcPr>
            <w:tcW w:w="226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3060" w:hanging="412"/>
        <w:spacing w:after="0" w:line="243"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2,921,518 shares of Class A Special Common Stock to be issued to Mr. Ralph J. Roberts which were credited to his account. The receipt of such shares has been deferred until July 2002 pursuant to the Company's 1997 Deferred Stock Option Plan (the "Deferred Stock Option Plan"), resulting from the net exercise on February 12, 1999 of options to purchase 1,991,556 shares at an exercise price of $3.1111 per share and options to purchase 1,644,204 shares at an exercise price of $9.5625 per share, net of 75,446 shares withheld to satisfy certain tax obligations. The fair market value of such shares on such date was $34.3125 per share. The value ultimately realized with respect to such shares will be determined based upon the fair market value of such shares upon their issuance to Mr. Ralph J. Roberts. If such shares (and such withheld shares) had been issued to Mr. Ralph J. Roberts on the date of exercise, the aggregate value realized by him with respect to such exercises would have been $102,833,384.</w:t>
      </w:r>
    </w:p>
    <w:p>
      <w:pPr>
        <w:spacing w:after="0" w:line="112" w:lineRule="exact"/>
        <w:rPr>
          <w:rFonts w:ascii="Courier New" w:cs="Courier New" w:eastAsia="Courier New" w:hAnsi="Courier New"/>
          <w:sz w:val="18"/>
          <w:szCs w:val="18"/>
          <w:color w:val="auto"/>
        </w:rPr>
      </w:pPr>
    </w:p>
    <w:p>
      <w:pPr>
        <w:ind w:left="420" w:right="3580" w:hanging="412"/>
        <w:spacing w:after="0" w:line="347"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also note (7) under "Executive Compensation--Summary Compensation Table."</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1280"/>
          </w:cols>
          <w:pgMar w:left="240" w:top="691" w:right="379" w:bottom="388" w:gutter="0" w:footer="0" w:header="0"/>
        </w:sectPr>
      </w:pPr>
    </w:p>
    <w:bookmarkStart w:id="14" w:name="page15"/>
    <w:bookmarkEnd w:id="14"/>
    <w:p>
      <w:pPr>
        <w:ind w:left="420" w:right="1999" w:hanging="412"/>
        <w:spacing w:after="0" w:line="278" w:lineRule="auto"/>
        <w:tabs>
          <w:tab w:leader="none" w:pos="4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Brodsky realized the value shown above upon the exercise of options to purchase 18,459 shares of Class A Special Common Stock. In addition, 789,326 shares of Class A Special Common Stock to be issued to Mr. Brodsky were credited to his account. The receipt of such shares has been deferred until January 2003 pursuant to the Deferred Stock Option Plan, resulting from the net exercise on January 7, 1999 of options to purchase 554,472 shares at an exercise price of $3.1111 per share and the net exercise on February 23, 1999 of options to purchase 416,332 shares at an exercise price of $9.5625 per share, net of 22,034 shares withheld to satisfy certain tax obligations. The per share fair market value of such shares on January 7, 1999 was $31.50 and on February 23, 1999 was $38.0313. The value ultimately realized with respect to such shares will be determined based on the fair market value of such shares upon their issuance to Mr. Brodsky. If such shares (and such withheld shares) had been issued to Mr. Brodsky on the dates of exercise, the aggregate value realized by him with respect to such exercises would have been $27,593,322.</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Plans</w:t>
      </w:r>
    </w:p>
    <w:p>
      <w:pPr>
        <w:spacing w:after="0" w:line="201"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w:t>
      </w:r>
    </w:p>
    <w:p>
      <w:pPr>
        <w:spacing w:after="0" w:line="6" w:lineRule="exact"/>
        <w:rPr>
          <w:sz w:val="20"/>
          <w:szCs w:val="20"/>
          <w:color w:val="auto"/>
        </w:rPr>
      </w:pPr>
    </w:p>
    <w:p>
      <w:pPr>
        <w:ind w:right="1999" w:firstLine="8"/>
        <w:spacing w:after="0" w:line="248"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are each credited with 30 years of service, the maximum credited service allowed under the Plan) are the only current employees selected by the Board of Directors to participate in the Plan.</w:t>
      </w:r>
    </w:p>
    <w:p>
      <w:pPr>
        <w:spacing w:after="0" w:line="106"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The following table shows the annual single life annuity retirement benefit which Messrs. Ralph J. Roberts and Brodsky, respectively, would receive based on remuneration covered by, and years of service credited under, the Plan if he had retired on January 1, 2000 at age 65 (or older). The benefits shown below are subject to reduction for Social Security benefits.</w:t>
      </w:r>
    </w:p>
    <w:p>
      <w:pPr>
        <w:spacing w:after="0" w:line="60"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2840" w:type="dxa"/>
            <w:vAlign w:val="bottom"/>
          </w:tcPr>
          <w:p>
            <w:pPr>
              <w:spacing w:after="0"/>
              <w:rPr>
                <w:sz w:val="24"/>
                <w:szCs w:val="24"/>
                <w:color w:val="auto"/>
              </w:rPr>
            </w:pPr>
          </w:p>
        </w:tc>
        <w:tc>
          <w:tcPr>
            <w:tcW w:w="5280" w:type="dxa"/>
            <w:vAlign w:val="bottom"/>
          </w:tcPr>
          <w:p>
            <w:pPr>
              <w:jc w:val="right"/>
              <w:ind w:right="3292"/>
              <w:spacing w:after="0"/>
              <w:rPr>
                <w:sz w:val="20"/>
                <w:szCs w:val="20"/>
                <w:color w:val="auto"/>
              </w:rPr>
            </w:pPr>
            <w:r>
              <w:rPr>
                <w:rFonts w:ascii="Courier New" w:cs="Courier New" w:eastAsia="Courier New" w:hAnsi="Courier New"/>
                <w:sz w:val="18"/>
                <w:szCs w:val="18"/>
                <w:color w:val="auto"/>
                <w:w w:val="96"/>
              </w:rPr>
              <w:t>Pension Plan Table</w:t>
            </w:r>
          </w:p>
        </w:tc>
      </w:tr>
      <w:tr>
        <w:trPr>
          <w:trHeight w:val="717"/>
        </w:trPr>
        <w:tc>
          <w:tcPr>
            <w:tcW w:w="2840" w:type="dxa"/>
            <w:vAlign w:val="bottom"/>
          </w:tcPr>
          <w:p>
            <w:pPr>
              <w:jc w:val="right"/>
              <w:ind w:right="1195"/>
              <w:spacing w:after="0"/>
              <w:rPr>
                <w:sz w:val="20"/>
                <w:szCs w:val="20"/>
                <w:color w:val="auto"/>
              </w:rPr>
            </w:pPr>
            <w:r>
              <w:rPr>
                <w:rFonts w:ascii="Courier New" w:cs="Courier New" w:eastAsia="Courier New" w:hAnsi="Courier New"/>
                <w:sz w:val="18"/>
                <w:szCs w:val="18"/>
                <w:color w:val="auto"/>
              </w:rPr>
              <w:t>Final Average</w:t>
            </w:r>
          </w:p>
        </w:tc>
        <w:tc>
          <w:tcPr>
            <w:tcW w:w="5280" w:type="dxa"/>
            <w:vAlign w:val="bottom"/>
          </w:tcPr>
          <w:p>
            <w:pPr>
              <w:jc w:val="right"/>
              <w:spacing w:after="0"/>
              <w:rPr>
                <w:sz w:val="20"/>
                <w:szCs w:val="20"/>
                <w:color w:val="auto"/>
              </w:rPr>
            </w:pPr>
            <w:r>
              <w:rPr>
                <w:rFonts w:ascii="Courier New" w:cs="Courier New" w:eastAsia="Courier New" w:hAnsi="Courier New"/>
                <w:sz w:val="18"/>
                <w:szCs w:val="18"/>
                <w:color w:val="auto"/>
              </w:rPr>
              <w:t>Years of Service</w:t>
            </w:r>
          </w:p>
        </w:tc>
      </w:tr>
      <w:tr>
        <w:trPr>
          <w:trHeight w:val="203"/>
        </w:trPr>
        <w:tc>
          <w:tcPr>
            <w:tcW w:w="2840" w:type="dxa"/>
            <w:vAlign w:val="bottom"/>
          </w:tcPr>
          <w:p>
            <w:pPr>
              <w:jc w:val="right"/>
              <w:ind w:right="1195"/>
              <w:spacing w:after="0" w:line="203" w:lineRule="exact"/>
              <w:rPr>
                <w:sz w:val="20"/>
                <w:szCs w:val="20"/>
                <w:color w:val="auto"/>
              </w:rPr>
            </w:pPr>
            <w:r>
              <w:rPr>
                <w:rFonts w:ascii="Courier New" w:cs="Courier New" w:eastAsia="Courier New" w:hAnsi="Courier New"/>
                <w:sz w:val="18"/>
                <w:szCs w:val="18"/>
                <w:color w:val="auto"/>
                <w:w w:val="96"/>
              </w:rPr>
              <w:t>Compensation(1)</w:t>
            </w:r>
          </w:p>
        </w:tc>
        <w:tc>
          <w:tcPr>
            <w:tcW w:w="5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 or More(2)</w:t>
            </w:r>
          </w:p>
        </w:tc>
      </w:tr>
      <w:tr>
        <w:trPr>
          <w:trHeight w:val="296"/>
        </w:trPr>
        <w:tc>
          <w:tcPr>
            <w:tcW w:w="2840" w:type="dxa"/>
            <w:vAlign w:val="bottom"/>
          </w:tcPr>
          <w:p>
            <w:pPr>
              <w:jc w:val="right"/>
              <w:ind w:right="1195"/>
              <w:spacing w:after="0"/>
              <w:rPr>
                <w:sz w:val="20"/>
                <w:szCs w:val="20"/>
                <w:color w:val="auto"/>
              </w:rPr>
            </w:pPr>
            <w:r>
              <w:rPr>
                <w:rFonts w:ascii="Courier New" w:cs="Courier New" w:eastAsia="Courier New" w:hAnsi="Courier New"/>
                <w:sz w:val="18"/>
                <w:szCs w:val="18"/>
                <w:color w:val="auto"/>
                <w:w w:val="96"/>
              </w:rPr>
              <w:t>---------------</w:t>
            </w:r>
          </w:p>
        </w:tc>
        <w:tc>
          <w:tcPr>
            <w:tcW w:w="5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1"/>
              </w:rPr>
              <w:t>$  600,000..................................................</w:t>
            </w:r>
          </w:p>
        </w:tc>
        <w:tc>
          <w:tcPr>
            <w:tcW w:w="5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700,000..................................................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800,000..................................................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900,000..................................................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1,000,000..................................................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1,100,000..................................................</w:t>
            </w:r>
          </w:p>
        </w:tc>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660,000</w:t>
            </w:r>
          </w:p>
        </w:tc>
      </w:tr>
      <w:tr>
        <w:trPr>
          <w:trHeight w:val="296"/>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2"/>
              </w:rPr>
              <w:t>1,200,000..................................................</w:t>
            </w:r>
          </w:p>
        </w:tc>
        <w:tc>
          <w:tcPr>
            <w:tcW w:w="5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720,000</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099" w:hanging="412"/>
        <w:spacing w:after="0" w:line="246"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Average Compensation equals one-fifth of the total compensation for the five years preceding termination of employment.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 In the case of Mr. Ralph J. Roberts, Final Average Compensation may, under some circumstances, be increased as described in "Agreements with Executive Officers-- Compensation Agreement with the Chief Executive Officer--Election to Become a Consultant," below.</w:t>
      </w:r>
    </w:p>
    <w:p>
      <w:pPr>
        <w:spacing w:after="0" w:line="1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represents the maximum benefits payable under the Plan.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591" w:gutter="0" w:footer="0" w:header="0"/>
        </w:sectPr>
      </w:pPr>
    </w:p>
    <w:bookmarkStart w:id="15" w:name="page16"/>
    <w:bookmarkEnd w:id="15"/>
    <w:p>
      <w:pPr>
        <w:ind w:right="2199" w:firstLine="211"/>
        <w:spacing w:after="0" w:line="265" w:lineRule="auto"/>
        <w:rPr>
          <w:sz w:val="20"/>
          <w:szCs w:val="20"/>
          <w:color w:val="auto"/>
        </w:rPr>
      </w:pPr>
      <w:r>
        <w:rPr>
          <w:rFonts w:ascii="Courier New" w:cs="Courier New" w:eastAsia="Courier New" w:hAnsi="Courier New"/>
          <w:sz w:val="18"/>
          <w:szCs w:val="18"/>
          <w:color w:val="auto"/>
        </w:rPr>
        <w:t>The Company also has an agreement with Mr. Brodsky pursuant to which he is entitled to a $30,000 payment each year for 15 years commencing upon his termination of employment, subject to a vesting schedule. Any benefits received under this agreement reduce the benefits to which Mr. Brodsky is entitled under the Plan.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Cash Bonus Plan</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The Comcast Corporation 1996 Executive Cash Bonus Plan (the "Executive Cash Bonus Plan") provides for an annual cash bonus to be paid to eligible employees of the Company ("Participants") selected by the Subcommittee on Performance-Based Compensation of the Compensation Committee of the Board of Directors (the "Compensation Subcommittee") with respect to years from 1996 (beginning July 1, 1996) through 2003 (each a "Plan Year"). The purpose of the Executive Cash Bonus Plan is to provide performance-based cash bonus compensation in accordance with a formula that is based on the financial success of the Company as part of an integrated compensation program. The Executive Cash Bonus Plan is intended to satisfy the requirements in Section 162(m) of the Internal Revenue Code and regulations thereunder for "performance-based compensation" to employees subject to that provision, which compensation is deductible by the Company even if total compensation to an employee receiving it exceeds $1 million in any year.</w:t>
      </w:r>
    </w:p>
    <w:p>
      <w:pPr>
        <w:spacing w:after="0" w:line="113"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Eligibility. The Compensation Subcommittee has designated all of the Company's named executive officers and five additional employees, one of whom is an executive officer, as Participants in the Executive Cash Bonus Plan. The Executive Cash Bonus Plan also provides that the Compensation Subcommittee may from time to time designate other key executives to be included as Participants in the Executive Cash Bonus Plan. The Compensation Subcommittee expects that Participants in the Executive Cash Bonus Plan will be limited to employees whose compensation is or may be subject to Section 162(m).</w:t>
      </w:r>
    </w:p>
    <w:p>
      <w:pPr>
        <w:spacing w:after="0" w:line="77"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Bonus Entitlement. The maximum amount of the bonus payable under the Executive Cash Bonus Plan (the "Target Bonus") with respect to any Plan Year is (a) 150% of the sum of a Participant's base salary and any guaranteed bonus awarded by the Compensation Subcommittee to such Participant for such Plan Year, plus (b) the amount, if any, by which the Participant's bonus under the Executive Cash Bonus Plan in any prior Plan Year was less than the Target Bonus for such prior Plan Year(s). In no event, however, can a Participant's Target Bonus for any Plan Year exceed $3 million.</w:t>
      </w:r>
    </w:p>
    <w:p>
      <w:pPr>
        <w:spacing w:after="0" w:line="104"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The Executive Cash Bonus Plan requires that at the beginning of each Plan Year the Compensation Subcommittee establish two goals for the Company's Cash Flow (as defined in the Executive Cash Bonus Plan) for such Plan Year, a First Tier Goal and a Second Tier Goal (which shall be higher than the First Tier Goal). Each Participant in the Executive Cash Bonus Plan is entitled to a bonus with respect to a Plan Year which is equal to 66 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2/3% as is determined by prorating the difference between 66 2/3% and 100%. If the level of Cash Flow for a Plan Year is below the First Tier Goal established with respect to such Plan Year, no bonus is payable under the Executive Cash Bonus Plan for that Plan Year.</w:t>
      </w:r>
    </w:p>
    <w:p>
      <w:pPr>
        <w:spacing w:after="0" w:line="113" w:lineRule="exact"/>
        <w:rPr>
          <w:sz w:val="20"/>
          <w:szCs w:val="20"/>
          <w:color w:val="auto"/>
        </w:rPr>
      </w:pPr>
    </w:p>
    <w:p>
      <w:pPr>
        <w:ind w:right="1999" w:firstLine="211"/>
        <w:spacing w:after="0" w:line="306" w:lineRule="auto"/>
        <w:rPr>
          <w:sz w:val="20"/>
          <w:szCs w:val="20"/>
          <w:color w:val="auto"/>
        </w:rPr>
      </w:pPr>
      <w:r>
        <w:rPr>
          <w:rFonts w:ascii="Courier New" w:cs="Courier New" w:eastAsia="Courier New" w:hAnsi="Courier New"/>
          <w:sz w:val="16"/>
          <w:szCs w:val="16"/>
          <w:color w:val="auto"/>
        </w:rPr>
        <w:t>Each Participant shall be entitled to receive a bonus in accordance with the Executive Cash Bonus Plan only after certification by the Compensation Subcommittee that the performance goals have been satisfied. The bonus payment under the Executive Cash Bonus Plan is to be paid to each Participant as soon as practicable following the close of the applicable Plan Year.</w:t>
      </w:r>
    </w:p>
    <w:p>
      <w:pPr>
        <w:spacing w:after="0" w:line="26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6" w:name="page17"/>
    <w:bookmarkEnd w:id="16"/>
    <w:p>
      <w:pPr>
        <w:ind w:right="1999" w:firstLine="211"/>
        <w:spacing w:after="0" w:line="274" w:lineRule="auto"/>
        <w:rPr>
          <w:sz w:val="20"/>
          <w:szCs w:val="20"/>
          <w:color w:val="auto"/>
        </w:rPr>
      </w:pPr>
      <w:r>
        <w:rPr>
          <w:rFonts w:ascii="Courier New" w:cs="Courier New" w:eastAsia="Courier New" w:hAnsi="Courier New"/>
          <w:sz w:val="18"/>
          <w:szCs w:val="18"/>
          <w:color w:val="auto"/>
        </w:rPr>
        <w:t>The Compensation Subcommittee has discretion under the Executive Cash Bonus Plan to reduce or eliminate the bonus otherwise payable to a Participant if it determines that such a reduction or elimination of the bonus is in the best interests of the Company.</w:t>
      </w:r>
    </w:p>
    <w:p>
      <w:pPr>
        <w:spacing w:after="0" w:line="82" w:lineRule="exact"/>
        <w:rPr>
          <w:sz w:val="20"/>
          <w:szCs w:val="20"/>
          <w:color w:val="auto"/>
        </w:rPr>
      </w:pPr>
    </w:p>
    <w:p>
      <w:pPr>
        <w:ind w:right="2099" w:firstLine="211"/>
        <w:spacing w:after="0" w:line="291" w:lineRule="auto"/>
        <w:rPr>
          <w:sz w:val="20"/>
          <w:szCs w:val="20"/>
          <w:color w:val="auto"/>
        </w:rPr>
      </w:pPr>
      <w:r>
        <w:rPr>
          <w:rFonts w:ascii="Courier New" w:cs="Courier New" w:eastAsia="Courier New" w:hAnsi="Courier New"/>
          <w:sz w:val="16"/>
          <w:szCs w:val="16"/>
          <w:color w:val="auto"/>
        </w:rPr>
        <w:t>In the event any payment of a bonus otherwise payable under the Executive Cash Bonus Plan occurs more than two months after the close of the Plan Year, the amount of the bonus otherwise payable shall be increased by the amount such bonus payment would earn if it were invested in an investment bearing a 7% annual rate of return, compounded daily, or such other reasonable rate of interest as may be determined by the Compensation Subcommittee, during the period from the close of the Plan Year with respect to which such bonus is paid and the date the bonus is actually paid.</w:t>
      </w:r>
    </w:p>
    <w:p>
      <w:pPr>
        <w:spacing w:after="0" w:line="285" w:lineRule="exact"/>
        <w:rPr>
          <w:sz w:val="20"/>
          <w:szCs w:val="20"/>
          <w:color w:val="auto"/>
        </w:rPr>
      </w:pPr>
    </w:p>
    <w:p>
      <w:pPr>
        <w:ind w:right="1999" w:firstLine="211"/>
        <w:spacing w:after="0" w:line="278" w:lineRule="auto"/>
        <w:rPr>
          <w:sz w:val="20"/>
          <w:szCs w:val="20"/>
          <w:color w:val="auto"/>
        </w:rPr>
      </w:pPr>
      <w:r>
        <w:rPr>
          <w:rFonts w:ascii="Courier New" w:cs="Courier New" w:eastAsia="Courier New" w:hAnsi="Courier New"/>
          <w:sz w:val="16"/>
          <w:szCs w:val="16"/>
          <w:color w:val="auto"/>
        </w:rPr>
        <w:t>"Cash Flow" is defined in the Executive Cash Bonus Plan as the operating income before depreciation and amortization for the Company and those of its subsidiaries which are included with the Company in its consolidated financial statements as prepared by the Company in accordance with generally accepted accounting principles. In the event of a significant acquisition or disposition of any assets, business division, company or other business operations of the Company during a Plan Year that is reasonably expected to have an effect on Cash Flow as otherwise determined under the terms of the Executive Cash Bonus Plan, the Executive Cash Bonus Plan provides that the First Tier Goal and the Second Tier Goal shall be adjusted to take into account the impact of such acquisition or disposition so as to preserve the relationship between the Cash Flow goals for the Plan Year and the Company's performance in the prior comparable period, on a pro forma basis giving effect to the acquisition or disposition, as further adjusted to reflect any aspects of the transaction that should be taken into account to ensure comparability between amounts in the prior Plan Year and the current Plan Year.</w:t>
      </w:r>
    </w:p>
    <w:p>
      <w:pPr>
        <w:spacing w:after="0" w:line="295" w:lineRule="exact"/>
        <w:rPr>
          <w:sz w:val="20"/>
          <w:szCs w:val="20"/>
          <w:color w:val="auto"/>
        </w:rPr>
      </w:pPr>
    </w:p>
    <w:p>
      <w:pPr>
        <w:ind w:right="2839" w:firstLine="211"/>
        <w:spacing w:after="0" w:line="347" w:lineRule="auto"/>
        <w:rPr>
          <w:sz w:val="20"/>
          <w:szCs w:val="20"/>
          <w:color w:val="auto"/>
        </w:rPr>
      </w:pPr>
      <w:r>
        <w:rPr>
          <w:rFonts w:ascii="Courier New" w:cs="Courier New" w:eastAsia="Courier New" w:hAnsi="Courier New"/>
          <w:sz w:val="18"/>
          <w:szCs w:val="18"/>
          <w:color w:val="auto"/>
        </w:rPr>
        <w:t>Administration. The Executive Cash Bonus Plan is administered by the Compensation Subcommittee.</w:t>
      </w:r>
    </w:p>
    <w:p>
      <w:pPr>
        <w:spacing w:after="0" w:line="18"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Amendment and Termination of the Plan. The Executive Cash Bonus Plan may be terminated or revoked by the Company at any time and amended by the Company from time to time, provided that neither the termination, revocation or amendment of the Executive Cash Bonus Plan may, without the written approval of the Participant, reduce the amount of a bonus payment that is due, but has not yet been paid, and provided further that no changes that would increase the amount of bonuses determined under provisions of the Executive Cash Bonus Plan shall be effective without approval by the Compensation Subcommittee and without disclosure to and approval by the shareholders of the Company in a separate vote prior to payment of such bonuses. In addition, the Executive Cash Bonus Plan may be modified or amended by the Compensation Subcommittee, as it deems appropriate, in order to comply with any rules, regulations or other guidance promulgated by the Internal Revenue Service with respect to applicable provisions of the Internal Revenue Code as they relate to the exemption for "performance-based compensation" under Section 162(m).</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Executive Officers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the Chief Executive Officer</w:t>
      </w:r>
    </w:p>
    <w:p>
      <w:pPr>
        <w:spacing w:after="0" w:line="201"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A Compensation and Deferred Compensation Agreement and Stock Appreciation Bonus Plan with the Chief Executive Officer (the "1993 Compensation Agreement") was approved by the Company's shareholders on June 22, 1994. Certain terms of the 1993 Compensation Agreement expired on December 31, 1997, and on December 16, 1997 the Company and the Chief Executive Officer entered into a new Compensation and Deferred Compensation Agreement. This agreement was amended and restated effective August 31, 1998, and then amended again effective August 19, 1999 (as so amended, the "1998 Compensation Agreement"). The 1998 Compensation Agreement generally extends the terms of the 1993 Compensation Agreement with certain modifications.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7" w:name="page18"/>
    <w:bookmarkEnd w:id="17"/>
    <w:p>
      <w:pPr>
        <w:ind w:right="1999" w:firstLine="211"/>
        <w:spacing w:after="0" w:line="247" w:lineRule="auto"/>
        <w:rPr>
          <w:sz w:val="20"/>
          <w:szCs w:val="20"/>
          <w:color w:val="auto"/>
        </w:rPr>
      </w:pPr>
      <w:r>
        <w:rPr>
          <w:rFonts w:ascii="Courier New" w:cs="Courier New" w:eastAsia="Courier New" w:hAnsi="Courier New"/>
          <w:sz w:val="18"/>
          <w:szCs w:val="18"/>
          <w:color w:val="auto"/>
        </w:rPr>
        <w:t>The 1998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 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1998 Compensation Agreement, the Chief Executive Officer will perform such reasonable ceremonial functions as the Company may request, and will promote the interests and goodwill of the Company in such manner as the Company may reasonably request.</w:t>
      </w:r>
    </w:p>
    <w:p>
      <w:pPr>
        <w:spacing w:after="0" w:line="108"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Base Salary. The 1998 Compensation Agreement provides that the Chief Executive Officer will receive an annual base salary of $1 million beginning in 1998, as adjusted (but never reduced, except 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w:t>
      </w:r>
    </w:p>
    <w:p>
      <w:pPr>
        <w:spacing w:after="0" w:line="104"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Bonus. The 1998 Compensation Agreement provides that so long as he continues to serve as an executive of the Company the Chief Executive Officer will be eligible to receive annual bonuses of up to 50% of his base salary in accordance with the Company's Executive Cash Bonus Plan, based on performance targets established by the Compensation Subcommittee.</w:t>
      </w:r>
    </w:p>
    <w:p>
      <w:pPr>
        <w:spacing w:after="0" w:line="90"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Split-Dollar Life Insurance. The 1998 Compensation Agreement requires the Company to continue to provide and to maintain the split-dollar life insurance provided to the Chief Executive Officer under the 1993 Compensation Agreement, and in addition to provide additional survivorship split-dollar life insurance to the Chief Executive Officer and his spouse. Such split-dollar life insurance includes certain split-dollar life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on Executive Compensation of the Compensation Committee's Subcommittee on Performance-Based Compensation." Under the split-dollar life insurance arrangements, the Company pays a portion of the annual premiums for certain single-life and joint-and-survivor life insurance policies for the Chief Executive Officer, and upon payment of the policies at the death of the Chief Executive Officer or of the survivor of the Chief Executive Officer and his spouse, as applicable,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also pays the Chief Executive Officer an annual cash bonus in an amount equal to the portion of the annual premium for such life insurance that he is required to pay; in addition, the Company increases the bonus by an amount sufficient to pay any income tax or gift tax liability incurred in connection with payment of the bonus.</w:t>
      </w:r>
    </w:p>
    <w:p>
      <w:pPr>
        <w:spacing w:after="0" w:line="200" w:lineRule="exact"/>
        <w:rPr>
          <w:sz w:val="20"/>
          <w:szCs w:val="20"/>
          <w:color w:val="auto"/>
        </w:rPr>
      </w:pPr>
    </w:p>
    <w:p>
      <w:pPr>
        <w:spacing w:after="0" w:line="303"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Supplemental Death Benefit. Upon the death of the Chief Executive Officer, the 1998 Compensation Agreement requires the Company to pay a supplemental death benefit (the "Death Benefit") to the personal representatives of the Chief Executive Officer. The amount of the Death Benefit shall initially be $31.2 million. Under the terms of the 1998 Compensation Agreement, the Chief Executive Officer may request that the Company invest portions of the Death Benefit in certain investments identified by the Chief Executive Officer. Should the Company choose to comply with the Chief Executive Officer's request, the amount of the Death Benefit will be adjusted to reflect the increase or decrease in value of any such investments. The 1998 Compensation Agreement substituted the Death Benefit for two bonus arrangements included in the 1993 Compensation Agreement that</w:t>
      </w:r>
    </w:p>
    <w:p>
      <w:pPr>
        <w:spacing w:after="0" w:line="1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18" w:name="page19"/>
    <w:bookmarkEnd w:id="18"/>
    <w:p>
      <w:pPr>
        <w:ind w:right="1999"/>
        <w:spacing w:after="0" w:line="256" w:lineRule="auto"/>
        <w:rPr>
          <w:sz w:val="20"/>
          <w:szCs w:val="20"/>
          <w:color w:val="auto"/>
        </w:rPr>
      </w:pPr>
      <w:r>
        <w:rPr>
          <w:rFonts w:ascii="Courier New" w:cs="Courier New" w:eastAsia="Courier New" w:hAnsi="Courier New"/>
          <w:sz w:val="18"/>
          <w:szCs w:val="18"/>
          <w:color w:val="auto"/>
        </w:rPr>
        <w:t>were based on appreciation of the Company's Class A Common Stock from the date of grant of options to purchase Class B Common Stock to the date of exercise. The Compensation Subcommittee determined that the after-tax present value cost to the Company of the Death Benefit was approximately equal to the cost of the bonuses that would otherwise have been paid. The Company must pay the Death Benefit within six months from the date of the Chief Executive Officer's death.</w:t>
      </w:r>
    </w:p>
    <w:p>
      <w:pPr>
        <w:spacing w:after="0" w:line="98"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Termination. The 1998 Compensation Agreement will terminate upon the Chief Executive Officer's death, at the Company's option upon his disability, or for cause (as such terms are defined in 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the Benefit Plans (as such terms are defined in the 1998 Compensation Agreement) and the Death Benefit will continue to be payable.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113" w:lineRule="exact"/>
        <w:rPr>
          <w:sz w:val="20"/>
          <w:szCs w:val="20"/>
          <w:color w:val="auto"/>
        </w:rPr>
      </w:pPr>
    </w:p>
    <w:p>
      <w:pPr>
        <w:ind w:right="2099" w:firstLine="211"/>
        <w:spacing w:after="0" w:line="250" w:lineRule="auto"/>
        <w:rPr>
          <w:sz w:val="20"/>
          <w:szCs w:val="20"/>
          <w:color w:val="auto"/>
        </w:rPr>
      </w:pPr>
      <w:r>
        <w:rPr>
          <w:rFonts w:ascii="Courier New" w:cs="Courier New" w:eastAsia="Courier New" w:hAnsi="Courier New"/>
          <w:sz w:val="18"/>
          <w:szCs w:val="18"/>
          <w:color w:val="auto"/>
        </w:rPr>
        <w:t>Noncompetition and Confidentiality. Under the 1998 Compensation Agreement, the Chief Executive Officer agrees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the Chief Executive Officer.</w:t>
      </w:r>
    </w:p>
    <w:p>
      <w:pPr>
        <w:spacing w:after="0" w:line="104"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the Chief Executive Officer and members of his family or trusts for their benefit acquire voting power over more than 50% of the voting stock of the Company.</w:t>
      </w:r>
    </w:p>
    <w:p>
      <w:pPr>
        <w:spacing w:after="0" w:line="108"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Election to Become a Consultant. The Chief Executive Officer may at any time, upon 30 days notice to the Company, elect to change his position from that of an executive to that of consultant to the Company. In such event, he shall continue to receive all of the compensation provided under the 1998 Compensation Agreement, other than the bonus under the Executive Cash Bonus Plan. If he elects to become a consultant, the Chief Executive Officer's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1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Mr. Brian L. Roberts</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The Company entered into a Compensation Agreement (the "Compensation Agreement") with Brian L. Roberts, the Company's President. The following is a description of the material terms of the Compensation Agreement.</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19" w:name="page20"/>
    <w:bookmarkEnd w:id="19"/>
    <w:p>
      <w:pPr>
        <w:jc w:val="both"/>
        <w:ind w:right="2199" w:firstLine="211"/>
        <w:spacing w:after="0" w:line="292" w:lineRule="auto"/>
        <w:rPr>
          <w:sz w:val="20"/>
          <w:szCs w:val="20"/>
          <w:color w:val="auto"/>
        </w:rPr>
      </w:pPr>
      <w:r>
        <w:rPr>
          <w:rFonts w:ascii="Courier New" w:cs="Courier New" w:eastAsia="Courier New" w:hAnsi="Courier New"/>
          <w:sz w:val="18"/>
          <w:szCs w:val="18"/>
          <w:color w:val="auto"/>
        </w:rPr>
        <w:t>Term. The term of the Compensation Agreement is from June 16, 1998 through June 30, 2003 (the "Employment Period"). Mr. Brian L. Roberts agrees to work full time for the Company during the Employment Period.</w:t>
      </w:r>
    </w:p>
    <w:p>
      <w:pPr>
        <w:spacing w:after="0" w:line="66"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Base Salary. The Compensation Agreement provides that Mr. Brian L. Roberts will receive an annual base salary of $1 million beginning in 1998, as adjusted (but never reduced, except pursuant to an overall plan to reduce the compensation of all senior executive officers of the Company) from time to time to reflect his contribution to the growth and success of the Company.</w:t>
      </w:r>
    </w:p>
    <w:p>
      <w:pPr>
        <w:spacing w:after="0" w:line="60"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Bonus; Options. Pursuant to the Compensation Agreement, Mr. Brian L. Roberts is eligible to receive an annual performance bonus, payable in cash, commencing in 1999, of up to 150% of his base salary for the applicable year. The amount of the bonus is determined annually by the Compensation Subcommittee, in accordance with, and upon satisfaction of, the standards contained in the Company's Executive Cash Bonus Plan. The Compensation Agreement also provides that Mr. Brian L. Roberts is to receive grants of options to purchase 3,000,000 shares of the Class A Special Common Stock of the Company granted effective June 16, 1998 and options to purchase 1,000,000 shares of the Class A Special Common Stock of the Company granted or to be granted effective the second business day of each fiscal quarter in 1999 and 2000, or such earlier date as the Compensation Subcommittee may determine in its sole discretion.</w:t>
      </w:r>
    </w:p>
    <w:p>
      <w:pPr>
        <w:spacing w:after="0" w:line="108" w:lineRule="exact"/>
        <w:rPr>
          <w:sz w:val="20"/>
          <w:szCs w:val="20"/>
          <w:color w:val="auto"/>
        </w:rPr>
      </w:pPr>
    </w:p>
    <w:p>
      <w:pPr>
        <w:ind w:right="2099" w:firstLine="211"/>
        <w:spacing w:after="0" w:line="298" w:lineRule="auto"/>
        <w:rPr>
          <w:sz w:val="20"/>
          <w:szCs w:val="20"/>
          <w:color w:val="auto"/>
        </w:rPr>
      </w:pPr>
      <w:r>
        <w:rPr>
          <w:rFonts w:ascii="Courier New" w:cs="Courier New" w:eastAsia="Courier New" w:hAnsi="Courier New"/>
          <w:sz w:val="16"/>
          <w:szCs w:val="16"/>
          <w:color w:val="auto"/>
        </w:rPr>
        <w:t>Deferred Compensation. The Compensation Agreement provides that the Company and Mr. Brian L. Roberts may, by written agreement prior to the end of any calendar year during the Employment Period, cause the payment of all or a portion of the compensation payable to Mr. Brian L. Roberts in the subsequent calendar year to be deferred to a subsequent calendar year in accordance with and subject to the Company's 1996 Deferred Compensation Plan.</w:t>
      </w:r>
    </w:p>
    <w:p>
      <w:pPr>
        <w:spacing w:after="0" w:line="68"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Termination. The Compensation Agreement will terminate upon the death of Mr. Brian L. Roberts,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as provided for in the Compensation Agreement and any applicable health plan benefits will continue to be payable. If his employment is terminated by the Company in violation of the Compensation Agreement, he shall remain entitled to substantially all of the benefits under the Compensation Agreement.</w:t>
      </w:r>
    </w:p>
    <w:p>
      <w:pPr>
        <w:spacing w:after="0" w:line="105" w:lineRule="exact"/>
        <w:rPr>
          <w:sz w:val="20"/>
          <w:szCs w:val="20"/>
          <w:color w:val="auto"/>
        </w:rPr>
      </w:pPr>
    </w:p>
    <w:p>
      <w:pPr>
        <w:ind w:right="2199" w:firstLine="211"/>
        <w:spacing w:after="0" w:line="250" w:lineRule="auto"/>
        <w:rPr>
          <w:sz w:val="20"/>
          <w:szCs w:val="20"/>
          <w:color w:val="auto"/>
        </w:rPr>
      </w:pPr>
      <w:r>
        <w:rPr>
          <w:rFonts w:ascii="Courier New" w:cs="Courier New" w:eastAsia="Courier New" w:hAnsi="Courier New"/>
          <w:sz w:val="18"/>
          <w:szCs w:val="18"/>
          <w:color w:val="auto"/>
        </w:rPr>
        <w:t>Noncompetition and Confidentiality. Under the Compensation Agreement, Mr. Brian L. Roberts agrees not to compete with the Company during his employment and for two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by Brian L. Roberts of any of such obligations constitutes cause for termination of the Compensation Agreement, and terminates the Company's obligations for payments subsequent to such termination.</w:t>
      </w:r>
    </w:p>
    <w:p>
      <w:pPr>
        <w:spacing w:after="0" w:line="104"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and term life insurance premiums and bonuses for Mr. Brian L. Roberts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Mr. Brian L. Roberts and members of his immediate family or trusts for their benefit acquire voting power over more than 50% of the voting stock of the Company.</w:t>
      </w:r>
    </w:p>
    <w:p>
      <w:pPr>
        <w:spacing w:after="0" w:line="1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Term Life Insurance Agreement with Mr. Brian L. Roberts</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Company has entered into a Term Life Insurance Premium and Tax Bonus Agreement dated as of September 23, 1998 (the "Term Life Insurance Agreement") with Mr. Brian L. Roberts, the Company's President. The Term Life Insurance Agreement provides that, as additional compensation to Mr. Brian L. Roberts, the Company will reimburse him for all of the premiums on certain specified 20- and 15-year level-premium term life insurance policies aggregating $170 million in insurance on his life, and that the Company will pay him an additional bonus equal to the income tax payable on such reimbursement and the bonus. The annual amount of the premiums to be reimbursed under the Term Life Insurance Agreement is approximately $189,000 through 2012 and $177,000 from 2013-2017.</w:t>
      </w:r>
    </w:p>
    <w:p>
      <w:pPr>
        <w:spacing w:after="0" w:line="104"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The Term Life Insurance Agreement provides that prior to any "Change of Control" (as defined below), the Company must establish a grantor trust, the amounts in which will be subject to claims of the Company's creditors in the case of the Company's bankruptcy, for the purpose of paying all premium reimbursements and tax bonuses for the remaining life of the policies subject to the Term Life Insurance Agreement. Upon the occurrence of a Change of Control, such trust must become irrevocable (if not already irrevocable), and the Company must make payments into such trust in an amount equal to the full amount required to be paid during the remaining term of the insurance policies. A "Change of Control" is defined as occurring when persons other than Mr. Brian L. Roberts and members of his family or trusts for their benefit acquire voting power over more than 50% of the voting stock of the Company. The Term Life Insurance Agreement does not terminate upon termination of the employment of Mr. Brian L. Roberts by the Company.</w:t>
      </w:r>
    </w:p>
    <w:p>
      <w:pPr>
        <w:spacing w:after="0" w:line="29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Employment Agreements with Messrs. Smith and Alchin</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Company has entered into employment agreements with two other named executive officers of the Company: Lawrence S. Smith, the Company's Executive Vice President, and John R. Alchin, the Company's Executive Vice President and Treasurer. The following is a description of the material terms of such agreements.</w:t>
      </w:r>
    </w:p>
    <w:p>
      <w:pPr>
        <w:spacing w:after="0" w:line="90" w:lineRule="exact"/>
        <w:rPr>
          <w:sz w:val="20"/>
          <w:szCs w:val="20"/>
          <w:color w:val="auto"/>
        </w:rPr>
      </w:pPr>
    </w:p>
    <w:p>
      <w:pPr>
        <w:ind w:right="2099" w:firstLine="211"/>
        <w:spacing w:after="0" w:line="344" w:lineRule="auto"/>
        <w:rPr>
          <w:sz w:val="20"/>
          <w:szCs w:val="20"/>
          <w:color w:val="auto"/>
        </w:rPr>
      </w:pPr>
      <w:r>
        <w:rPr>
          <w:rFonts w:ascii="Courier New" w:cs="Courier New" w:eastAsia="Courier New" w:hAnsi="Courier New"/>
          <w:sz w:val="16"/>
          <w:szCs w:val="16"/>
          <w:color w:val="auto"/>
        </w:rPr>
        <w:t>The term of such agreements is from January 1, 1995 through December 31, 2000 (the "Executive Employment Period"). Mr. Smith and Mr. Alchin each agree to work full time for the Company during the Executive Employment Period.</w:t>
      </w:r>
    </w:p>
    <w:p>
      <w:pPr>
        <w:spacing w:after="0" w:line="31" w:lineRule="exact"/>
        <w:rPr>
          <w:sz w:val="20"/>
          <w:szCs w:val="20"/>
          <w:color w:val="auto"/>
        </w:rPr>
      </w:pPr>
    </w:p>
    <w:p>
      <w:pPr>
        <w:ind w:right="1999" w:firstLine="211"/>
        <w:spacing w:after="0" w:line="306" w:lineRule="auto"/>
        <w:rPr>
          <w:sz w:val="20"/>
          <w:szCs w:val="20"/>
          <w:color w:val="auto"/>
        </w:rPr>
      </w:pPr>
      <w:r>
        <w:rPr>
          <w:rFonts w:ascii="Courier New" w:cs="Courier New" w:eastAsia="Courier New" w:hAnsi="Courier New"/>
          <w:sz w:val="16"/>
          <w:szCs w:val="16"/>
          <w:color w:val="auto"/>
        </w:rPr>
        <w:t>The agreement with Mr. Smith provides for a base salary of $600,000 in 1995, and the agreement with Mr. Alchin provides for a base salary of $500,000 in 1995. In each case, for each year in the Executive Employment Period subsequent to 1995 the base salary is increased by the greater of 5% or the percentage increase during the previous year in the consumer price index.</w:t>
      </w:r>
    </w:p>
    <w:p>
      <w:pPr>
        <w:spacing w:after="0" w:line="60"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Pursuant to the agreements, each of the executives is eligible to receive an annual performance bonus, commencing in 1996, of up to 50% of his base salary for the applicable year. The amount of the bonus is determined annually by the Compensation Subcommittee, based on the performance of the Company and of the executive during such year, and is payable in cash or in shares of Class A Special Common Stock of the Company, at the discretion of the Compensation Subcommittee.</w:t>
      </w:r>
    </w:p>
    <w:p>
      <w:pPr>
        <w:spacing w:after="0" w:line="98" w:lineRule="exact"/>
        <w:rPr>
          <w:sz w:val="20"/>
          <w:szCs w:val="20"/>
          <w:color w:val="auto"/>
        </w:rPr>
      </w:pPr>
    </w:p>
    <w:p>
      <w:pPr>
        <w:ind w:right="2099" w:firstLine="211"/>
        <w:spacing w:after="0" w:line="249" w:lineRule="auto"/>
        <w:rPr>
          <w:sz w:val="20"/>
          <w:szCs w:val="20"/>
          <w:color w:val="auto"/>
        </w:rPr>
      </w:pPr>
      <w:r>
        <w:rPr>
          <w:rFonts w:ascii="Courier New" w:cs="Courier New" w:eastAsia="Courier New" w:hAnsi="Courier New"/>
          <w:sz w:val="18"/>
          <w:szCs w:val="18"/>
          <w:color w:val="auto"/>
        </w:rPr>
        <w:t>Each agreement provides that the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Company's 1996 Deferred Compensation Plan.</w:t>
      </w: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440" w:gutter="0" w:footer="0" w:header="0"/>
        </w:sectPr>
      </w:pPr>
    </w:p>
    <w:bookmarkStart w:id="21" w:name="page22"/>
    <w:bookmarkEnd w:id="21"/>
    <w:p>
      <w:pPr>
        <w:ind w:right="1999" w:firstLine="211"/>
        <w:spacing w:after="0" w:line="252" w:lineRule="auto"/>
        <w:rPr>
          <w:sz w:val="20"/>
          <w:szCs w:val="20"/>
          <w:color w:val="auto"/>
        </w:rPr>
      </w:pPr>
      <w:r>
        <w:rPr>
          <w:rFonts w:ascii="Courier New" w:cs="Courier New" w:eastAsia="Courier New" w:hAnsi="Courier New"/>
          <w:sz w:val="18"/>
          <w:szCs w:val="18"/>
          <w:color w:val="auto"/>
        </w:rPr>
        <w:t>Under each of the agreements, the executive agrees not to compete with the Company during his employment and for two years after termination of his employment. The agreements also require each executive to maintain the confidentiality of certain information of the Company, and not to use such information, except for the benefit of the Company, at all times during his employment and after termination of his employment. Breach by the executive of any of such obligations constitutes cause for termination of the applicable agreement, and terminates the Company's obligations for payments subsequent to any discharge of the executive.</w:t>
      </w:r>
    </w:p>
    <w:p>
      <w:pPr>
        <w:spacing w:after="0" w:line="99"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Each of the agreements provides that it shall continue in effect upon the merger of the Company into another entity, or in similar events.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Performance Graph</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The following graph compares the yearly percentage change in the cumulative total shareholder return on each of the Company's Class A Common Stock and Class A Special Common Stock during the five years ended December 31, 1999 with the cumulative total return on the Standard &amp; Poor's 500 Stock Index and with a selected peer group consisting of the Company and three other companies engaged in the cable communications industry: Cablevision Systems Corporation (Class A); Adelphia Communications Corporation ("Adelphia") and Cox Communications, Inc. ("Cox"). This peer group (the "Current Peer Group") represents a change from the peer group used for comparison by the Company in prior years (the "Prior Peer Group"). The Prior Peer Group included Jones Intercable, Inc. ("Jones Intercable"), Time Warner, Inc. ("Time Warner"), TCA Cable TV, Inc. ("TCA") and TCI Communications, Inc. ("TCI"), and did not include Adelphia or Cox. Jones Intercable was omitted from the Current Peer Group because of its acquisition by the Company, Time Warner was omitted from the Current Peer Group because of its pending acquisition by America Online, Inc., TCA was omitted from the Current Peer Group because of its acquisition by Cox and TCI was omitted from the Current Peer Group because of its acquisition by AT&amp;T Corp. Adelphia and Cox were added to the Current Peer Group because of the Company's belief that Adelphia and Cox are in a line of business similar to that of the Company and that a comparison of the performance of the Company's Class A Common Stock and Class A Special Common Stock against the performance of the common stock of Adelphia and Cox is a meaningful comparison that would be helpful to a person making an investment decision with respect to the Company's Class A Common Stock or Class A Special Common Stock. The comparison assumes $100 was invested on December 31, 1994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2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22" w:name="page23"/>
    <w:bookmarkEnd w:id="22"/>
    <w:p>
      <w:pPr>
        <w:ind w:left="1700"/>
        <w:spacing w:after="0"/>
        <w:rPr>
          <w:sz w:val="20"/>
          <w:szCs w:val="20"/>
          <w:color w:val="auto"/>
        </w:rPr>
      </w:pPr>
      <w:r>
        <w:rPr>
          <w:rFonts w:ascii="Courier New" w:cs="Courier New" w:eastAsia="Courier New" w:hAnsi="Courier New"/>
          <w:sz w:val="18"/>
          <w:szCs w:val="18"/>
          <w:color w:val="auto"/>
        </w:rPr>
        <w:t>COMPARISON OF FIVE YEAR CUMULATIVE TOTAL RETURN</w:t>
      </w:r>
    </w:p>
    <w:p>
      <w:pPr>
        <w:spacing w:after="0" w:line="31"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[Graph Appears Here]</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85"/>
        </w:trPr>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20" w:type="dxa"/>
            <w:vAlign w:val="bottom"/>
          </w:tcPr>
          <w:p>
            <w:pPr>
              <w:ind w:left="2840"/>
              <w:spacing w:after="0"/>
              <w:rPr>
                <w:sz w:val="20"/>
                <w:szCs w:val="20"/>
                <w:color w:val="auto"/>
              </w:rPr>
            </w:pPr>
            <w:r>
              <w:rPr>
                <w:rFonts w:ascii="Courier New" w:cs="Courier New" w:eastAsia="Courier New" w:hAnsi="Courier New"/>
                <w:sz w:val="18"/>
                <w:szCs w:val="18"/>
                <w:color w:val="auto"/>
              </w:rPr>
              <w:t>1995</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1998</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1999</w:t>
            </w:r>
          </w:p>
        </w:tc>
      </w:tr>
      <w:tr>
        <w:trPr>
          <w:trHeight w:val="296"/>
        </w:trPr>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20" w:type="dxa"/>
            <w:vAlign w:val="bottom"/>
          </w:tcPr>
          <w:p>
            <w:pPr>
              <w:ind w:left="2840"/>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w:t>
            </w: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1940" w:type="dxa"/>
            <w:vAlign w:val="bottom"/>
          </w:tcPr>
          <w:p>
            <w:pPr>
              <w:ind w:left="40"/>
              <w:spacing w:after="0"/>
              <w:rPr>
                <w:sz w:val="20"/>
                <w:szCs w:val="20"/>
                <w:color w:val="auto"/>
              </w:rPr>
            </w:pPr>
            <w:r>
              <w:rPr>
                <w:rFonts w:ascii="Courier New" w:cs="Courier New" w:eastAsia="Courier New" w:hAnsi="Courier New"/>
                <w:sz w:val="10"/>
                <w:szCs w:val="10"/>
                <w:color w:val="auto"/>
                <w:w w:val="71"/>
              </w:rPr>
              <w:t>Class A.....................................</w:t>
            </w:r>
          </w:p>
        </w:tc>
        <w:tc>
          <w:tcPr>
            <w:tcW w:w="3320" w:type="dxa"/>
            <w:vAlign w:val="bottom"/>
          </w:tcPr>
          <w:p>
            <w:pPr>
              <w:ind w:left="2840"/>
              <w:spacing w:after="0"/>
              <w:rPr>
                <w:sz w:val="20"/>
                <w:szCs w:val="20"/>
                <w:color w:val="auto"/>
              </w:rPr>
            </w:pPr>
            <w:r>
              <w:rPr>
                <w:rFonts w:ascii="Courier New" w:cs="Courier New" w:eastAsia="Courier New" w:hAnsi="Courier New"/>
                <w:sz w:val="18"/>
                <w:szCs w:val="18"/>
                <w:color w:val="auto"/>
              </w:rPr>
              <w:t>115</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116</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210</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380</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634</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1940" w:type="dxa"/>
            <w:vAlign w:val="bottom"/>
          </w:tcPr>
          <w:p>
            <w:pPr>
              <w:ind w:left="40"/>
              <w:spacing w:after="0"/>
              <w:rPr>
                <w:sz w:val="20"/>
                <w:szCs w:val="20"/>
                <w:color w:val="auto"/>
              </w:rPr>
            </w:pPr>
            <w:r>
              <w:rPr>
                <w:rFonts w:ascii="Courier New" w:cs="Courier New" w:eastAsia="Courier New" w:hAnsi="Courier New"/>
                <w:sz w:val="10"/>
                <w:szCs w:val="10"/>
                <w:color w:val="auto"/>
                <w:w w:val="71"/>
              </w:rPr>
              <w:t>Class A Special.............................</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117</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115</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204</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381</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656</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0"/>
                <w:szCs w:val="10"/>
                <w:color w:val="auto"/>
                <w:w w:val="71"/>
              </w:rPr>
              <w:t>Peer Group Index............................</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114</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219</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399</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637</w:t>
            </w:r>
          </w:p>
        </w:tc>
      </w:tr>
      <w:tr>
        <w:trPr>
          <w:trHeight w:val="203"/>
        </w:trPr>
        <w:tc>
          <w:tcPr>
            <w:tcW w:w="2740" w:type="dxa"/>
            <w:vAlign w:val="bottom"/>
            <w:gridSpan w:val="2"/>
          </w:tcPr>
          <w:p>
            <w:pPr>
              <w:spacing w:after="0"/>
              <w:rPr>
                <w:sz w:val="20"/>
                <w:szCs w:val="20"/>
                <w:color w:val="auto"/>
              </w:rPr>
            </w:pPr>
            <w:r>
              <w:rPr>
                <w:rFonts w:ascii="Courier New" w:cs="Courier New" w:eastAsia="Courier New" w:hAnsi="Courier New"/>
                <w:sz w:val="12"/>
                <w:szCs w:val="12"/>
                <w:color w:val="auto"/>
                <w:w w:val="72"/>
              </w:rPr>
              <w:t>Prior Peer Group Index..............................</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110</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108</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185</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366</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480</w:t>
            </w: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S&amp;P 500</w:t>
            </w:r>
          </w:p>
        </w:tc>
        <w:tc>
          <w:tcPr>
            <w:tcW w:w="1940" w:type="dxa"/>
            <w:vAlign w:val="bottom"/>
          </w:tcPr>
          <w:p>
            <w:pPr>
              <w:ind w:left="40"/>
              <w:spacing w:after="0"/>
              <w:rPr>
                <w:sz w:val="20"/>
                <w:szCs w:val="20"/>
                <w:color w:val="auto"/>
              </w:rPr>
            </w:pPr>
            <w:r>
              <w:rPr>
                <w:rFonts w:ascii="Courier New" w:cs="Courier New" w:eastAsia="Courier New" w:hAnsi="Courier New"/>
                <w:sz w:val="10"/>
                <w:szCs w:val="10"/>
                <w:color w:val="auto"/>
                <w:w w:val="71"/>
              </w:rPr>
              <w:t>Stock Index.................................</w:t>
            </w:r>
          </w:p>
        </w:tc>
        <w:tc>
          <w:tcPr>
            <w:tcW w:w="3320" w:type="dxa"/>
            <w:vAlign w:val="bottom"/>
          </w:tcPr>
          <w:p>
            <w:pPr>
              <w:ind w:left="2840"/>
              <w:spacing w:after="0"/>
              <w:rPr>
                <w:sz w:val="20"/>
                <w:szCs w:val="20"/>
                <w:color w:val="auto"/>
              </w:rPr>
            </w:pPr>
            <w:r>
              <w:rPr>
                <w:rFonts w:ascii="Courier New" w:cs="Courier New" w:eastAsia="Courier New" w:hAnsi="Courier New"/>
                <w:sz w:val="18"/>
                <w:szCs w:val="18"/>
                <w:color w:val="auto"/>
              </w:rPr>
              <w:t>138</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169</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226</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290</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351</w:t>
            </w:r>
          </w:p>
        </w:tc>
      </w:tr>
    </w:tbl>
    <w:p>
      <w:pPr>
        <w:spacing w:after="0" w:line="31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Report on Executive Compensation of the Compensation Committee's Subcommittee on Performance-Based Compensation</w:t>
      </w:r>
    </w:p>
    <w:p>
      <w:pPr>
        <w:spacing w:after="0" w:line="18"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Compensation Policy. The Compensation Committee (the "Committee") is responsible for making recommendations to the Board of Directors on executive compensation. In 1999, the Committee deferred to its Subcommittee on Performance-Based Compensation (the "Compensation Subcommittee") on virtually all compensation decisions for the Company's executive officers in light of the Compensation Subcommittee's designated responsibility for establishing performance-based criteria and goals for compensation to senior executives and for administering the Company's 1987 Stock Option Plan, the 1996 Stock Option Plan, the 1990 Restricted Stock Plan, the Executive Cash Bonus Plan and other bonus plans, and for approval of agreements with the Chief Executive Officer, Mr. Brian L. Roberts and others.</w:t>
      </w:r>
    </w:p>
    <w:p>
      <w:pPr>
        <w:spacing w:after="0" w:line="104"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The goal of the Committee and the Compensation Subcommittee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w:t>
      </w:r>
    </w:p>
    <w:p>
      <w:pPr>
        <w:spacing w:after="0" w:line="6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893" w:right="1440" w:bottom="1440" w:gutter="0" w:footer="0" w:header="0"/>
        </w:sectPr>
      </w:pPr>
    </w:p>
    <w:bookmarkStart w:id="23" w:name="page24"/>
    <w:bookmarkEnd w:id="23"/>
    <w:p>
      <w:pPr>
        <w:ind w:right="2199"/>
        <w:spacing w:after="0" w:line="292" w:lineRule="auto"/>
        <w:rPr>
          <w:sz w:val="20"/>
          <w:szCs w:val="20"/>
          <w:color w:val="auto"/>
        </w:rPr>
      </w:pPr>
      <w:r>
        <w:rPr>
          <w:rFonts w:ascii="Courier New" w:cs="Courier New" w:eastAsia="Courier New" w:hAnsi="Courier New"/>
          <w:sz w:val="18"/>
          <w:szCs w:val="18"/>
          <w:color w:val="auto"/>
        </w:rPr>
        <w:t>seniority and responsibilities. The members of the Compensation Subcommittee are disinterested non-employee directors as well as "outside directors" (as defined in Section 162(m) of the Internal Revenue Code).</w:t>
      </w:r>
    </w:p>
    <w:p>
      <w:pPr>
        <w:spacing w:after="0" w:line="66" w:lineRule="exact"/>
        <w:rPr>
          <w:sz w:val="20"/>
          <w:szCs w:val="20"/>
          <w:color w:val="auto"/>
        </w:rPr>
      </w:pPr>
    </w:p>
    <w:p>
      <w:pPr>
        <w:ind w:right="2099" w:firstLine="211"/>
        <w:spacing w:after="0" w:line="280" w:lineRule="auto"/>
        <w:rPr>
          <w:sz w:val="20"/>
          <w:szCs w:val="20"/>
          <w:color w:val="auto"/>
        </w:rPr>
      </w:pPr>
      <w:r>
        <w:rPr>
          <w:rFonts w:ascii="Courier New" w:cs="Courier New" w:eastAsia="Courier New" w:hAnsi="Courier New"/>
          <w:sz w:val="16"/>
          <w:szCs w:val="16"/>
          <w:color w:val="auto"/>
        </w:rPr>
        <w:t>Each year a general review of the Company's executive compensation is conducted, except for the compensation of the Chief Executive Officer, which was determined under the 1993 Compensation Agreement and separately reviewed in connection with the execution of the 1998 Compensation Agreement. A key factor in the assessment of the Company's executive officers is the Company's overall performance, in light of their principal responsibility for overall corporate policy-making, management and administration. In the second half of 1998, the Committee and Compensation Subcommittee also retained independent compensation consultants to review the compensation package of the Company's president and the overall structure of the Company's incentive compensation programs for all executive employees. As a result of the latter review, beginning in 1999 the Compensation Subcommittee adjusted the ratios of stock options to base salary and of cash bonus to equity-based incentive compensation compared with compensation awarded in years prior to 1999.</w:t>
      </w:r>
    </w:p>
    <w:p>
      <w:pPr>
        <w:spacing w:after="0" w:line="290"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principal forms of executive compensation used by the Company in recent years are base salary, bonuses and stock options, and, for certain executives, split-dollar (whole) life insurance policies and term insurance policies. The Company seeks to achieve a mix of these various forms of compensation which will properly compensate and motivate its executives on an individual basis commensurate with their relative levels of seniority and responsibility. The goal is to provide the executive officers with total compensation that, based on individual and Company performance viewed over an appropriate period of time, is generally between the 50th and 75th percentile of total compensation for executives with comparable positions at peer companies, as confirmed by an independent compensation consultant.</w:t>
      </w:r>
    </w:p>
    <w:p>
      <w:pPr>
        <w:spacing w:after="0" w:line="104"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As discussed below, a variety of factors are considered in arriving at the compensation paid to the Company's executive officers other than the Chief Executive Officer. No specific weighting was assigned to any of the factors considered in determining the remuneration paid to the named executive officers for 1999, except that, with respect to the Compensation Agreement with Mr. Brian L. Roberts, the Compensation Subcommittee relied on the analysis of the Company's independent compensation consultant. See "Agreements with Executive Officers--Compensation Agreement with Mr. Brian L. Roberts."</w:t>
      </w:r>
    </w:p>
    <w:p>
      <w:pPr>
        <w:spacing w:after="0" w:line="77"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Base Salary. The Company's philosophy with respect to setting base salary is to compensate its executive officers with reasonable current income on a competitive basis. The Compensation Subcommittee increased the base salary of the Chief Executive Officer by 5% in 1999 pursuant to the terms of the 1998 Compensation Agreement. The base salary of Mr. Brian L. Roberts was increased by approximately 45% in connection with entering into the Compensation Agreement, and based on the analysis of the Company's independent compensation consultant. See "Agreements with Executive Officers--Compensation Agreement with Mr. Brian L. Roberts." The base salaries of Messrs. Brodsky, Smith and Alchin were increased by 5% each in 1999. The base salaries of Messrs. Smith and Alchin were increased pursuant to the terms of their employment agreements with the Company. No specific objective measures of individual or corporate performance were reviewed in determining the base salary of executive officers for 1999.</w:t>
      </w:r>
    </w:p>
    <w:p>
      <w:pPr>
        <w:spacing w:after="0" w:line="113"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Bonuses. In August 1996, the Compensation Subcommittee adopted the Executive Cash Bonus Plan, which was approved by the Company's shareholders on June 18, 1997, and in 1999 the Compensation Subcommittee amended the Executive Cash Bonus Plan, which amendment was approved by the Company's shareholders on June 21, 1999. Under the Executive Cash Bonus Plan as amended, each executive designated by the Compensation Subcommittee is eligible to earn an annual bonus of up to 150% of his base salary and guaranteed bonus (the percentage applicable to each executive as determined by the Compensation Subcommittee), but not more than $3 million, based on annual cash flow performance targets established in advance by the Compensation Subcommittee.</w:t>
      </w:r>
    </w:p>
    <w:p>
      <w:pPr>
        <w:spacing w:after="0" w:line="2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24" w:name="page25"/>
    <w:bookmarkEnd w:id="24"/>
    <w:p>
      <w:pPr>
        <w:ind w:right="2199"/>
        <w:spacing w:after="0" w:line="347" w:lineRule="auto"/>
        <w:rPr>
          <w:sz w:val="20"/>
          <w:szCs w:val="20"/>
          <w:color w:val="auto"/>
        </w:rPr>
      </w:pPr>
      <w:r>
        <w:rPr>
          <w:rFonts w:ascii="Courier New" w:cs="Courier New" w:eastAsia="Courier New" w:hAnsi="Courier New"/>
          <w:sz w:val="18"/>
          <w:szCs w:val="18"/>
          <w:color w:val="auto"/>
        </w:rPr>
        <w:t>Based on the Company's cash flow for such period, 100% of the target bonuses were earned for 1999 under the plan.</w:t>
      </w:r>
    </w:p>
    <w:p>
      <w:pPr>
        <w:spacing w:after="0" w:line="18"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Executive Cash Bonus Plan was adopted based on the recommendation of the Company's independent compensation consultant, and to satisfy the terms of the Company's employment agreements with Messrs. Smith and Alchin. The Compensation Subcommittee selected increases in cash flow as the single most significant measure of operating performance of the Company and other companies in the Company's industries.</w:t>
      </w:r>
    </w:p>
    <w:p>
      <w:pPr>
        <w:spacing w:after="0" w:line="93"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bonus awarded to Mr. Smith for 1999 included an annual guaranteed bonus of $5,788, in addition to the bonus awarded under the Executive Cash Bonus Plan. The remaining bonuses earned by the named executive officers (other than the Chief Executive Officer and Mr. Brodsky) in 1999 related to termination of the Company's discretionary bonus plan, as discussed below.</w:t>
      </w:r>
    </w:p>
    <w:p>
      <w:pPr>
        <w:spacing w:after="0" w:line="90"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Equity-Based Incentive Compensation. The Company's equity-based incentive compensation is in the form of stock option grants. The Compensation Subcommittee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77"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In 1999, the Compensation Subcommittee awarded stock options to each of the named executive officers. For executive officers other than Mr. Brian L. Roberts, such option grants were generally based on a proportional relationship to the recipients' expected cash compensation, taking into account prior option grants, and were consistent with options granted at the same time to other members of senior management of the Company. The Compensation Subcommittee awarded Mr. Brian L. Roberts a grant of options to purchase 4 million shares of the Company's Class A Special Common Stock as provided in the Compensation Agreement, and as supported by the recommendation of its independent compensation consultant and its review of Mr. Brian L. Roberts' achievements on behalf of the Company over the previous five years. See "Agreements with Executive Officers--Compensation Agreement with Mr. Brian L. Roberts."</w:t>
      </w:r>
    </w:p>
    <w:p>
      <w:pPr>
        <w:spacing w:after="0" w:line="108"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Equity Ownership Policy. In 1998, the Company's Board of Directors adopted a minimum equity ownership policy applicable to substantially all executives of the Company with base salaries in excess of $150,000, as well as to directors. Executives and directors subject to such policy may not sell shares of common stock of the Company unless, following such sale, they continue to own at least an amount of such common stock with a value equal to a multiple of their annual base compensation from the Company. The Chief Executive Officer, as well as Mr. Brian L. Roberts, the Company's President, and all non-employee directors, are required to own stock with a value of five times base compensation; other executives are required to own stock with a value of one and one-half to four times their base compensation, depending on base compensation. Based on their current base compensation, each of the other executive officers named in this Proxy Statement is required under the policy to own Company stock with a value of between three and one-half and four times his base compensation. For purposes of the policy, stock owned by an applicable person's spouse and children, and 60% of the value of an applicable person's vested in-the-money stock options and deferred stock account in the Company's 1997 Deferred Stock Option Plan is considered owned by the applicable person. The Compensation Subcommittee believes that such policy serves to align more fully the interests of management under the Company's equity-based incentive compensation programs with the interests of the Company's shareholders.</w:t>
      </w:r>
    </w:p>
    <w:p>
      <w:pPr>
        <w:spacing w:after="0" w:line="117"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Compensation of Chief Executive Officer. The Company's by-laws do not provide for a "Chief Executive Officer" of the Company. The Company has determined that, for 1999, Mr. Ralph J. Roberts, the Chairman of the Company's Board of Directors, was its chief executive officer for purposes of this Proxy Statement.</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1440" w:gutter="0" w:footer="0" w:header="0"/>
        </w:sectPr>
      </w:pPr>
    </w:p>
    <w:bookmarkStart w:id="25" w:name="page26"/>
    <w:bookmarkEnd w:id="25"/>
    <w:p>
      <w:pPr>
        <w:ind w:right="1999" w:firstLine="211"/>
        <w:spacing w:after="0" w:line="274" w:lineRule="auto"/>
        <w:rPr>
          <w:sz w:val="20"/>
          <w:szCs w:val="20"/>
          <w:color w:val="auto"/>
        </w:rPr>
      </w:pPr>
      <w:r>
        <w:rPr>
          <w:rFonts w:ascii="Courier New" w:cs="Courier New" w:eastAsia="Courier New" w:hAnsi="Courier New"/>
          <w:sz w:val="16"/>
          <w:szCs w:val="16"/>
          <w:color w:val="auto"/>
        </w:rPr>
        <w:t>The Chief Executive Officer's compensation for 1999 was determined under the terms of the 1993 Compensation Agreement and the 1998 Compensation Agreement. The 1993 Compensation Agreement was entered into effective September 9, 1993, as amended March 16, 1994, and approved by the Company's shareholders on June 22, 1994. See "Agreements with Executive Officers--Compensation Agreement with the Chief Executive Officer." The levels of compensation provided under the 1993 Compensation Agreement and the 1998 Compensation Agreement were determined based on a review by the Committee and Compensation Subcommittee and the Company's independent compensation consultant of compensation levels of chief executive officers at other companies in comparable industries and of certain chief executive officers in other industries who, like Mr. Ralph J. Roberts, were founders of companies and the persons primarily responsible for the growth of such companies over a substantial period of time. The Committee and Compensation Subcommittee also took into account its assessment of the importance of maintaining the continued active participation of the Chief Executive Officer in the Company's affairs over the period covered by the Compensation Agreement, the Company's growth and overall performance during the ten years prior to 1993 and the period from 1993 to 1998, and the Chief Executive Officer's prior compensation levels during those periods. The Committee and Compensation Subcommittee did not consider specific performance measures in approving the 1993 Compensation Agreement and the 1998 Compensation Agreement, except to the extent that the 1993 Compensation Agreement provided for stock option grants in 1994 that were inherently related to future appreciation in the Company's Common Stock, and for bonuses and other compensation which replaced the Company's discretionary bonus plan, which also related to appreciation in the value of the Company's Common Stock over the period from 1986 through 1993.</w:t>
      </w:r>
    </w:p>
    <w:p>
      <w:pPr>
        <w:spacing w:after="0" w:line="200" w:lineRule="exact"/>
        <w:rPr>
          <w:sz w:val="20"/>
          <w:szCs w:val="20"/>
          <w:color w:val="auto"/>
        </w:rPr>
      </w:pPr>
    </w:p>
    <w:p>
      <w:pPr>
        <w:spacing w:after="0" w:line="299"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Such compensation consisted of the salary and benefits fixed by the 1998 Compensation Agreement, and, pursuant to the Company's undertaking in the 1993 Compensation Agreement to replace the potential benefits provided by the Company's terminated discretionary bonus plan, additional split-dollar life insurance benefits in an amount fixed in 1994 and generally calculated to produce the same after-tax cost to the Company as the potential benefits under the terminated discretionary bonus plan with respect to appreciation in the Chief Executive Officer's previously awarded nonqualified options prior to March 15, 1994. When such benefits were awarded in 1994, the Company's compensation consultant reviewed the calculation of the potential benefits provided by the terminated discretionary bonus plan and of the expected after-tax cost of the additional split-dollar life insurance benefits, and advised the Committee that its actions awarding such benefits were appropriate and reasonable. In connection with the 1998 Compensation Agreement, the Compensation Subcommittee substituted the $31.2 million Death Benefit for two bonus arrangements included in the 1993 Compensation Agreement that were based on appreciation of the Company's Class A Common Stock from the date of grant to the date of exercise of the Chief Executive Officer's options to purchase Class B Common Stock. The Compensation Subcommittee determined that the after-tax present value cost to the Company of the Death Benefit was approximately equal to the cost of the bonuses that would otherwise have been paid. The Death Benefit was amended in 1999 to provide for a portion thereof to vary based on the results of certain investments made by the Company in cooperation with and at the suggestion of the Chief Executive Officer, with no increase in after-tax present value cost to the Company, except that the base amount of the Death Benefit was increased by $1.2 million up to $31.2 million based on a calculation of the benefits forgone by the Chief Executive Officer in return for the Death Benefit. The Compensation Subcommittee was advised by the Company's independent compensation consultant that all compensation provided under the 1998 Compensation Agreement was appropriate.</w:t>
      </w:r>
    </w:p>
    <w:p>
      <w:pPr>
        <w:spacing w:after="0" w:line="200" w:lineRule="exact"/>
        <w:rPr>
          <w:sz w:val="20"/>
          <w:szCs w:val="20"/>
          <w:color w:val="auto"/>
        </w:rPr>
      </w:pPr>
    </w:p>
    <w:p>
      <w:pPr>
        <w:spacing w:after="0" w:line="307"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Effect of Internal Revenue Code Section 162(m). Effective January 1, 1994, Section 162(m) of the Internal Revenue Code provides that certain compensation in excess of $1 million paid to the chief executive officer and the four most highly compensated executive officers of a public company (determined as of the last day of the company's tax year) will not be deductible for federal income tax purposes.</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26" w:name="page27"/>
    <w:bookmarkEnd w:id="26"/>
    <w:p>
      <w:pPr>
        <w:ind w:right="1999" w:firstLine="211"/>
        <w:spacing w:after="0" w:line="278" w:lineRule="auto"/>
        <w:rPr>
          <w:sz w:val="20"/>
          <w:szCs w:val="20"/>
          <w:color w:val="auto"/>
        </w:rPr>
      </w:pPr>
      <w:r>
        <w:rPr>
          <w:rFonts w:ascii="Courier New" w:cs="Courier New" w:eastAsia="Courier New" w:hAnsi="Courier New"/>
          <w:sz w:val="16"/>
          <w:szCs w:val="16"/>
          <w:color w:val="auto"/>
        </w:rPr>
        <w:t>The Compensation Subcommittee engages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 million limit under Section 162(m) has been exceeded, such as certain "performance-based"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and 1996 Stock Option Plan will continue to be deductible for federal income tax purposes when the options are exercised, and bonuses awarded under the Executive Cash Bonus Plan will be deductible when paid.</w:t>
      </w:r>
    </w:p>
    <w:p>
      <w:pPr>
        <w:spacing w:after="0" w:line="295"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Certain compensation was awarded during 1999 after consideration of the termination of a plan (approved by the Company's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from 1987 to 1993, the Board of Directors determined that continuation of the bonus plan could impose significant cash burdens on the Company in future years. Accordingly, the Board of Directors terminated the discretionary bonus plan as of December 31, 1993.</w:t>
      </w:r>
    </w:p>
    <w:p>
      <w:pPr>
        <w:spacing w:after="0" w:line="290"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As part of the Committee's ongoing effort to replace the potential benefits provided by the Company's terminated discretionary bonus plan, the Committee awarded lump-sum bonuses, or, in the case of the Chief Executive Officer, split-dollar life insurance benefits, in an amount generally calculated (together with similar compensation awarded in 1994 through 1996) to produce the same after-tax cost to the Company as the potential benefits under the terminated discretionary bonus plan with respect to appreciation in previously awarded nonqualified options prior to March 15, 1994. The Company's compensation consultant advised the Committee that its actions to terminate the discretionary bonus plan and award the compensation described above were appropriate and reasonable. The Committee expects to continue to maintain the split-dollar life insurance arrangements put in place for the Chief Executive Officer and Mr. Brodsky, and to continue paying cash bonuses for this purpose (in addition to the bonuses awarded under the Executive Cash Bonus Plan) to the other named executive officers in approximately the same amounts paid in 1994-1999.</w:t>
      </w:r>
    </w:p>
    <w:p>
      <w:pPr>
        <w:spacing w:after="0" w:line="113"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The Compensation Subcommittee adopted the Executive Cash Bonus Plan to conform to the requirements of Section 162(m) for deductibility of the bonus payments awarded under such plan. See "Executive Cash Bonus Plan."</w:t>
      </w:r>
    </w:p>
    <w:p>
      <w:pPr>
        <w:spacing w:after="0" w:line="66"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With respect to the 1993 and 1998 Compensation Agreements, a portion of the compensation paid to the Chief Executive Officer will not or may not be deductible under Section 162(m) to the extent it is paid during the course of his employment as an executive officer of the Company. The amount of compensation paid to the Chief Executive Officer in 1999 that is expected to be nondeductible to the Company is approximately $864,000. In addition, approximately $647,000 of the compensation paid to Mr. Brian L. Roberts, the Company's President, is also expected to be nondeductible under Section 162(m), due principally to the payment of amounts to cover premiums on term life insurance policies and bonuses related to income tax liabilities arising therefrom, the payment of amounts with respect to income tax obligations arising upon the exercise of stock options and other incidental taxable fringe benefits, the fair market value of which was considered non-performance-based compensation for tax purposes in 1999.</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1440" w:gutter="0" w:footer="0" w:header="0"/>
        </w:sectPr>
      </w:pPr>
    </w:p>
    <w:bookmarkStart w:id="27" w:name="page28"/>
    <w:bookmarkEnd w:id="27"/>
    <w:p>
      <w:pPr>
        <w:ind w:right="1999" w:firstLine="211"/>
        <w:spacing w:after="0" w:line="275" w:lineRule="auto"/>
        <w:rPr>
          <w:sz w:val="20"/>
          <w:szCs w:val="20"/>
          <w:color w:val="auto"/>
        </w:rPr>
      </w:pPr>
      <w:r>
        <w:rPr>
          <w:rFonts w:ascii="Courier New" w:cs="Courier New" w:eastAsia="Courier New" w:hAnsi="Courier New"/>
          <w:sz w:val="16"/>
          <w:szCs w:val="16"/>
          <w:color w:val="auto"/>
        </w:rPr>
        <w:t>The Compensation Subcommittee determined that the Company should provide the above-described compensation regardless of its nondeductibility or potential nondeductibility, based on, among other things, (1) its determination of a fair and competitive compensation level for the officers involved taking into account their contributions to the Company, which, in the case of the Chief Executive Officer, extend over the entire course of the Company's history and</w:t>
      </w:r>
    </w:p>
    <w:p>
      <w:pPr>
        <w:spacing w:after="0" w:line="1" w:lineRule="exact"/>
        <w:rPr>
          <w:sz w:val="20"/>
          <w:szCs w:val="20"/>
          <w:color w:val="auto"/>
        </w:rPr>
      </w:pPr>
    </w:p>
    <w:p>
      <w:pPr>
        <w:ind w:right="2099" w:firstLine="8"/>
        <w:spacing w:after="0" w:line="309"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relatively minimal effect on the Company of forgoing deductibility of the specific annual compensation in excess of $1 million.</w:t>
      </w:r>
    </w:p>
    <w:p>
      <w:pPr>
        <w:spacing w:after="0" w:line="5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Members of the Compensation Subcommittee</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Gustave G. Amsterdam</w:t>
      </w:r>
    </w:p>
    <w:p>
      <w:pPr>
        <w:ind w:left="3280"/>
        <w:spacing w:after="0" w:line="238" w:lineRule="auto"/>
        <w:rPr>
          <w:sz w:val="20"/>
          <w:szCs w:val="20"/>
          <w:color w:val="auto"/>
        </w:rPr>
      </w:pPr>
      <w:r>
        <w:rPr>
          <w:rFonts w:ascii="Courier New" w:cs="Courier New" w:eastAsia="Courier New" w:hAnsi="Courier New"/>
          <w:sz w:val="18"/>
          <w:szCs w:val="18"/>
          <w:color w:val="auto"/>
        </w:rPr>
        <w:t>Joseph L. Castle</w:t>
      </w:r>
    </w:p>
    <w:p>
      <w:pPr>
        <w:ind w:left="3280"/>
        <w:spacing w:after="0"/>
        <w:rPr>
          <w:sz w:val="20"/>
          <w:szCs w:val="20"/>
          <w:color w:val="auto"/>
        </w:rPr>
      </w:pPr>
      <w:r>
        <w:rPr>
          <w:rFonts w:ascii="Courier New" w:cs="Courier New" w:eastAsia="Courier New" w:hAnsi="Courier New"/>
          <w:sz w:val="18"/>
          <w:szCs w:val="18"/>
          <w:color w:val="auto"/>
        </w:rPr>
        <w:t>Bernard C. Watson</w:t>
      </w:r>
    </w:p>
    <w:p>
      <w:pPr>
        <w:spacing w:after="0" w:line="16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Members of the Compensation Committee</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Gustave G. Amsterdam (Chairman)</w:t>
      </w:r>
    </w:p>
    <w:p>
      <w:pPr>
        <w:ind w:left="3160"/>
        <w:spacing w:after="0" w:line="238" w:lineRule="auto"/>
        <w:rPr>
          <w:sz w:val="20"/>
          <w:szCs w:val="20"/>
          <w:color w:val="auto"/>
        </w:rPr>
      </w:pPr>
      <w:r>
        <w:rPr>
          <w:rFonts w:ascii="Courier New" w:cs="Courier New" w:eastAsia="Courier New" w:hAnsi="Courier New"/>
          <w:sz w:val="18"/>
          <w:szCs w:val="18"/>
          <w:color w:val="auto"/>
        </w:rPr>
        <w:t>Sheldon M. Bonovitz</w:t>
      </w:r>
    </w:p>
    <w:p>
      <w:pPr>
        <w:ind w:left="3280"/>
        <w:spacing w:after="0"/>
        <w:rPr>
          <w:sz w:val="20"/>
          <w:szCs w:val="20"/>
          <w:color w:val="auto"/>
        </w:rPr>
      </w:pPr>
      <w:r>
        <w:rPr>
          <w:rFonts w:ascii="Courier New" w:cs="Courier New" w:eastAsia="Courier New" w:hAnsi="Courier New"/>
          <w:sz w:val="18"/>
          <w:szCs w:val="18"/>
          <w:color w:val="auto"/>
        </w:rPr>
        <w:t>Joseph L. Castle</w:t>
      </w:r>
    </w:p>
    <w:p>
      <w:pPr>
        <w:ind w:left="3280"/>
        <w:spacing w:after="0"/>
        <w:rPr>
          <w:sz w:val="20"/>
          <w:szCs w:val="20"/>
          <w:color w:val="auto"/>
        </w:rPr>
      </w:pPr>
      <w:r>
        <w:rPr>
          <w:rFonts w:ascii="Courier New" w:cs="Courier New" w:eastAsia="Courier New" w:hAnsi="Courier New"/>
          <w:sz w:val="18"/>
          <w:szCs w:val="18"/>
          <w:color w:val="auto"/>
        </w:rPr>
        <w:t>Bernard C. Watson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1"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Each member of the Board of Directors who is not an employee of the Company (a "non-employee director") receives an annual fee of $35,000, plus $2,000 for each meeting of the Board of Directors attended and $1,000 for each meeting of any committee of the Board of Directors attended which is not held in conjunction with a meeting of the Board of Directors. In addition, any non-employee director who serves as the chairperson of a committee of the Board of Directors receives an annual fee of $1,000. Each director is also reimbursed for incidental travel expenses for meetings attended. Mr. Amsterdam also receives $1,000 as compensation for each meeting attended as the designee of the Board of Directors on a committee of the Company's management.</w:t>
      </w:r>
    </w:p>
    <w:p>
      <w:pPr>
        <w:spacing w:after="0" w:line="76"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The Company's 1996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 Effective January 1, 1999, non-employee directors of the Company must continuously own shares of the Company's common stock with a value at least equal to five times their base annual compensation from the Company, including 60% of the value of vested, in-the-money stock options and deferred stock accounts.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Related Party Transactions</w:t>
      </w:r>
    </w:p>
    <w:p>
      <w:pPr>
        <w:spacing w:after="0" w:line="201" w:lineRule="exact"/>
        <w:rPr>
          <w:sz w:val="20"/>
          <w:szCs w:val="20"/>
          <w:color w:val="auto"/>
        </w:rPr>
      </w:pPr>
    </w:p>
    <w:p>
      <w:pPr>
        <w:ind w:right="2419" w:firstLine="211"/>
        <w:spacing w:after="0" w:line="292" w:lineRule="auto"/>
        <w:rPr>
          <w:sz w:val="20"/>
          <w:szCs w:val="20"/>
          <w:color w:val="auto"/>
        </w:rPr>
      </w:pPr>
      <w:r>
        <w:rPr>
          <w:rFonts w:ascii="Courier New" w:cs="Courier New" w:eastAsia="Courier New" w:hAnsi="Courier New"/>
          <w:sz w:val="18"/>
          <w:szCs w:val="18"/>
          <w:color w:val="auto"/>
        </w:rPr>
        <w:t>Mr. Bonovitz, a director of the Company, is Chairman and Chief Executive Officer of the law firm of Duane, Morris &amp; Heckscher LLP, which provides services to the Company from time to time.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1" w:lineRule="exact"/>
        <w:rPr>
          <w:sz w:val="20"/>
          <w:szCs w:val="20"/>
          <w:color w:val="auto"/>
        </w:rPr>
      </w:pPr>
    </w:p>
    <w:p>
      <w:pPr>
        <w:ind w:right="2099" w:firstLine="211"/>
        <w:spacing w:after="0" w:line="288" w:lineRule="auto"/>
        <w:rPr>
          <w:sz w:val="20"/>
          <w:szCs w:val="20"/>
          <w:color w:val="auto"/>
        </w:rPr>
      </w:pPr>
      <w:r>
        <w:rPr>
          <w:rFonts w:ascii="Courier New" w:cs="Courier New" w:eastAsia="Courier New" w:hAnsi="Courier New"/>
          <w:sz w:val="16"/>
          <w:szCs w:val="16"/>
          <w:color w:val="auto"/>
        </w:rPr>
        <w:t>Mr. Bonovitz, a member of the Compensation Committee, is Chairman and Chief Executive Officer of the law firm of Duane, Morris &amp; Heckscher LLP, which provides services to the Company from time to time. Mr. Bonovitz is not a member of the Compensation Subcommittee, which, during 1999, performed substantially all functions of the Compensation Committee with respect to senior executives of the Company, including administration of the Company's stock option and restricted stock plans, the bonus plans applicable to senior executives of the Company, and approval of all agreements with the Chief Executive Officer, Mr. Brian L. Roberts and others.</w:t>
      </w:r>
    </w:p>
    <w:p>
      <w:pPr>
        <w:spacing w:after="0" w:line="2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28" w:name="page29"/>
    <w:bookmarkEnd w:id="28"/>
    <w:p>
      <w:pPr>
        <w:ind w:left="3480"/>
        <w:spacing w:after="0"/>
        <w:rPr>
          <w:sz w:val="20"/>
          <w:szCs w:val="20"/>
          <w:color w:val="auto"/>
        </w:rPr>
      </w:pPr>
      <w:r>
        <w:rPr>
          <w:rFonts w:ascii="Courier New" w:cs="Courier New" w:eastAsia="Courier New" w:hAnsi="Courier New"/>
          <w:sz w:val="18"/>
          <w:szCs w:val="18"/>
          <w:color w:val="auto"/>
        </w:rPr>
        <w:t>PROPOSAL ONE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At the meeting, the shareholders will elect nine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sets forth certain information about each nominee:</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Ralph J. Roberts, 80, has served as a director and Chairman of the Board of Directors of the Company for more than five years. He is the President and a director of Sural. Mr. Roberts devotes the major portion of his time to the business and affairs of the Company. He is the father of Mr. Brian L. Roberts. Mr. Roberts is also a director of Comcast Cable Communications, Inc., Comcast LCI Holdings, Inc. and Comcast JOIN Holdings, Inc.</w:t>
      </w:r>
    </w:p>
    <w:p>
      <w:pPr>
        <w:spacing w:after="0" w:line="93"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Julian A. Brodsky, 66, has served as a director and Vice Chairman of the Board of Directors of the Company for more than five years. He serves as Treasurer and a director of Sural. Mr. Brodsky devotes a substantial portion of his time to the business and affairs of the Company. He is also a director of RBB Fund, Inc., Internet Capital Group, Inc. and NDS Group PLC.</w:t>
      </w:r>
    </w:p>
    <w:p>
      <w:pPr>
        <w:spacing w:after="0" w:line="60"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Brian L. Roberts, 40, has served as President of the Company and a director for more than five years. He is a Vice President and a director of Sural. Mr. Roberts devotes the major portion of his time to the business and affairs of the Company. He is a son of Mr. Ralph J. Roberts. Mr. Roberts is also a director of Comcast Cable Communications, Inc., Comcast LCI Holdings, Inc., Comcast JOIN Holdings, Inc., At Home Corporation and The Bank of New York Company, Inc.</w:t>
      </w:r>
    </w:p>
    <w:p>
      <w:pPr>
        <w:spacing w:after="0" w:line="98"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Gustave G. Amsterdam, 91, has been a director of the Company for more than five years. Mr. Amsterdam was, for more than five years before his retirement, Chairman of the Board of Bankers Securities Corporation, a mercantile, real estate management and operating company.</w:t>
      </w:r>
    </w:p>
    <w:p>
      <w:pPr>
        <w:spacing w:after="0" w:line="82"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Sheldon M. Bonovitz, 63, has been a director of the Company for more than five years. Mr. Bonovitz has been a partner specializing in tax matters with the law firm of Duane, Morris &amp; Heckscher LLP for more than five years and is currently Chairman and Chief Executive Officer of that firm. Mr. Bonovitz is also a director of Surgical Laser Technologies, Inc. and Premier Research Worldwide, Ltd.</w:t>
      </w:r>
    </w:p>
    <w:p>
      <w:pPr>
        <w:spacing w:after="0" w:line="93" w:lineRule="exact"/>
        <w:rPr>
          <w:sz w:val="20"/>
          <w:szCs w:val="20"/>
          <w:color w:val="auto"/>
        </w:rPr>
      </w:pPr>
    </w:p>
    <w:p>
      <w:pPr>
        <w:ind w:right="2199" w:firstLine="211"/>
        <w:spacing w:after="0" w:line="306" w:lineRule="auto"/>
        <w:rPr>
          <w:sz w:val="20"/>
          <w:szCs w:val="20"/>
          <w:color w:val="auto"/>
        </w:rPr>
      </w:pPr>
      <w:r>
        <w:rPr>
          <w:rFonts w:ascii="Courier New" w:cs="Courier New" w:eastAsia="Courier New" w:hAnsi="Courier New"/>
          <w:sz w:val="16"/>
          <w:szCs w:val="16"/>
          <w:color w:val="auto"/>
        </w:rPr>
        <w:t>Joseph L. Castle, II, 67,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w:t>
      </w:r>
    </w:p>
    <w:p>
      <w:pPr>
        <w:spacing w:after="0" w:line="60"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Bernard C. Watson, 72, has been a director of the Company for more than five years. Prior to his retirement in 1997, Dr. Watson was Chairman of the Board of Directors of Health Management Alternatives Foundation from 1993 through 1997. Until 1993, he had been President and Chief Executive Officer of the William Penn Foundation for more than five years.</w:t>
      </w:r>
    </w:p>
    <w:p>
      <w:pPr>
        <w:spacing w:after="0" w:line="90" w:lineRule="exact"/>
        <w:rPr>
          <w:sz w:val="20"/>
          <w:szCs w:val="20"/>
          <w:color w:val="auto"/>
        </w:rPr>
      </w:pPr>
    </w:p>
    <w:p>
      <w:pPr>
        <w:ind w:right="1999" w:firstLine="211"/>
        <w:spacing w:after="0" w:line="318" w:lineRule="auto"/>
        <w:rPr>
          <w:sz w:val="20"/>
          <w:szCs w:val="20"/>
          <w:color w:val="auto"/>
        </w:rPr>
      </w:pPr>
      <w:r>
        <w:rPr>
          <w:rFonts w:ascii="Courier New" w:cs="Courier New" w:eastAsia="Courier New" w:hAnsi="Courier New"/>
          <w:sz w:val="16"/>
          <w:szCs w:val="16"/>
          <w:color w:val="auto"/>
        </w:rPr>
        <w:t>Irving A. Wechsler, 79, has been a director of the Company for more than five years. Mr. Wechsler is currently of counsel in the firm of Wechsler, Wolsh and Associates, Certified Public Accountants, in Pittsburgh, Pennsylvania, where he had previously been a partner for more than five years.</w:t>
      </w:r>
    </w:p>
    <w:p>
      <w:pPr>
        <w:spacing w:after="0" w:line="52"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Anne Wexler, 70, has been a director of the Company for more than five years and has been for more than five years Chairman of the Wexler Group, a consulting firm specializing in government</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440" w:gutter="0" w:footer="0" w:header="0"/>
        </w:sectPr>
      </w:pPr>
    </w:p>
    <w:bookmarkStart w:id="29" w:name="page30"/>
    <w:bookmarkEnd w:id="29"/>
    <w:p>
      <w:pPr>
        <w:ind w:right="2099"/>
        <w:spacing w:after="0" w:line="274" w:lineRule="auto"/>
        <w:rPr>
          <w:sz w:val="20"/>
          <w:szCs w:val="20"/>
          <w:color w:val="auto"/>
        </w:rPr>
      </w:pPr>
      <w:r>
        <w:rPr>
          <w:rFonts w:ascii="Courier New" w:cs="Courier New" w:eastAsia="Courier New" w:hAnsi="Courier New"/>
          <w:sz w:val="18"/>
          <w:szCs w:val="18"/>
          <w:color w:val="auto"/>
        </w:rPr>
        <w:t>relations and public affairs, which is an operating unit of Hill and Knowlton Public Affairs Worldwide. Ms. Wexler is also a director of The Dreyfus Corporation Index Funds, The Dreyfus Corporation Mutual Funds, New England Electric System, and Wilshire Mutual Funds, Inc.</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and Meetings of the Board of Directors</w:t>
      </w:r>
    </w:p>
    <w:p>
      <w:pPr>
        <w:spacing w:after="0" w:line="201"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The Board of Directors has an Executive Committee, an Audit Committee, a Compensation Committee and a Nominating Committee. The Compensation Committee has a Subcommittee on Performance-Based Compensation.</w:t>
      </w:r>
    </w:p>
    <w:p>
      <w:pPr>
        <w:spacing w:after="0" w:line="66"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Messrs. Ralph J. Roberts (Chairman), Amsterdam, Bonovitz and Brian L. Roberts serve as members of the Executive Committee, which held 11 meetings during 1999. The Executive Committee acts for the directors in the intervals between meetings of the Board of Directors.</w:t>
      </w:r>
    </w:p>
    <w:p>
      <w:pPr>
        <w:spacing w:after="0" w:line="82"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Messrs. Amsterdam, Bonovitz, Brodsky, Castle, Watson and Wechsler (Chairman) serve as members of the Audit Committee, which held six meetings during 1999. The Audit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93"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Messrs. Amsterdam, Castle and Watson serve as members of the Subcommittee on Performance-Based Compensation of the Compensation Committee, which held four meetings during 1999. The Compensation Subcommittee's functions include responsibility for the Company's stock option, restricted stock and bonus plans, establishing performance-based criteria and goals for compensation to senior executive officers, and approving certain agreements with the Chief Executive Officer and Mr. Brian L. Roberts. Messrs. Amsterdam (Chairman), Bonovitz, Castle and Watson serve as members of the Compensation Committee, which considers and determines all other compensation matters relating to the Company's executive officers. The Compensation Committee held four meetings during 1999, in conjunction with meetings of the Compensation Subcommittee.</w:t>
      </w:r>
    </w:p>
    <w:p>
      <w:pPr>
        <w:spacing w:after="0" w:line="80"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Ms. Wexler (Chairperson) and Messrs. Castle and Watson serve as members of the Nominating Committee, which held one meeting during 1999. The Nominating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440" w:gutter="0" w:footer="0" w:header="0"/>
        </w:sectPr>
      </w:pPr>
    </w:p>
    <w:bookmarkStart w:id="30" w:name="page31"/>
    <w:bookmarkEnd w:id="30"/>
    <w:p>
      <w:pPr>
        <w:ind w:right="2319"/>
        <w:spacing w:after="0" w:line="347" w:lineRule="auto"/>
        <w:rPr>
          <w:sz w:val="20"/>
          <w:szCs w:val="20"/>
          <w:color w:val="auto"/>
        </w:rPr>
      </w:pPr>
      <w:r>
        <w:rPr>
          <w:rFonts w:ascii="Courier New" w:cs="Courier New" w:eastAsia="Courier New" w:hAnsi="Courier New"/>
          <w:sz w:val="18"/>
          <w:szCs w:val="18"/>
          <w:color w:val="auto"/>
        </w:rPr>
        <w:t>intended to be nominated, by the Board of Directors; and (e) the consent of each nominee to serve as a director of the Company if so elected.</w:t>
      </w:r>
    </w:p>
    <w:p>
      <w:pPr>
        <w:spacing w:after="0" w:line="18" w:lineRule="exact"/>
        <w:rPr>
          <w:sz w:val="20"/>
          <w:szCs w:val="20"/>
          <w:color w:val="auto"/>
        </w:rPr>
      </w:pPr>
    </w:p>
    <w:p>
      <w:pPr>
        <w:ind w:right="2199" w:firstLine="211"/>
        <w:spacing w:after="0" w:line="318" w:lineRule="auto"/>
        <w:rPr>
          <w:sz w:val="20"/>
          <w:szCs w:val="20"/>
          <w:color w:val="auto"/>
        </w:rPr>
      </w:pPr>
      <w:r>
        <w:rPr>
          <w:rFonts w:ascii="Courier New" w:cs="Courier New" w:eastAsia="Courier New" w:hAnsi="Courier New"/>
          <w:sz w:val="16"/>
          <w:szCs w:val="16"/>
          <w:color w:val="auto"/>
        </w:rPr>
        <w:t>The Board of Directors held 11 meetings in 1999.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5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 TWO</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TO APPROVE AN AMENDMENT TO THE</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COMCAST CORPORATION 1996 STOCK OPTION PLAN</w:t>
      </w:r>
    </w:p>
    <w:p>
      <w:pPr>
        <w:spacing w:after="0" w:line="169"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Company's 1996 Stock Option Plan (the "1996 Plan") is the Company's sole plan for awarding options to purchase shares of the Company's Class A Special Common Stock to the Company's employees and non-employee directors. A description of the terms of the 1996 Plan is provided below. The Company's shareholders will vote at the meeting on a proposal to increase the maximum aggregate number of shares for which options may be granted under the 1996 Plan from 40 million shares to 50 million shares.</w:t>
      </w:r>
    </w:p>
    <w:p>
      <w:pPr>
        <w:spacing w:after="0" w:line="98"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Prior to April 14, 2000, the maximum number of shares of the Company's Class A Special Common Stock for which options may be granted under the 1996 Plan was limited to an aggregate of 40 million shares. On April 14, 2000, the Compensation Subcommittee amended the 1996 Plan to increase the aggregate number for which options may be granted under the 1996 Plan to 50 million shares, subject to approval by the Company's shareholders at the 2000 Annual Meeting of Shareholders.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1996 Plan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is a summary of the material features of the 1996 Plan.</w:t>
      </w:r>
    </w:p>
    <w:p>
      <w:pPr>
        <w:spacing w:after="0" w:line="201"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The 1996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Plan is specifically designated as a nonqualified option (as defined below) or otherwise becomes a nonqualified option after grant, options granted to employees of the Company or its Affiliates under the 1996 Plan are intended to qualify as qualified stock options (sometimes hereinafter referred to as "ISOs") within the meaning of Section 422(b) of the Code. Options granted under the 1996 Plan to non-employee directors of the Company, options granted to employees under the 1996 Plan which are specifically designated as nonqualified options, and options otherwise ineligible for treatment as an ISO are hereinafter referred to as "nonqualified options."</w:t>
      </w:r>
    </w:p>
    <w:p>
      <w:pPr>
        <w:spacing w:after="0" w:line="2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 Options may be granted under the 1996 Plan after March 12, 2006.</w:t>
      </w:r>
    </w:p>
    <w:p>
      <w:pPr>
        <w:spacing w:after="0" w:line="201" w:lineRule="exact"/>
        <w:rPr>
          <w:sz w:val="20"/>
          <w:szCs w:val="20"/>
          <w:color w:val="auto"/>
        </w:rPr>
      </w:pPr>
    </w:p>
    <w:p>
      <w:pPr>
        <w:ind w:right="2319" w:firstLine="211"/>
        <w:spacing w:after="0" w:line="265" w:lineRule="auto"/>
        <w:rPr>
          <w:sz w:val="20"/>
          <w:szCs w:val="20"/>
          <w:color w:val="auto"/>
        </w:rPr>
      </w:pPr>
      <w:r>
        <w:rPr>
          <w:rFonts w:ascii="Courier New" w:cs="Courier New" w:eastAsia="Courier New" w:hAnsi="Courier New"/>
          <w:sz w:val="18"/>
          <w:szCs w:val="18"/>
          <w:color w:val="auto"/>
        </w:rPr>
        <w:t>The purpose of the 1996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1440" w:gutter="0" w:footer="0" w:header="0"/>
        </w:sectPr>
      </w:pPr>
    </w:p>
    <w:bookmarkStart w:id="31" w:name="page32"/>
    <w:bookmarkEnd w:id="31"/>
    <w:p>
      <w:pPr>
        <w:ind w:right="1999" w:firstLine="211"/>
        <w:spacing w:after="0" w:line="250" w:lineRule="auto"/>
        <w:rPr>
          <w:sz w:val="20"/>
          <w:szCs w:val="20"/>
          <w:color w:val="auto"/>
        </w:rPr>
      </w:pPr>
      <w:r>
        <w:rPr>
          <w:rFonts w:ascii="Courier New" w:cs="Courier New" w:eastAsia="Courier New" w:hAnsi="Courier New"/>
          <w:sz w:val="18"/>
          <w:szCs w:val="18"/>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1996 Plan is currently administered by the Subcommittee on Performance-Based Compensation of the Compensation Committee of the Board of Directors. This subcommittee, or any other committee or subcommittee of the Board of Directors administering the 1996 Plan, is sometimes referred to, with respect to the 1996 Plan, as the "Committee."</w:t>
      </w:r>
    </w:p>
    <w:p>
      <w:pPr>
        <w:spacing w:after="0" w:line="1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Eligibility</w:t>
      </w:r>
    </w:p>
    <w:p>
      <w:pPr>
        <w:spacing w:after="0" w:line="201" w:lineRule="exact"/>
        <w:rPr>
          <w:sz w:val="20"/>
          <w:szCs w:val="20"/>
          <w:color w:val="auto"/>
        </w:rPr>
      </w:pPr>
    </w:p>
    <w:p>
      <w:pPr>
        <w:ind w:right="1999" w:firstLine="211"/>
        <w:spacing w:after="0" w:line="306" w:lineRule="auto"/>
        <w:rPr>
          <w:sz w:val="20"/>
          <w:szCs w:val="20"/>
          <w:color w:val="auto"/>
        </w:rPr>
      </w:pPr>
      <w:r>
        <w:rPr>
          <w:rFonts w:ascii="Courier New" w:cs="Courier New" w:eastAsia="Courier New" w:hAnsi="Courier New"/>
          <w:sz w:val="16"/>
          <w:szCs w:val="16"/>
          <w:color w:val="auto"/>
        </w:rPr>
        <w:t>All employees of the Company and its Affiliates are eligible to receive ISOs under the 1996 Plan. All employees, officers and non-employee directors of the Company and its Affiliates are eligible to receive nonqualified options under the 1996 Plan. An employee may receive more than one Option under the 1996 Plan but only on the terms and subject to the restrictions of the 1996 Plan.</w:t>
      </w:r>
    </w:p>
    <w:p>
      <w:pPr>
        <w:spacing w:after="0" w:line="60"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In determining the eligible participants to whom Options are granted under the 1996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60" w:lineRule="exact"/>
        <w:rPr>
          <w:sz w:val="20"/>
          <w:szCs w:val="20"/>
          <w:color w:val="auto"/>
        </w:rPr>
      </w:pPr>
    </w:p>
    <w:p>
      <w:pPr>
        <w:ind w:right="2099" w:firstLine="211"/>
        <w:spacing w:after="0" w:line="248" w:lineRule="auto"/>
        <w:rPr>
          <w:sz w:val="20"/>
          <w:szCs w:val="20"/>
          <w:color w:val="auto"/>
        </w:rPr>
      </w:pPr>
      <w:r>
        <w:rPr>
          <w:rFonts w:ascii="Courier New" w:cs="Courier New" w:eastAsia="Courier New" w:hAnsi="Courier New"/>
          <w:sz w:val="18"/>
          <w:szCs w:val="18"/>
          <w:color w:val="auto"/>
        </w:rPr>
        <w:t>The 1996 Plan provides that the maximum number of shares of the Class A Special Common Stock for which Options may be issued to any single individual in any calendar year is 10 million shares, subject to adjustment as described under "Purchase of Shares Under the 1996 Plan" below. The 1996 Plan provides that each non-employee director of the Company shall receive a grant of Options to purchase 5,400 shares of Class A Special Common Stock on each February 1, except that any non-employee director first elected to the Board of Directors after March 13, 1996, shall receive a grant of Options to purchase 9,000 shares of Class A Special Common Stock on such newly elected director's election date. If such election date is less than 90 days before the next February 1, the newly-elected director shall not be entitled to receive Options to purchase 5,400 shares on that February 1.</w:t>
      </w:r>
    </w:p>
    <w:p>
      <w:pPr>
        <w:spacing w:after="0" w:line="1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 Covered By The 1996 Plan</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On April 14, 2000, the Committee amended the 1996 Plan, subject to shareholder approval at the meeting, to provide for the grant of Options to purchase up to an aggregate of 50 million shares of the Company's Class A Special Common Stock. Prior to such amendment, the maximum number of shares was 40 million. If an Option granted under the 1996 Plan expires or terminates without having been exercised in full, the Option Shares allocable to the unexercised portion of such Option will be available for the grant of additional Options under the 1996 Plan, to the extent additional Options thereunder may be granted.</w:t>
      </w:r>
    </w:p>
    <w:p>
      <w:pPr>
        <w:spacing w:after="0" w:line="9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ind w:right="2099" w:firstLine="211"/>
        <w:spacing w:after="0" w:line="298" w:lineRule="auto"/>
        <w:rPr>
          <w:sz w:val="20"/>
          <w:szCs w:val="20"/>
          <w:color w:val="auto"/>
        </w:rPr>
      </w:pPr>
      <w:r>
        <w:rPr>
          <w:rFonts w:ascii="Courier New" w:cs="Courier New" w:eastAsia="Courier New" w:hAnsi="Courier New"/>
          <w:sz w:val="16"/>
          <w:szCs w:val="16"/>
          <w:color w:val="auto"/>
        </w:rPr>
        <w:t>The 1996 Plan provides that it will be administered by any committee or subcommittee designated by the Board of Directors of the Company, provided it is composed of two or more non-employee members of the Board of Directors of the Company, each of whom is an "outside director" within the meaning of the Code. Currently, the Subcommittee on Performance-Based Compensation of the Compensation Committee of the Board of Directors administers the 1996 Plan.</w:t>
      </w:r>
    </w:p>
    <w:p>
      <w:pPr>
        <w:spacing w:after="0" w:line="68"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Committee is authorized under the 1996 Plan to determine the Optionees to whom and the times at which the Options are granted and become exercisable. Subject to the provisions of the 1996 Plan, the Committee also is authorized to determine the number of Shares issuable upon exercise of each Option and other terms and conditions of the Option. In addition, the 1996 Plan provides that the</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1440" w:gutter="0" w:footer="0" w:header="0"/>
        </w:sectPr>
      </w:pPr>
    </w:p>
    <w:bookmarkStart w:id="32" w:name="page33"/>
    <w:bookmarkEnd w:id="32"/>
    <w:p>
      <w:pPr>
        <w:ind w:right="1999"/>
        <w:spacing w:after="0" w:line="274" w:lineRule="auto"/>
        <w:rPr>
          <w:sz w:val="20"/>
          <w:szCs w:val="20"/>
          <w:color w:val="auto"/>
        </w:rPr>
      </w:pPr>
      <w:r>
        <w:rPr>
          <w:rFonts w:ascii="Courier New" w:cs="Courier New" w:eastAsia="Courier New" w:hAnsi="Courier New"/>
          <w:sz w:val="18"/>
          <w:szCs w:val="18"/>
          <w:color w:val="auto"/>
        </w:rPr>
        <w:t>Committee may determine whether an Option is intended to be an ISO. Under certain circumstances, the Committee may have the power to accelerate or extend the exercise date of outstanding Options. See "Amendments," "Methods of Exercise" and "Termination" below.</w:t>
      </w:r>
    </w:p>
    <w:p>
      <w:pPr>
        <w:spacing w:after="0" w:line="82"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individual option document (the "Option Document") for each Option sets forth the terms of such Option. The Option Documents are in such form as the Committee shall from time to time approve. The interpretation and construction by the Committee of any provision of the 1996 Plan, or of any Option Document, is final, binding and conclusive.</w:t>
      </w:r>
    </w:p>
    <w:p>
      <w:pPr>
        <w:spacing w:after="0" w:line="9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of Shares Under the 1996 Plan</w:t>
      </w:r>
    </w:p>
    <w:p>
      <w:pPr>
        <w:spacing w:after="0" w:line="201"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Under the 1996 Plan, the Committee sets forth in each Option Document the exercise price for the Option Shares covered thereby (the "Option Price"), provided that the Option Price of ISOs may not be less than 100% of the fair market value of such Shares on the date or at the time that the Option is granted. In addition, if an ISO is granted to an Optionee who then owns, directly or by attribution under Section 424(d) of the Code, shares possessing more than 10% of the total combined voting power of all classes of stock of the Company or an Affiliate, the Option Price must be at least 110% of the fair market value of such Shares on the date the Option is granted. The 1996 Plan provides that "fair market value" shall generally be determined based on the last reported sale price of Shares on the last trading day prior to the date on which such value is determined.</w:t>
      </w:r>
    </w:p>
    <w:p>
      <w:pPr>
        <w:spacing w:after="0" w:line="105" w:lineRule="exact"/>
        <w:rPr>
          <w:sz w:val="20"/>
          <w:szCs w:val="20"/>
          <w:color w:val="auto"/>
        </w:rPr>
      </w:pPr>
    </w:p>
    <w:p>
      <w:pPr>
        <w:ind w:right="2199" w:firstLine="211"/>
        <w:spacing w:after="0" w:line="253" w:lineRule="auto"/>
        <w:rPr>
          <w:sz w:val="20"/>
          <w:szCs w:val="20"/>
          <w:color w:val="auto"/>
        </w:rPr>
      </w:pPr>
      <w:r>
        <w:rPr>
          <w:rFonts w:ascii="Courier New" w:cs="Courier New" w:eastAsia="Courier New" w:hAnsi="Courier New"/>
          <w:sz w:val="18"/>
          <w:szCs w:val="18"/>
          <w:color w:val="auto"/>
        </w:rPr>
        <w:t>The number of Shares of Class A Special Common Stock for which Options may be granted under the 1996 Plan, and the number of Shares of Class A Special Common Stock issuable upon exercise of Options granted under the 1996 Plan, and the exercise price for such Options, are subject to adjustment in the event of a stock dividend, stock split or certain other capital adjustments. No adjustment will be made in respect of the issuance of Shares on the conversion of other securities of the Company that are convertible into such class or classes of Shares.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1"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The Committee, with the consent of an Optionee, may amend the provisions of Option Documents under the 1996 Plan. Under the 1996 Plan, consent of the Optionee is not required for acceleration of the expiration date of an Option in the event of the dissolution or liquidation of the Company or upon the occurrence of certain other corporate transactions. See "Termination" below. The Committee, with the consent of the Optionee, may amend the provisions of the 1996 Plan to the extent necessary to maintain ISOs as qualified stock options within the meaning of the Code.</w:t>
      </w:r>
    </w:p>
    <w:p>
      <w:pPr>
        <w:spacing w:after="0" w:line="104"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The Committee may amend the 1996 Plan from time to time in such manner as it may deem advisable. However, amendments to change the class of individuals eligible to receive ISOs under the 1996 Plan, extend the expiration date of the 1996 Plan, decrease the minimum Option Price of an ISO granted under the 1996 Plan or increase the maximum number of Shares for which Options may be granted (other than as a result of adjustments in the event of a stock dividend, stock split or certain other capital adjustments) are not effective unless shareholder approval is obtained within twelve months before or after such action. In addition, provisions of the 1996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113" w:lineRule="exact"/>
        <w:rPr>
          <w:sz w:val="20"/>
          <w:szCs w:val="20"/>
          <w:color w:val="auto"/>
        </w:rPr>
      </w:pPr>
    </w:p>
    <w:p>
      <w:pPr>
        <w:ind w:right="1999" w:firstLine="211"/>
        <w:spacing w:after="0" w:line="344" w:lineRule="auto"/>
        <w:rPr>
          <w:sz w:val="20"/>
          <w:szCs w:val="20"/>
          <w:color w:val="auto"/>
        </w:rPr>
      </w:pPr>
      <w:r>
        <w:rPr>
          <w:rFonts w:ascii="Courier New" w:cs="Courier New" w:eastAsia="Courier New" w:hAnsi="Courier New"/>
          <w:sz w:val="16"/>
          <w:szCs w:val="16"/>
          <w:color w:val="auto"/>
        </w:rPr>
        <w:t>The power of the Board of Directors or the Committee to amend Option Documents or the 1996 Plan may be subject to limitations contained in applicable provisions of the Code and federal securities laws and regulations.</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33" w:name="page34"/>
    <w:bookmarkEnd w:id="33"/>
    <w:p>
      <w:pPr>
        <w:ind w:left="120"/>
        <w:spacing w:after="0"/>
        <w:rPr>
          <w:sz w:val="20"/>
          <w:szCs w:val="20"/>
          <w:color w:val="auto"/>
        </w:rPr>
      </w:pPr>
      <w:r>
        <w:rPr>
          <w:rFonts w:ascii="Courier New" w:cs="Courier New" w:eastAsia="Courier New" w:hAnsi="Courier New"/>
          <w:sz w:val="18"/>
          <w:szCs w:val="18"/>
          <w:color w:val="auto"/>
        </w:rPr>
        <w:t>Methods of Exercise</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An Option granted under the 1996 Plan may be exercised by the Optionee only by written notice to the Company. The notice required under the 1996 Plan must specify 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 made all or in part in shares of Class A Special Common Stock or Class A Common Stock; provided, however, that the Option Shares may not be paid for in shares of Class A Special Common Stock or Class A Common Stock if such method of payment would result in liability under Section 16(b) of the Securities Exchange Act of 1934, or if the Optionee does not own as of the date the relevant option is exercised a number of shares held for at least six months at least equal to the number of shares used to pay the exercise price of the Option.</w:t>
      </w:r>
    </w:p>
    <w:p>
      <w:pPr>
        <w:spacing w:after="0" w:line="113"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There is no limitation on the number of Shares an Optionee may acquire under the 1996 Plan in any given year through the exercise of outstanding Options, except as may be provided by the Committee in an Option Document.</w:t>
      </w:r>
    </w:p>
    <w:p>
      <w:pPr>
        <w:spacing w:after="0" w:line="6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w:t>
      </w:r>
    </w:p>
    <w:p>
      <w:pPr>
        <w:spacing w:after="0" w:line="201" w:lineRule="exact"/>
        <w:rPr>
          <w:sz w:val="20"/>
          <w:szCs w:val="20"/>
          <w:color w:val="auto"/>
        </w:rPr>
      </w:pPr>
    </w:p>
    <w:p>
      <w:pPr>
        <w:ind w:right="2099" w:firstLine="211"/>
        <w:spacing w:after="0" w:line="298" w:lineRule="auto"/>
        <w:rPr>
          <w:sz w:val="20"/>
          <w:szCs w:val="20"/>
          <w:color w:val="auto"/>
        </w:rPr>
      </w:pPr>
      <w:r>
        <w:rPr>
          <w:rFonts w:ascii="Courier New" w:cs="Courier New" w:eastAsia="Courier New" w:hAnsi="Courier New"/>
          <w:sz w:val="16"/>
          <w:szCs w:val="16"/>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68"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An Optionee's right to exercise any part of an Option granted pursuant to the 1996 Plan terminates on the first to occur of: (i) expiration of the Option term specified in the Option Document, which is subject to the limitations described in the preceding paragraph; (ii) expiration of 90 days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 (iii) expiration of one year from the date the Optionee's employment with the Company or an Affiliate terminates as a result of an Optionee's death or disability; (iv) the date set by the Committee as an accelerated expiration date in the event of the dissolution or liquidation of the Company or any other transaction in which an unaffiliated third party acquires more than 50% of the voting power for election of directors of the Company; or (v) the date of a finding by the Committee that the Optionee has breached his or her employment contract with the Company or an Affiliate (if such Optionee is an employee of the Company or an Affiliate), has been engaged in any sort of disloyalty to the Company or an Affiliate, including, without limitation, fraud, embezzlement, theft, commission of a felony or proven dishonesty in the course of his or her employment (if an employee) or in the course of his or her service as a director (if a non-employee director),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1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440" w:gutter="0" w:footer="0" w:header="0"/>
        </w:sectPr>
      </w:pPr>
    </w:p>
    <w:bookmarkStart w:id="34" w:name="page35"/>
    <w:bookmarkEnd w:id="34"/>
    <w:p>
      <w:pPr>
        <w:ind w:left="120"/>
        <w:spacing w:after="0"/>
        <w:rPr>
          <w:sz w:val="20"/>
          <w:szCs w:val="20"/>
          <w:color w:val="auto"/>
        </w:rPr>
      </w:pPr>
      <w:r>
        <w:rPr>
          <w:rFonts w:ascii="Courier New" w:cs="Courier New" w:eastAsia="Courier New" w:hAnsi="Courier New"/>
          <w:sz w:val="18"/>
          <w:szCs w:val="18"/>
          <w:color w:val="auto"/>
        </w:rPr>
        <w:t>Transferability of Options</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In general, Options granted under the 1996 Plan are not transferable by the Optionee except by will or by the laws of descent and distribution, and, during the lifetime of the Optionee, Options may be exercised only by the Optionee. However, the 1996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Plan or the relevant Option Documents, except that the consent of the transferee of the Options (rather than that of the original Optionee) will be required in order to amend the transferred Options. See "Amendments" above. Any Option which is made transferable to the extent provided in the 1996 Plan will be a nonqualified option.</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Rights</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1996 Plan provides that the Committee may, in its sole discretion, give an Optionee the right to receive the value of any nonqualified Option in cash upon exercise of the Option rather than to pay the exercise price of the Option and receive Shares. Such rights must be attached to specific Options and are subject to the same vesting, expiration and transferability terms as the Options to which they are attached. Options and associated cash rights may not be exercised separately.</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Withholding of Taxes</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Whenever the Company is required to deliver or transfer Shares of Class A Special Common Stock in connection with the exercise of an Option under the 1996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104"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Under the 1996 Plan, tax liabilities incurred in connection with the exercise of an Option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(provided the Optionee certifies at the time of such election that he or she has held for at least six months a number of Shares at least equal to the number of all Option Shares withheld in excess of the minimum amount), or to pay to the Company in cash all or a portion of the taxes to be withheld upon the exercise of an Option. The Committee may add such other requirements and limitations regarding these elections as it deems appropriate.</w:t>
      </w:r>
    </w:p>
    <w:p>
      <w:pPr>
        <w:spacing w:after="0" w:line="11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Federal Income Taxation</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The following discussion is intended to point out the general principles of current federal income tax law applicable to the Options issued under the 1996 Plan.</w:t>
      </w:r>
    </w:p>
    <w:p>
      <w:pPr>
        <w:spacing w:after="0" w:line="66"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Incentive Stock Options. For the purposes of the regular income tax currently imposed under the Code, the holder of an Option under the 1996 Plan which is an ISO will not recognize taxable income upon either the grant or exercise of the Option.</w:t>
      </w:r>
    </w:p>
    <w:p>
      <w:pPr>
        <w:spacing w:after="0" w:line="82"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The Optionee will recognize long-term capital gain or loss on a disposition of the Option Shares acquired upon exercise of an ISO provided the Optionee does not dispose of the Option Shares within</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35" w:name="page36"/>
    <w:bookmarkEnd w:id="35"/>
    <w:p>
      <w:pPr>
        <w:ind w:right="1999"/>
        <w:spacing w:after="0" w:line="253" w:lineRule="auto"/>
        <w:rPr>
          <w:sz w:val="20"/>
          <w:szCs w:val="20"/>
          <w:color w:val="auto"/>
        </w:rPr>
      </w:pPr>
      <w:r>
        <w:rPr>
          <w:rFonts w:ascii="Courier New" w:cs="Courier New" w:eastAsia="Courier New" w:hAnsi="Courier New"/>
          <w:sz w:val="18"/>
          <w:szCs w:val="18"/>
          <w:color w:val="auto"/>
        </w:rPr>
        <w:t>two years from the date the ISO was granted and within one year after the Option Shares were transferred to the Optionee. For purposes of determining such gain or loss, the Optionee's basis in such Shares will, in general, be the Optionee's Option Price. Under present law, long-term capital gain is subject to an effective tax rate of 20%, while ordinary income may be taxed at a maximum effective rate of 39.6%. If the Optionee satisfies both of the holding periods described above, then the Company will not be allowed a deduction by reason of the exercise of the ISO.</w:t>
      </w:r>
    </w:p>
    <w:p>
      <w:pPr>
        <w:spacing w:after="0" w:line="104"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 alternative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290"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 of the Option Shares (or, in certain cases, the excess of the amount realized on disposition over the adjusted basis, if such excess is less than the amount arrived at by the former calculation), and the Company will be entitled to a deduction in that amount.</w:t>
      </w:r>
    </w:p>
    <w:p>
      <w:pPr>
        <w:spacing w:after="0" w:line="99"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gain (if any) in excess of the amount recognized as ordinary income on a disqualifying disposition will be long-term or short-term capital gain, depending upon the length of time the recipient held the Option Shares prior to the disposition.</w:t>
      </w:r>
    </w:p>
    <w:p>
      <w:pPr>
        <w:spacing w:after="0" w:line="82" w:lineRule="exact"/>
        <w:rPr>
          <w:sz w:val="20"/>
          <w:szCs w:val="20"/>
          <w:color w:val="auto"/>
        </w:rPr>
      </w:pPr>
    </w:p>
    <w:p>
      <w:pPr>
        <w:ind w:right="1999" w:firstLine="211"/>
        <w:spacing w:after="0" w:line="278" w:lineRule="auto"/>
        <w:rPr>
          <w:sz w:val="20"/>
          <w:szCs w:val="20"/>
          <w:color w:val="auto"/>
        </w:rPr>
      </w:pPr>
      <w:r>
        <w:rPr>
          <w:rFonts w:ascii="Courier New" w:cs="Courier New" w:eastAsia="Courier New" w:hAnsi="Courier New"/>
          <w:sz w:val="16"/>
          <w:szCs w:val="16"/>
          <w:color w:val="auto"/>
        </w:rPr>
        <w:t>Optionees may be permitted to exercise ISOs by transferring to the Company shares of the Company's Class A Special Common Stock or Class A Common Stock then held by the Optionee ("Prior Shares") having a market value equal to the Option Price of the Shares to be purchased (see "Methods of Exercise" above).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the Prior Shares by exercise of an ISO or if the Optionee has satisfied the holding period requirements applicable to the Prior Shares,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295"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If an Option granted under the 1996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82"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Nonqualified Options. For Federal income tax purposes, the holder of an option that is not an ISO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1440" w:gutter="0" w:footer="0" w:header="0"/>
        </w:sectPr>
      </w:pPr>
    </w:p>
    <w:bookmarkStart w:id="36" w:name="page37"/>
    <w:bookmarkEnd w:id="36"/>
    <w:p>
      <w:pPr>
        <w:ind w:right="1999"/>
        <w:spacing w:after="0" w:line="292" w:lineRule="auto"/>
        <w:rPr>
          <w:sz w:val="20"/>
          <w:szCs w:val="20"/>
          <w:color w:val="auto"/>
        </w:rPr>
      </w:pPr>
      <w:r>
        <w:rPr>
          <w:rFonts w:ascii="Courier New" w:cs="Courier New" w:eastAsia="Courier New" w:hAnsi="Courier New"/>
          <w:sz w:val="18"/>
          <w:szCs w:val="18"/>
          <w:color w:val="auto"/>
        </w:rPr>
        <w:t>Shares withheld by the Company to satisfy tax withholding obligations) over the exercise price of the nonqualified option, and the Company will be allowed a deduction in that amount.</w:t>
      </w:r>
    </w:p>
    <w:p>
      <w:pPr>
        <w:spacing w:after="0" w:line="66"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Upon disposition of the Option Shares, the Optionee will recognize long-term or short-term capital gain or loss, depending upon the length of time he or she held the Option Shares prior to disposition. The amount of long-term or short-term capital gain or loss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w:t>
      </w:r>
    </w:p>
    <w:p>
      <w:pPr>
        <w:spacing w:after="0" w:line="104" w:lineRule="exact"/>
        <w:rPr>
          <w:sz w:val="20"/>
          <w:szCs w:val="20"/>
          <w:color w:val="auto"/>
        </w:rPr>
      </w:pPr>
    </w:p>
    <w:p>
      <w:pPr>
        <w:ind w:right="2099" w:firstLine="211"/>
        <w:spacing w:after="0" w:line="287" w:lineRule="auto"/>
        <w:rPr>
          <w:sz w:val="20"/>
          <w:szCs w:val="20"/>
          <w:color w:val="auto"/>
        </w:rPr>
      </w:pPr>
      <w:r>
        <w:rPr>
          <w:rFonts w:ascii="Courier New" w:cs="Courier New" w:eastAsia="Courier New" w:hAnsi="Courier New"/>
          <w:sz w:val="16"/>
          <w:szCs w:val="16"/>
          <w:color w:val="auto"/>
        </w:rPr>
        <w:t>Optionees may be permitted to exercise nonqualified options by transferring to the Company shares having a market value equal to the Option Price of the Shares to be purchased (see "Methods of Exercise" above). In that case, no income will be recognized on the receipt of a corresponding number of Option Shares, and the Optionee's basis and holding period in the Prior Shares will carry over to the corresponding number of Option Shares received. The Optionee's basis in such additional Option Shares received will equal the amount includable in the Optionee's income and his or her holding period will begin on the date the Optionee becomes the owner of such shares.</w:t>
      </w:r>
    </w:p>
    <w:p>
      <w:pPr>
        <w:spacing w:after="0" w:line="75"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Certain Optionees may be permitted to transfer nonqualified options to members of their immediate family, or certain trusts or partnerships, without consideration. See "Transferability of Options" above. In the case of any nonqualified option so transferred, the original Optionee will recognize income upon the exercise of the option by the transferee to the same extent as if the original Optionee had exercised the option, and the Company's concurrent deduction will also be the same. The transferee's basis and holding period in the stock received upon exercise of the transferred option will be the same basis and holding period as would have applied had the original Optionee exercised the option in the same manner used by the transferee to exercise the option.</w:t>
      </w:r>
    </w:p>
    <w:p>
      <w:pPr>
        <w:spacing w:after="0" w:line="104" w:lineRule="exact"/>
        <w:rPr>
          <w:sz w:val="20"/>
          <w:szCs w:val="20"/>
          <w:color w:val="auto"/>
        </w:rPr>
      </w:pPr>
    </w:p>
    <w:p>
      <w:pPr>
        <w:jc w:val="both"/>
        <w:ind w:right="2199" w:firstLine="211"/>
        <w:spacing w:after="0" w:line="402"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AMENDMENT TO THE COMCAST CORPORATION 1996 STOCK OPTION PLAN.</w:t>
      </w:r>
    </w:p>
    <w:p>
      <w:pPr>
        <w:spacing w:after="0" w:line="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 THREE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TO RATIFY THE APPOINTMENT OF INDEPENDENT AUDITORS</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93"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UNANIMOUSLY RECOMMENDS THAT SHAREHOLDERS VOTE "FOR"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APPROVAL OF THE ABOVE PROPOSAL.</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w:t>
      </w:r>
    </w:p>
    <w:p>
      <w:pPr>
        <w:spacing w:after="0" w:line="201"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Proposals of shareholders intended to be presented at the Annual Meeting of Shareholders in 2001 must be received by January 15, 2001 in order to be considered for inclusion in the Company's proxy</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440" w:gutter="0" w:footer="0" w:header="0"/>
        </w:sectPr>
      </w:pPr>
    </w:p>
    <w:bookmarkStart w:id="37" w:name="page38"/>
    <w:bookmarkEnd w:id="37"/>
    <w:p>
      <w:pPr>
        <w:ind w:right="1999"/>
        <w:spacing w:after="0" w:line="298" w:lineRule="auto"/>
        <w:rPr>
          <w:sz w:val="20"/>
          <w:szCs w:val="20"/>
          <w:color w:val="auto"/>
        </w:rPr>
      </w:pPr>
      <w:r>
        <w:rPr>
          <w:rFonts w:ascii="Courier New" w:cs="Courier New" w:eastAsia="Courier New" w:hAnsi="Courier New"/>
          <w:sz w:val="16"/>
          <w:szCs w:val="16"/>
          <w:color w:val="auto"/>
        </w:rPr>
        <w:t>statement and form of proxy relating to that meeting. Shareholder proposals should be directed to Stanley L. Wang, Executive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68"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A shareholder may wish to have a proposal presented at the Annual Meeting of Shareholders in 2001, but not to have such proposal included in the Company's proxy statement and form of proxy relating to that meeting. Pursuant to Section 2-9 of the Company's by-laws, notice of any such proposal must be received by the Company between March 24, 2001 and April 23, 2001. If it is not received during this period, such proposal shall be deemed "untimely" for purposes of Rule 14a-4(c) under the Exchange Act, and, therefore, the proxies will have the right to exercise discretionary voting authority with respect to such proposal. Any such proposal should be directed to Stanley L. Wang, Executive Vice President and Secretary, at the address of the Company set forth on the first page of this Proxy Statement.</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9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ANNUAL REPORT ON FORM 10-K</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38" w:name="page39"/>
    <w:bookmarkEnd w:id="38"/>
    <w:p>
      <w:pPr>
        <w:jc w:val="right"/>
        <w:ind w:right="177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THIS PROXY IS SOLICITED ON BEHALF OF THE BOARD</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OF DIRECTORS OF COMCAST CORPORATION</w:t>
      </w:r>
    </w:p>
    <w:p>
      <w:pPr>
        <w:spacing w:after="0" w:line="169" w:lineRule="exact"/>
        <w:rPr>
          <w:sz w:val="20"/>
          <w:szCs w:val="20"/>
          <w:color w:val="auto"/>
        </w:rPr>
      </w:pPr>
    </w:p>
    <w:p>
      <w:pPr>
        <w:ind w:right="1779" w:firstLine="316"/>
        <w:spacing w:after="0" w:line="250" w:lineRule="auto"/>
        <w:rPr>
          <w:sz w:val="20"/>
          <w:szCs w:val="20"/>
          <w:color w:val="auto"/>
        </w:rPr>
      </w:pPr>
      <w:r>
        <w:rPr>
          <w:rFonts w:ascii="Courier New" w:cs="Courier New" w:eastAsia="Courier New" w:hAnsi="Courier New"/>
          <w:sz w:val="18"/>
          <w:szCs w:val="18"/>
          <w:color w:val="auto"/>
        </w:rPr>
        <w:t>The undersigned, a holder of Class A Common Stock of COMCAST CORPORATION (the "Company"), hereby constitutes and appoints RALPH J. ROBERTS and STANLEY L. WANG, and each of them acting individually, as the attorney and proxy of the undersigned, with full power of substitution, for and in the name and stead of the undersigned, to attend the Annual Meeting of Shareholders of the Company to be held on Thursday, June 22, 2000 at 9:00 a.m. local time at the offices of the Company, 1500 Market Street, West Tower, 9th Floor, Philadelphia, Pennsylvania, and any adjournment or postponement thereof, and thereat to vote all shares of Class A Common Stock which the undersigned would be entitled to vote if personally present, as follows:</w:t>
      </w:r>
    </w:p>
    <w:p>
      <w:pPr>
        <w:spacing w:after="0" w:line="104" w:lineRule="exact"/>
        <w:rPr>
          <w:sz w:val="20"/>
          <w:szCs w:val="20"/>
          <w:color w:val="auto"/>
        </w:rPr>
      </w:pPr>
    </w:p>
    <w:p>
      <w:pPr>
        <w:ind w:right="1779" w:firstLine="316"/>
        <w:spacing w:after="0" w:line="265" w:lineRule="auto"/>
        <w:rPr>
          <w:sz w:val="20"/>
          <w:szCs w:val="20"/>
          <w:color w:val="auto"/>
        </w:rPr>
      </w:pPr>
      <w:r>
        <w:rPr>
          <w:rFonts w:ascii="Courier New" w:cs="Courier New" w:eastAsia="Courier New" w:hAnsi="Courier New"/>
          <w:sz w:val="18"/>
          <w:szCs w:val="18"/>
          <w:color w:val="auto"/>
        </w:rPr>
        <w:t>Unless otherwise specified, the shares will be voted "FOR" the election of all nine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90" w:lineRule="exact"/>
        <w:rPr>
          <w:sz w:val="20"/>
          <w:szCs w:val="20"/>
          <w:color w:val="auto"/>
        </w:rPr>
      </w:pPr>
    </w:p>
    <w:p>
      <w:pPr>
        <w:ind w:right="1879" w:firstLine="316"/>
        <w:spacing w:after="0" w:line="402"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PROXY STATEMENT AND ANNUAL REPORT ON FORM 10-K OF COMCAST CORPORATION.</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(Continued and to be dated and signed on the reverse side)</w:t>
      </w:r>
    </w:p>
    <w:p>
      <w:pPr>
        <w:sectPr>
          <w:pgSz w:w="11900" w:h="16838" w:orient="portrait"/>
          <w:cols w:equalWidth="0" w:num="1">
            <w:col w:w="10219"/>
          </w:cols>
          <w:pgMar w:left="240" w:top="691" w:right="1440" w:bottom="1440" w:gutter="0" w:footer="0" w:header="0"/>
        </w:sectPr>
      </w:pPr>
    </w:p>
    <w:bookmarkStart w:id="39" w:name="page40"/>
    <w:bookmarkEnd w:id="39"/>
    <w:p>
      <w:pPr>
        <w:ind w:right="1779"/>
        <w:spacing w:after="0" w:line="347" w:lineRule="auto"/>
        <w:rPr>
          <w:sz w:val="20"/>
          <w:szCs w:val="20"/>
          <w:color w:val="auto"/>
        </w:rPr>
      </w:pPr>
      <w:r>
        <w:rPr>
          <w:rFonts w:ascii="Courier New" w:cs="Courier New" w:eastAsia="Courier New" w:hAnsi="Courier New"/>
          <w:sz w:val="18"/>
          <w:szCs w:val="18"/>
          <w:color w:val="auto"/>
        </w:rPr>
        <w:t>If Casting Votes By Mail, Detach Here and Return Properly Executed Proxy Card in Enclosed Postage-Prepaid Envelope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[logo of Comcast Corporation appears here]</w:t>
            </w:r>
          </w:p>
        </w:tc>
        <w:tc>
          <w:tcPr>
            <w:tcW w:w="32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Comcast Corporation</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P.O. Box 11059</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10203-0059</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2160" w:type="dxa"/>
            <w:vAlign w:val="bottom"/>
          </w:tcPr>
          <w:p>
            <w:pPr>
              <w:ind w:left="640"/>
              <w:spacing w:after="0"/>
              <w:rPr>
                <w:sz w:val="20"/>
                <w:szCs w:val="20"/>
                <w:color w:val="auto"/>
              </w:rPr>
            </w:pPr>
            <w:r>
              <w:rPr>
                <w:rFonts w:ascii="Courier New" w:cs="Courier New" w:eastAsia="Courier New" w:hAnsi="Courier New"/>
                <w:sz w:val="18"/>
                <w:szCs w:val="18"/>
                <w:color w:val="auto"/>
                <w:w w:val="99"/>
              </w:rPr>
              <w:t>New York, N.Y.</w:t>
            </w: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_______________________________</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CONTROL NUMBER</w:t>
      </w:r>
    </w:p>
    <w:p>
      <w:pPr>
        <w:ind w:left="4540"/>
        <w:spacing w:after="0" w:line="238" w:lineRule="auto"/>
        <w:rPr>
          <w:sz w:val="20"/>
          <w:szCs w:val="20"/>
          <w:color w:val="auto"/>
        </w:rPr>
      </w:pPr>
      <w:r>
        <w:rPr>
          <w:rFonts w:ascii="Courier New" w:cs="Courier New" w:eastAsia="Courier New" w:hAnsi="Courier New"/>
          <w:sz w:val="18"/>
          <w:szCs w:val="18"/>
          <w:color w:val="auto"/>
        </w:rPr>
        <w:t>FOR INTERNET VOTING</w:t>
      </w:r>
    </w:p>
    <w:p>
      <w:pPr>
        <w:ind w:left="4540"/>
        <w:spacing w:after="0"/>
        <w:rPr>
          <w:sz w:val="20"/>
          <w:szCs w:val="20"/>
          <w:color w:val="auto"/>
        </w:rPr>
      </w:pPr>
      <w:r>
        <w:rPr>
          <w:rFonts w:ascii="Courier New" w:cs="Courier New" w:eastAsia="Courier New" w:hAnsi="Courier New"/>
          <w:sz w:val="18"/>
          <w:szCs w:val="18"/>
          <w:color w:val="auto"/>
        </w:rPr>
        <w:t>_______________________________</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VOTE BY INTERNET</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 HOURS A DAY, 7 DAYS A WEEK</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INTERNET</w:t>
            </w:r>
          </w:p>
        </w:tc>
        <w:tc>
          <w:tcPr>
            <w:tcW w:w="4060" w:type="dxa"/>
            <w:vAlign w:val="bottom"/>
          </w:tcPr>
          <w:p>
            <w:pPr>
              <w:ind w:left="260"/>
              <w:spacing w:after="0"/>
              <w:rPr>
                <w:sz w:val="20"/>
                <w:szCs w:val="20"/>
                <w:color w:val="auto"/>
              </w:rPr>
            </w:pPr>
            <w:r>
              <w:rPr>
                <w:rFonts w:ascii="Courier New" w:cs="Courier New" w:eastAsia="Courier New" w:hAnsi="Courier New"/>
                <w:sz w:val="18"/>
                <w:szCs w:val="18"/>
                <w:color w:val="auto"/>
              </w:rPr>
              <w:t>MAIL</w:t>
            </w: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http://www.eproxyvote.com/cmcsa</w:t>
            </w:r>
          </w:p>
        </w:tc>
        <w:tc>
          <w:tcPr>
            <w:tcW w:w="4060" w:type="dxa"/>
            <w:vAlign w:val="bottom"/>
          </w:tcPr>
          <w:p>
            <w:pPr>
              <w:ind w:left="260"/>
              <w:spacing w:after="0"/>
              <w:rPr>
                <w:sz w:val="20"/>
                <w:szCs w:val="20"/>
                <w:color w:val="auto"/>
              </w:rPr>
            </w:pPr>
            <w:r>
              <w:rPr>
                <w:rFonts w:ascii="Courier New" w:cs="Courier New" w:eastAsia="Courier New" w:hAnsi="Courier New"/>
                <w:sz w:val="18"/>
                <w:szCs w:val="18"/>
                <w:color w:val="auto"/>
              </w:rPr>
              <w:t>Mark, sign and date your</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4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proxy card and return it in the</w:t>
            </w:r>
          </w:p>
        </w:tc>
        <w:tc>
          <w:tcPr>
            <w:tcW w:w="0" w:type="dxa"/>
            <w:vAlign w:val="bottom"/>
          </w:tcPr>
          <w:p>
            <w:pPr>
              <w:spacing w:after="0"/>
              <w:rPr>
                <w:sz w:val="1"/>
                <w:szCs w:val="1"/>
                <w:color w:val="auto"/>
              </w:rPr>
            </w:pPr>
          </w:p>
        </w:tc>
      </w:tr>
      <w:tr>
        <w:trPr>
          <w:trHeight w:val="203"/>
        </w:trPr>
        <w:tc>
          <w:tcPr>
            <w:tcW w:w="4380" w:type="dxa"/>
            <w:vAlign w:val="bottom"/>
            <w:vMerge w:val="restart"/>
          </w:tcPr>
          <w:p>
            <w:pPr>
              <w:spacing w:after="0"/>
              <w:rPr>
                <w:sz w:val="20"/>
                <w:szCs w:val="20"/>
                <w:color w:val="auto"/>
              </w:rPr>
            </w:pPr>
            <w:r>
              <w:rPr>
                <w:rFonts w:ascii="Courier New" w:cs="Courier New" w:eastAsia="Courier New" w:hAnsi="Courier New"/>
                <w:sz w:val="18"/>
                <w:szCs w:val="18"/>
                <w:color w:val="auto"/>
              </w:rPr>
              <w:t>Use the Internet to vote your proxy.</w:t>
            </w:r>
          </w:p>
        </w:tc>
        <w:tc>
          <w:tcPr>
            <w:tcW w:w="4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postage-paid envelope we have</w:t>
            </w:r>
          </w:p>
        </w:tc>
        <w:tc>
          <w:tcPr>
            <w:tcW w:w="0" w:type="dxa"/>
            <w:vAlign w:val="bottom"/>
          </w:tcPr>
          <w:p>
            <w:pPr>
              <w:spacing w:after="0"/>
              <w:rPr>
                <w:sz w:val="1"/>
                <w:szCs w:val="1"/>
                <w:color w:val="auto"/>
              </w:rPr>
            </w:pPr>
          </w:p>
        </w:tc>
      </w:tr>
      <w:tr>
        <w:trPr>
          <w:trHeight w:val="296"/>
        </w:trPr>
        <w:tc>
          <w:tcPr>
            <w:tcW w:w="4380" w:type="dxa"/>
            <w:vAlign w:val="bottom"/>
            <w:vMerge w:val="continue"/>
          </w:tcPr>
          <w:p>
            <w:pPr>
              <w:spacing w:after="0"/>
              <w:rPr>
                <w:sz w:val="24"/>
                <w:szCs w:val="24"/>
                <w:color w:val="auto"/>
              </w:rPr>
            </w:pPr>
          </w:p>
        </w:tc>
        <w:tc>
          <w:tcPr>
            <w:tcW w:w="4060" w:type="dxa"/>
            <w:vAlign w:val="bottom"/>
          </w:tcPr>
          <w:p>
            <w:pPr>
              <w:ind w:left="260"/>
              <w:spacing w:after="0"/>
              <w:rPr>
                <w:sz w:val="20"/>
                <w:szCs w:val="20"/>
                <w:color w:val="auto"/>
              </w:rPr>
            </w:pPr>
            <w:r>
              <w:rPr>
                <w:rFonts w:ascii="Courier New" w:cs="Courier New" w:eastAsia="Courier New" w:hAnsi="Courier New"/>
                <w:sz w:val="18"/>
                <w:szCs w:val="18"/>
                <w:color w:val="auto"/>
              </w:rPr>
              <w:t>provided.</w:t>
            </w: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Have your proxy card in hand when</w:t>
            </w:r>
          </w:p>
        </w:tc>
        <w:tc>
          <w:tcPr>
            <w:tcW w:w="4060" w:type="dxa"/>
            <w:vAlign w:val="bottom"/>
          </w:tcPr>
          <w:p>
            <w:pPr>
              <w:ind w:left="260"/>
              <w:spacing w:after="0"/>
              <w:rPr>
                <w:sz w:val="20"/>
                <w:szCs w:val="20"/>
                <w:color w:val="auto"/>
              </w:rPr>
            </w:pPr>
            <w:r>
              <w:rPr>
                <w:rFonts w:ascii="Courier New" w:cs="Courier New" w:eastAsia="Courier New" w:hAnsi="Courier New"/>
                <w:sz w:val="18"/>
                <w:szCs w:val="18"/>
                <w:color w:val="auto"/>
              </w:rPr>
              <w:t>If you have submitted your proxy</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you access the website. You</w:t>
            </w:r>
          </w:p>
        </w:tc>
        <w:tc>
          <w:tcPr>
            <w:tcW w:w="4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by the Internet there is no need for</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 be prompted to</w:t>
            </w:r>
          </w:p>
        </w:tc>
        <w:tc>
          <w:tcPr>
            <w:tcW w:w="4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you to mail back your proxy.</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enter your control number,</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located in the box above, to create</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an electronic ballot.</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Your Internet vote authorizes the named</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proxies to vote your shares in the same</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manner as if you marked, signed</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0"/>
                <w:szCs w:val="20"/>
                <w:color w:val="auto"/>
              </w:rPr>
            </w:pPr>
            <w:r>
              <w:rPr>
                <w:rFonts w:ascii="Courier New" w:cs="Courier New" w:eastAsia="Courier New" w:hAnsi="Courier New"/>
                <w:sz w:val="18"/>
                <w:szCs w:val="18"/>
                <w:color w:val="auto"/>
              </w:rPr>
              <w:t>and returned the proxy card.</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960" w:right="1999"/>
        <w:spacing w:after="0" w:line="347" w:lineRule="auto"/>
        <w:rPr>
          <w:sz w:val="20"/>
          <w:szCs w:val="20"/>
          <w:color w:val="auto"/>
        </w:rPr>
      </w:pPr>
      <w:r>
        <w:rPr>
          <w:rFonts w:ascii="Courier New" w:cs="Courier New" w:eastAsia="Courier New" w:hAnsi="Courier New"/>
          <w:sz w:val="18"/>
          <w:szCs w:val="18"/>
          <w:color w:val="auto"/>
        </w:rPr>
        <w:t>You can vote via the Internet anytime prior to 5:00 p.m. eastern time on June 21, 2000.</w:t>
      </w:r>
    </w:p>
    <w:p>
      <w:pPr>
        <w:spacing w:after="0" w:line="18" w:lineRule="exact"/>
        <w:rPr>
          <w:sz w:val="20"/>
          <w:szCs w:val="20"/>
          <w:color w:val="auto"/>
        </w:rPr>
      </w:pPr>
    </w:p>
    <w:p>
      <w:pPr>
        <w:ind w:left="740" w:right="6739" w:hanging="416"/>
        <w:spacing w:after="0" w:line="47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nine Directors [ ] FOR</w:t>
      </w:r>
    </w:p>
    <w:p>
      <w:pPr>
        <w:spacing w:after="0" w:line="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WITHHELD</w:t>
      </w:r>
    </w:p>
    <w:p>
      <w:pPr>
        <w:spacing w:after="0" w:line="201" w:lineRule="exact"/>
        <w:rPr>
          <w:sz w:val="20"/>
          <w:szCs w:val="20"/>
          <w:color w:val="auto"/>
        </w:rPr>
      </w:pPr>
    </w:p>
    <w:p>
      <w:pPr>
        <w:ind w:right="1779" w:firstLine="1369"/>
        <w:spacing w:after="0" w:line="318" w:lineRule="auto"/>
        <w:rPr>
          <w:sz w:val="20"/>
          <w:szCs w:val="20"/>
          <w:color w:val="auto"/>
        </w:rPr>
      </w:pPr>
      <w:r>
        <w:rPr>
          <w:rFonts w:ascii="Courier New" w:cs="Courier New" w:eastAsia="Courier New" w:hAnsi="Courier New"/>
          <w:sz w:val="16"/>
          <w:szCs w:val="16"/>
          <w:color w:val="auto"/>
        </w:rPr>
        <w:t>EXCEPT WITHHOLD AUTHORITY TO VOTE FOR ANY INDIVIDUAL NOMINEE(S) WHOSE NAME(S) IS (ARE) LINED THROUGH. 01-Ralph J. Roberts, 02-Julian A. Brodsky, 03-Brian L. Roberts, 04-Gustave G. Amsterdam, 05-Sheldon M. Bonovitz, 06-Joseph L. Castle, II, 07-Bernard C. Watson, 08-Irving A. Wechsler, and 09-Anne Wexler.</w:t>
      </w:r>
    </w:p>
    <w:p>
      <w:pPr>
        <w:sectPr>
          <w:pgSz w:w="11900" w:h="16838" w:orient="portrait"/>
          <w:cols w:equalWidth="0" w:num="1">
            <w:col w:w="10219"/>
          </w:cols>
          <w:pgMar w:left="240" w:top="691" w:right="1440" w:bottom="1440" w:gutter="0" w:footer="0" w:header="0"/>
        </w:sectPr>
      </w:pPr>
    </w:p>
    <w:bookmarkStart w:id="40" w:name="page41"/>
    <w:bookmarkEnd w:id="40"/>
    <w:p>
      <w:pPr>
        <w:ind w:left="1280" w:right="1779" w:hanging="745"/>
        <w:spacing w:after="0" w:line="347" w:lineRule="auto"/>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Comcast Corporation 1996 Stock Option Plan.</w:t>
      </w:r>
    </w:p>
    <w:p>
      <w:pPr>
        <w:spacing w:after="0" w:line="18" w:lineRule="exact"/>
        <w:rPr>
          <w:sz w:val="20"/>
          <w:szCs w:val="20"/>
          <w:color w:val="auto"/>
        </w:rPr>
      </w:pPr>
    </w:p>
    <w:p>
      <w:pPr>
        <w:ind w:left="1280"/>
        <w:spacing w:after="0"/>
        <w:tabs>
          <w:tab w:leader="none" w:pos="1780" w:val="left"/>
          <w:tab w:leader="none" w:pos="3040" w:val="left"/>
          <w:tab w:leader="none" w:pos="3560" w:val="left"/>
          <w:tab w:leader="none" w:pos="5260" w:val="left"/>
          <w:tab w:leader="none" w:pos="5780" w:val="left"/>
        </w:tabs>
        <w:rPr>
          <w:sz w:val="20"/>
          <w:szCs w:val="20"/>
          <w:color w:val="auto"/>
        </w:rPr>
      </w:pPr>
      <w:r>
        <w:rPr>
          <w:rFonts w:ascii="Courier New" w:cs="Courier New" w:eastAsia="Courier New" w:hAnsi="Courier New"/>
          <w:sz w:val="18"/>
          <w:szCs w:val="18"/>
          <w:color w:val="auto"/>
        </w:rPr>
        <w:t>[ ]</w:t>
        <w:tab/>
        <w:t>FOR</w:t>
      </w:r>
      <w:r>
        <w:rPr>
          <w:sz w:val="20"/>
          <w:szCs w:val="20"/>
          <w:color w:val="auto"/>
        </w:rPr>
        <w:tab/>
      </w:r>
      <w:r>
        <w:rPr>
          <w:rFonts w:ascii="Courier New" w:cs="Courier New" w:eastAsia="Courier New" w:hAnsi="Courier New"/>
          <w:sz w:val="18"/>
          <w:szCs w:val="18"/>
          <w:color w:val="auto"/>
        </w:rPr>
        <w:t>[ ]</w:t>
        <w:tab/>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ind w:left="1280" w:right="1879" w:hanging="745"/>
        <w:spacing w:after="0" w:line="347"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w:t>
      </w:r>
    </w:p>
    <w:p>
      <w:pPr>
        <w:spacing w:after="0" w:line="18" w:lineRule="exact"/>
        <w:rPr>
          <w:sz w:val="20"/>
          <w:szCs w:val="20"/>
          <w:color w:val="auto"/>
        </w:rPr>
      </w:pPr>
    </w:p>
    <w:p>
      <w:pPr>
        <w:ind w:left="1280"/>
        <w:spacing w:after="0"/>
        <w:tabs>
          <w:tab w:leader="none" w:pos="1780" w:val="left"/>
          <w:tab w:leader="none" w:pos="3040" w:val="left"/>
          <w:tab w:leader="none" w:pos="3560" w:val="left"/>
          <w:tab w:leader="none" w:pos="5260" w:val="left"/>
          <w:tab w:leader="none" w:pos="5780" w:val="left"/>
        </w:tabs>
        <w:rPr>
          <w:sz w:val="20"/>
          <w:szCs w:val="20"/>
          <w:color w:val="auto"/>
        </w:rPr>
      </w:pPr>
      <w:r>
        <w:rPr>
          <w:rFonts w:ascii="Courier New" w:cs="Courier New" w:eastAsia="Courier New" w:hAnsi="Courier New"/>
          <w:sz w:val="18"/>
          <w:szCs w:val="18"/>
          <w:color w:val="auto"/>
        </w:rPr>
        <w:t>[ ]</w:t>
        <w:tab/>
        <w:t>FOR</w:t>
      </w:r>
      <w:r>
        <w:rPr>
          <w:sz w:val="20"/>
          <w:szCs w:val="20"/>
          <w:color w:val="auto"/>
        </w:rPr>
        <w:tab/>
      </w:r>
      <w:r>
        <w:rPr>
          <w:rFonts w:ascii="Courier New" w:cs="Courier New" w:eastAsia="Courier New" w:hAnsi="Courier New"/>
          <w:sz w:val="18"/>
          <w:szCs w:val="18"/>
          <w:color w:val="auto"/>
        </w:rPr>
        <w:t>[ ]</w:t>
        <w:tab/>
        <w:t>AGAINST</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ind w:left="1280" w:right="2099" w:hanging="745"/>
        <w:spacing w:after="0" w:line="347" w:lineRule="auto"/>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1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The signer hereby revokes all previous proxies given by the signer to vote at the Annual Meeting or any adjournments thereof.</w:t>
      </w:r>
    </w:p>
    <w:p>
      <w:pPr>
        <w:spacing w:after="0" w:line="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Change of Address and/or Comments mark here [ ]</w:t>
      </w:r>
    </w:p>
    <w:p>
      <w:pPr>
        <w:spacing w:after="0" w:line="201"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NOTE: 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29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spacing w:after="0" w:line="31" w:lineRule="exact"/>
        <w:rPr>
          <w:sz w:val="20"/>
          <w:szCs w:val="20"/>
          <w:color w:val="auto"/>
        </w:rPr>
      </w:pPr>
    </w:p>
    <w:p>
      <w:pPr>
        <w:ind w:left="4320"/>
        <w:spacing w:after="0"/>
        <w:tabs>
          <w:tab w:leader="none" w:pos="716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DATE</w:t>
      </w:r>
    </w:p>
    <w:p>
      <w:pPr>
        <w:sectPr>
          <w:pgSz w:w="11900" w:h="16838" w:orient="portrait"/>
          <w:cols w:equalWidth="0" w:num="1">
            <w:col w:w="10219"/>
          </w:cols>
          <w:pgMar w:left="240" w:top="691" w:right="1440" w:bottom="1440" w:gutter="0" w:footer="0" w:header="0"/>
        </w:sectPr>
      </w:pPr>
    </w:p>
    <w:bookmarkStart w:id="41" w:name="page42"/>
    <w:bookmarkEnd w:id="41"/>
    <w:p>
      <w:pPr>
        <w:jc w:val="right"/>
        <w:ind w:right="1779"/>
        <w:spacing w:after="0"/>
        <w:rPr>
          <w:sz w:val="20"/>
          <w:szCs w:val="20"/>
          <w:color w:val="auto"/>
        </w:rPr>
      </w:pPr>
      <w:r>
        <w:rPr>
          <w:rFonts w:ascii="Courier New" w:cs="Courier New" w:eastAsia="Courier New" w:hAnsi="Courier New"/>
          <w:sz w:val="18"/>
          <w:szCs w:val="18"/>
          <w:color w:val="auto"/>
        </w:rPr>
        <w:t>Annex B</w:t>
      </w:r>
    </w:p>
    <w:p>
      <w:pPr>
        <w:spacing w:after="0" w:line="31"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1996 STOCK OPTION PLAN</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(As Amended and Restated, Effective April 14, 2000)</w:t>
      </w:r>
    </w:p>
    <w:p>
      <w:pPr>
        <w:spacing w:after="0" w:line="200" w:lineRule="exact"/>
        <w:rPr>
          <w:sz w:val="20"/>
          <w:szCs w:val="20"/>
          <w:color w:val="auto"/>
        </w:rPr>
      </w:pPr>
    </w:p>
    <w:p>
      <w:pPr>
        <w:spacing w:after="0" w:line="204" w:lineRule="exact"/>
        <w:rPr>
          <w:sz w:val="20"/>
          <w:szCs w:val="20"/>
          <w:color w:val="auto"/>
        </w:rPr>
      </w:pPr>
    </w:p>
    <w:p>
      <w:pPr>
        <w:ind w:left="1580" w:hanging="519"/>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Plan</w:t>
      </w:r>
    </w:p>
    <w:p>
      <w:pPr>
        <w:spacing w:after="0" w:line="201" w:lineRule="exact"/>
        <w:rPr>
          <w:sz w:val="20"/>
          <w:szCs w:val="20"/>
          <w:color w:val="auto"/>
        </w:rPr>
      </w:pPr>
    </w:p>
    <w:p>
      <w:pPr>
        <w:ind w:right="1879" w:firstLine="1053"/>
        <w:spacing w:after="0" w:line="265" w:lineRule="auto"/>
        <w:rPr>
          <w:sz w:val="20"/>
          <w:szCs w:val="20"/>
          <w:color w:val="auto"/>
        </w:rPr>
      </w:pPr>
      <w:r>
        <w:rPr>
          <w:rFonts w:ascii="Courier New" w:cs="Courier New" w:eastAsia="Courier New" w:hAnsi="Courier New"/>
          <w:sz w:val="18"/>
          <w:szCs w:val="18"/>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90" w:lineRule="exact"/>
        <w:rPr>
          <w:sz w:val="20"/>
          <w:szCs w:val="20"/>
          <w:color w:val="auto"/>
        </w:rPr>
      </w:pPr>
    </w:p>
    <w:p>
      <w:pPr>
        <w:ind w:left="1580" w:hanging="519"/>
        <w:spacing w:after="0"/>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02" w:lineRule="exact"/>
        <w:rPr>
          <w:sz w:val="20"/>
          <w:szCs w:val="20"/>
          <w:color w:val="auto"/>
        </w:rPr>
      </w:pPr>
    </w:p>
    <w:p>
      <w:pPr>
        <w:ind w:left="2120" w:hanging="532"/>
        <w:spacing w:after="0"/>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spacing w:after="0" w:line="30"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Right" means any right to receive cash in lieu of</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Shares granted under the Plan and described in Paragraph 3(a)(iii).</w:t>
      </w:r>
    </w:p>
    <w:p>
      <w:pPr>
        <w:spacing w:after="0" w:line="169" w:lineRule="exact"/>
        <w:rPr>
          <w:sz w:val="20"/>
          <w:szCs w:val="20"/>
          <w:color w:val="auto"/>
        </w:rPr>
      </w:pPr>
    </w:p>
    <w:p>
      <w:pPr>
        <w:ind w:left="2120" w:hanging="532"/>
        <w:spacing w:after="0"/>
        <w:tabs>
          <w:tab w:leader="none" w:pos="21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w:t>
      </w:r>
    </w:p>
    <w:p>
      <w:pPr>
        <w:spacing w:after="0" w:line="30"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540" w:right="1879" w:firstLine="2102"/>
        <w:spacing w:after="0" w:line="256" w:lineRule="auto"/>
        <w:tabs>
          <w:tab w:leader="none" w:pos="327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98" w:lineRule="exact"/>
        <w:rPr>
          <w:rFonts w:ascii="Courier New" w:cs="Courier New" w:eastAsia="Courier New" w:hAnsi="Courier New"/>
          <w:sz w:val="18"/>
          <w:szCs w:val="18"/>
          <w:color w:val="auto"/>
        </w:rPr>
      </w:pPr>
    </w:p>
    <w:p>
      <w:pPr>
        <w:ind w:left="540" w:right="2099" w:firstLine="2102"/>
        <w:spacing w:after="0" w:line="256" w:lineRule="auto"/>
        <w:tabs>
          <w:tab w:leader="none" w:pos="327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ectPr>
          <w:pgSz w:w="11900" w:h="16838" w:orient="portrait"/>
          <w:cols w:equalWidth="0" w:num="1">
            <w:col w:w="10219"/>
          </w:cols>
          <w:pgMar w:left="240" w:top="691" w:right="1440" w:bottom="1440" w:gutter="0" w:footer="0" w:header="0"/>
        </w:sectPr>
      </w:pPr>
    </w:p>
    <w:bookmarkStart w:id="42" w:name="page43"/>
    <w:bookmarkEnd w:id="42"/>
    <w:p>
      <w:pPr>
        <w:ind w:left="2120" w:hanging="532"/>
        <w:spacing w:after="0"/>
        <w:tabs>
          <w:tab w:leader="none" w:pos="21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any transaction or series of</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999"/>
        <w:spacing w:after="0" w:line="262" w:lineRule="auto"/>
        <w:rPr>
          <w:sz w:val="20"/>
          <w:szCs w:val="20"/>
          <w:color w:val="auto"/>
        </w:rPr>
      </w:pPr>
      <w:r>
        <w:rPr>
          <w:rFonts w:ascii="Courier New" w:cs="Courier New" w:eastAsia="Courier New" w:hAnsi="Courier New"/>
          <w:sz w:val="18"/>
          <w:szCs w:val="18"/>
          <w:color w:val="auto"/>
        </w:rPr>
        <w:t>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90" w:lineRule="exact"/>
        <w:rPr>
          <w:sz w:val="20"/>
          <w:szCs w:val="20"/>
          <w:color w:val="auto"/>
        </w:rPr>
      </w:pPr>
    </w:p>
    <w:p>
      <w:pPr>
        <w:ind w:left="2120" w:hanging="532"/>
        <w:spacing w:after="0"/>
        <w:tabs>
          <w:tab w:leader="none" w:pos="21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53"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6"/>
          <w:szCs w:val="16"/>
          <w:color w:val="auto"/>
        </w:rPr>
      </w:pPr>
    </w:p>
    <w:p>
      <w:pPr>
        <w:ind w:left="2120" w:hanging="532"/>
        <w:spacing w:after="0"/>
        <w:tabs>
          <w:tab w:leader="none" w:pos="21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Plan" means any restricted stock, stock bonus,</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999"/>
        <w:spacing w:after="0" w:line="256" w:lineRule="auto"/>
        <w:rPr>
          <w:sz w:val="20"/>
          <w:szCs w:val="20"/>
          <w:color w:val="auto"/>
        </w:rPr>
      </w:pPr>
      <w:r>
        <w:rPr>
          <w:rFonts w:ascii="Courier New" w:cs="Courier New" w:eastAsia="Courier New" w:hAnsi="Courier New"/>
          <w:sz w:val="18"/>
          <w:szCs w:val="18"/>
          <w:color w:val="auto"/>
        </w:rPr>
        <w:t>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96" w:lineRule="exact"/>
        <w:rPr>
          <w:sz w:val="20"/>
          <w:szCs w:val="20"/>
          <w:color w:val="auto"/>
        </w:rPr>
      </w:pPr>
    </w:p>
    <w:p>
      <w:pPr>
        <w:ind w:left="2120" w:hanging="532"/>
        <w:spacing w:after="0"/>
        <w:tabs>
          <w:tab w:leader="none" w:pos="21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committee described in Paragraph 5.</w:t>
      </w:r>
    </w:p>
    <w:p>
      <w:pPr>
        <w:spacing w:after="0" w:line="30"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Sponsor's Class A Special Common</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Stock, par value, $1.00.</w:t>
      </w:r>
    </w:p>
    <w:p>
      <w:pPr>
        <w:spacing w:after="0" w:line="169" w:lineRule="exact"/>
        <w:rPr>
          <w:sz w:val="20"/>
          <w:szCs w:val="20"/>
          <w:color w:val="auto"/>
        </w:rPr>
      </w:pPr>
    </w:p>
    <w:p>
      <w:pPr>
        <w:ind w:left="2120" w:hanging="532"/>
        <w:spacing w:after="0"/>
        <w:tabs>
          <w:tab w:leader="none" w:pos="21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and each of the Parent Companies</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and Subsidiary Companies.</w:t>
      </w:r>
    </w:p>
    <w:p>
      <w:pPr>
        <w:spacing w:after="0" w:line="169" w:lineRule="exact"/>
        <w:rPr>
          <w:sz w:val="20"/>
          <w:szCs w:val="20"/>
          <w:color w:val="auto"/>
        </w:rPr>
      </w:pPr>
    </w:p>
    <w:p>
      <w:pPr>
        <w:ind w:left="2120" w:hanging="532"/>
        <w:spacing w:after="0"/>
        <w:tabs>
          <w:tab w:leader="none" w:pos="21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as of which an Option is</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granted.</w:t>
      </w:r>
    </w:p>
    <w:p>
      <w:pPr>
        <w:spacing w:after="0" w:line="169" w:lineRule="exact"/>
        <w:rPr>
          <w:sz w:val="20"/>
          <w:szCs w:val="20"/>
          <w:color w:val="auto"/>
        </w:rPr>
      </w:pPr>
    </w:p>
    <w:p>
      <w:pPr>
        <w:ind w:left="2120" w:hanging="532"/>
        <w:spacing w:after="0"/>
        <w:tabs>
          <w:tab w:leader="none" w:pos="21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22(e)(3) of the Code.</w:t>
      </w:r>
    </w:p>
    <w:p>
      <w:pPr>
        <w:spacing w:after="0" w:line="169" w:lineRule="exact"/>
        <w:rPr>
          <w:sz w:val="20"/>
          <w:szCs w:val="20"/>
          <w:color w:val="auto"/>
        </w:rPr>
      </w:pPr>
    </w:p>
    <w:p>
      <w:pPr>
        <w:ind w:left="2120" w:hanging="532"/>
        <w:spacing w:after="0"/>
        <w:tabs>
          <w:tab w:leader="none" w:pos="21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Date" means the date on which an individual is</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999"/>
        <w:spacing w:after="0" w:line="273" w:lineRule="auto"/>
        <w:rPr>
          <w:sz w:val="20"/>
          <w:szCs w:val="20"/>
          <w:color w:val="auto"/>
        </w:rPr>
      </w:pPr>
      <w:r>
        <w:rPr>
          <w:rFonts w:ascii="Courier New" w:cs="Courier New" w:eastAsia="Courier New" w:hAnsi="Courier New"/>
          <w:sz w:val="18"/>
          <w:szCs w:val="18"/>
          <w:color w:val="auto"/>
        </w:rPr>
        <w:t>first elected to the Board as a Non-Employee Director, or is elected to the Board as a Non-Employee Director following a period of one year or more during which such individual was not a member of the Board.</w:t>
      </w:r>
    </w:p>
    <w:p>
      <w:pPr>
        <w:spacing w:after="0" w:line="82" w:lineRule="exact"/>
        <w:rPr>
          <w:sz w:val="20"/>
          <w:szCs w:val="20"/>
          <w:color w:val="auto"/>
        </w:rPr>
      </w:pPr>
    </w:p>
    <w:p>
      <w:pPr>
        <w:ind w:left="2120" w:hanging="532"/>
        <w:spacing w:after="0"/>
        <w:tabs>
          <w:tab w:leader="none" w:pos="21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If Shares are listed on a stock</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52" w:lineRule="auto"/>
        <w:rPr>
          <w:sz w:val="20"/>
          <w:szCs w:val="20"/>
          <w:color w:val="auto"/>
        </w:rPr>
      </w:pPr>
      <w:r>
        <w:rPr>
          <w:rFonts w:ascii="Courier New" w:cs="Courier New" w:eastAsia="Courier New" w:hAnsi="Courier New"/>
          <w:sz w:val="18"/>
          <w:szCs w:val="18"/>
          <w:color w:val="auto"/>
        </w:rPr>
        <w:t>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101" w:lineRule="exact"/>
        <w:rPr>
          <w:sz w:val="20"/>
          <w:szCs w:val="20"/>
          <w:color w:val="auto"/>
        </w:rPr>
      </w:pPr>
    </w:p>
    <w:p>
      <w:pPr>
        <w:ind w:left="2120" w:hanging="532"/>
        <w:spacing w:after="0"/>
        <w:tabs>
          <w:tab w:leader="none" w:pos="21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 means each February 1st after the date of</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adoption of the Plan by the Board.</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43" w:name="page44"/>
    <w:bookmarkEnd w:id="43"/>
    <w:p>
      <w:pPr>
        <w:ind w:left="2120" w:hanging="532"/>
        <w:spacing w:after="0"/>
        <w:tabs>
          <w:tab w:leader="none" w:pos="21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 Family" means an Optionee's spouse and lineal</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2099"/>
        <w:spacing w:after="0" w:line="309" w:lineRule="auto"/>
        <w:rPr>
          <w:sz w:val="20"/>
          <w:szCs w:val="20"/>
          <w:color w:val="auto"/>
        </w:rPr>
      </w:pPr>
      <w:r>
        <w:rPr>
          <w:rFonts w:ascii="Courier New" w:cs="Courier New" w:eastAsia="Courier New" w:hAnsi="Courier New"/>
          <w:sz w:val="18"/>
          <w:szCs w:val="18"/>
          <w:color w:val="auto"/>
        </w:rPr>
        <w:t>descendants, any trust all beneficiaries of which are any of such persons and any partnership all partners of which are any of such persons.</w:t>
      </w:r>
    </w:p>
    <w:p>
      <w:pPr>
        <w:spacing w:after="0" w:line="51" w:lineRule="exact"/>
        <w:rPr>
          <w:sz w:val="20"/>
          <w:szCs w:val="20"/>
          <w:color w:val="auto"/>
        </w:rPr>
      </w:pPr>
    </w:p>
    <w:p>
      <w:pPr>
        <w:ind w:left="2120" w:hanging="532"/>
        <w:spacing w:after="0"/>
        <w:tabs>
          <w:tab w:leader="none" w:pos="21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granted under the</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999"/>
        <w:spacing w:after="0" w:line="268" w:lineRule="auto"/>
        <w:rPr>
          <w:sz w:val="20"/>
          <w:szCs w:val="20"/>
          <w:color w:val="auto"/>
        </w:rPr>
      </w:pPr>
      <w:r>
        <w:rPr>
          <w:rFonts w:ascii="Courier New" w:cs="Courier New" w:eastAsia="Courier New" w:hAnsi="Courier New"/>
          <w:sz w:val="16"/>
          <w:szCs w:val="16"/>
          <w:color w:val="auto"/>
        </w:rPr>
        <w:t>Plan, designated by the Committee at the time of such grant as an Incentive Stock Option within the meaning of section 422 of the Code and containing the terms specified herein for Incentive Stock Options; provided, however, that to</w:t>
      </w:r>
    </w:p>
    <w:p>
      <w:pPr>
        <w:ind w:left="5480"/>
        <w:spacing w:after="0"/>
        <w:rPr>
          <w:sz w:val="20"/>
          <w:szCs w:val="20"/>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90" w:lineRule="exact"/>
        <w:rPr>
          <w:sz w:val="20"/>
          <w:szCs w:val="20"/>
          <w:color w:val="auto"/>
        </w:rPr>
      </w:pPr>
    </w:p>
    <w:p>
      <w:pPr>
        <w:ind w:left="2120" w:hanging="532"/>
        <w:spacing w:after="0"/>
        <w:tabs>
          <w:tab w:leader="none" w:pos="21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999"/>
        <w:spacing w:after="0" w:line="378" w:lineRule="auto"/>
        <w:rPr>
          <w:sz w:val="20"/>
          <w:szCs w:val="20"/>
          <w:color w:val="auto"/>
        </w:rPr>
      </w:pPr>
      <w:r>
        <w:rPr>
          <w:rFonts w:ascii="Courier New" w:cs="Courier New" w:eastAsia="Courier New" w:hAnsi="Courier New"/>
          <w:sz w:val="16"/>
          <w:szCs w:val="16"/>
          <w:color w:val="auto"/>
        </w:rPr>
        <w:t>of the Board, and who is not an employee of a Company, including an individual who is a member of the Board and who previously was an employee of a Company.</w:t>
      </w:r>
    </w:p>
    <w:p>
      <w:pPr>
        <w:spacing w:after="0" w:line="5" w:lineRule="exact"/>
        <w:rPr>
          <w:sz w:val="20"/>
          <w:szCs w:val="20"/>
          <w:color w:val="auto"/>
        </w:rPr>
      </w:pPr>
    </w:p>
    <w:p>
      <w:pPr>
        <w:ind w:left="2120" w:hanging="532"/>
        <w:spacing w:after="0"/>
        <w:tabs>
          <w:tab w:leader="none" w:pos="21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Option" means:</w:t>
      </w:r>
    </w:p>
    <w:p>
      <w:pPr>
        <w:spacing w:after="0" w:line="30"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granted under the Plan, designated by</w:t>
      </w:r>
    </w:p>
    <w:p>
      <w:pPr>
        <w:spacing w:after="0" w:line="30" w:lineRule="exact"/>
        <w:rPr>
          <w:rFonts w:ascii="Courier New" w:cs="Courier New" w:eastAsia="Courier New" w:hAnsi="Courier New"/>
          <w:sz w:val="18"/>
          <w:szCs w:val="18"/>
          <w:color w:val="auto"/>
        </w:rPr>
      </w:pPr>
    </w:p>
    <w:p>
      <w:pPr>
        <w:ind w:left="540" w:right="241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Committee at the time of such grant as a Non-Qualified Option and containing the terms specified herein for Non-Qualified Options; and</w:t>
      </w:r>
    </w:p>
    <w:p>
      <w:pPr>
        <w:spacing w:after="0" w:line="4"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 designated by</w:t>
      </w:r>
    </w:p>
    <w:p>
      <w:pPr>
        <w:spacing w:after="0" w:line="53" w:lineRule="exact"/>
        <w:rPr>
          <w:rFonts w:ascii="Courier New" w:cs="Courier New" w:eastAsia="Courier New" w:hAnsi="Courier New"/>
          <w:sz w:val="16"/>
          <w:szCs w:val="16"/>
          <w:color w:val="auto"/>
        </w:rPr>
      </w:pPr>
    </w:p>
    <w:p>
      <w:pPr>
        <w:ind w:left="540" w:right="177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Committee at the time of grant as an Incentive Stock Option, to the extent such Option fails to satisfy the requirements for an incentive stock option under section 422 of the Code for any reason.</w:t>
      </w:r>
    </w:p>
    <w:p>
      <w:pPr>
        <w:spacing w:after="0" w:line="82" w:lineRule="exact"/>
        <w:rPr>
          <w:rFonts w:ascii="Courier New" w:cs="Courier New" w:eastAsia="Courier New" w:hAnsi="Courier New"/>
          <w:sz w:val="16"/>
          <w:szCs w:val="16"/>
          <w:color w:val="auto"/>
        </w:rPr>
      </w:pPr>
    </w:p>
    <w:p>
      <w:pPr>
        <w:ind w:left="2120" w:hanging="532"/>
        <w:spacing w:after="0"/>
        <w:tabs>
          <w:tab w:leader="none" w:pos="21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any stock option granted under the Plan and</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described in either Paragraph 3(a)(i) or Paragraph 3(a)(ii).</w:t>
      </w:r>
    </w:p>
    <w:p>
      <w:pPr>
        <w:spacing w:after="0" w:line="169" w:lineRule="exact"/>
        <w:rPr>
          <w:sz w:val="20"/>
          <w:szCs w:val="20"/>
          <w:color w:val="auto"/>
        </w:rPr>
      </w:pPr>
    </w:p>
    <w:p>
      <w:pPr>
        <w:ind w:left="2120" w:hanging="532"/>
        <w:spacing w:after="0"/>
        <w:tabs>
          <w:tab w:leader="none" w:pos="21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 been granted</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under the Plan, which Option has not been exercised in full and has not expired or terminated.</w:t>
      </w:r>
    </w:p>
    <w:p>
      <w:pPr>
        <w:spacing w:after="0" w:line="51" w:lineRule="exact"/>
        <w:rPr>
          <w:sz w:val="20"/>
          <w:szCs w:val="20"/>
          <w:color w:val="auto"/>
        </w:rPr>
      </w:pPr>
    </w:p>
    <w:p>
      <w:pPr>
        <w:ind w:left="2120" w:hanging="532"/>
        <w:spacing w:after="0"/>
        <w:tabs>
          <w:tab w:leader="none" w:pos="21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w:t>
      </w:r>
    </w:p>
    <w:p>
      <w:pPr>
        <w:spacing w:after="0" w:line="53"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if any of:</w:t>
      </w:r>
    </w:p>
    <w:p>
      <w:pPr>
        <w:spacing w:after="0" w:line="169" w:lineRule="exact"/>
        <w:rPr>
          <w:sz w:val="20"/>
          <w:szCs w:val="20"/>
          <w:color w:val="auto"/>
        </w:rPr>
      </w:pPr>
    </w:p>
    <w:p>
      <w:pPr>
        <w:ind w:left="2740" w:hanging="625"/>
        <w:spacing w:after="0"/>
        <w:tabs>
          <w:tab w:leader="none" w:pos="2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over</w:t>
      </w:r>
    </w:p>
    <w:p>
      <w:pPr>
        <w:spacing w:after="0" w:line="223" w:lineRule="exact"/>
        <w:rPr>
          <w:rFonts w:ascii="Courier New" w:cs="Courier New" w:eastAsia="Courier New" w:hAnsi="Courier New"/>
          <w:sz w:val="16"/>
          <w:szCs w:val="16"/>
          <w:color w:val="auto"/>
        </w:rPr>
      </w:pPr>
    </w:p>
    <w:p>
      <w:pPr>
        <w:ind w:left="2740" w:hanging="625"/>
        <w:spacing w:after="0"/>
        <w:tabs>
          <w:tab w:leader="none" w:pos="2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1" w:lineRule="exact"/>
        <w:rPr>
          <w:sz w:val="20"/>
          <w:szCs w:val="20"/>
          <w:color w:val="auto"/>
        </w:rPr>
      </w:pPr>
    </w:p>
    <w:p>
      <w:pPr>
        <w:ind w:left="3280" w:right="1999" w:hanging="533"/>
        <w:spacing w:after="0" w:line="347" w:lineRule="auto"/>
        <w:tabs>
          <w:tab w:leader="none" w:pos="32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for less than six months; plus</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44" w:name="page45"/>
    <w:bookmarkEnd w:id="44"/>
    <w:p>
      <w:pPr>
        <w:ind w:left="3160" w:right="1779" w:hanging="518"/>
        <w:spacing w:after="0" w:line="265" w:lineRule="auto"/>
        <w:tabs>
          <w:tab w:leader="none" w:pos="31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89" w:lineRule="exact"/>
        <w:rPr>
          <w:rFonts w:ascii="Courier New" w:cs="Courier New" w:eastAsia="Courier New" w:hAnsi="Courier New"/>
          <w:sz w:val="18"/>
          <w:szCs w:val="18"/>
          <w:color w:val="auto"/>
        </w:rPr>
      </w:pPr>
    </w:p>
    <w:p>
      <w:pPr>
        <w:ind w:left="3160" w:right="1779" w:hanging="518"/>
        <w:spacing w:after="0" w:line="253" w:lineRule="auto"/>
        <w:tabs>
          <w:tab w:leader="none" w:pos="31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 plus</w:t>
      </w:r>
    </w:p>
    <w:p>
      <w:pPr>
        <w:spacing w:after="0" w:line="103" w:lineRule="exact"/>
        <w:rPr>
          <w:rFonts w:ascii="Courier New" w:cs="Courier New" w:eastAsia="Courier New" w:hAnsi="Courier New"/>
          <w:sz w:val="18"/>
          <w:szCs w:val="18"/>
          <w:color w:val="auto"/>
        </w:rPr>
      </w:pPr>
    </w:p>
    <w:p>
      <w:pPr>
        <w:ind w:left="3160" w:right="1779" w:hanging="518"/>
        <w:spacing w:after="0" w:line="256" w:lineRule="auto"/>
        <w:tabs>
          <w:tab w:leader="none" w:pos="31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as to which evidence of ownership has, within the preceding six months, been provided to the Company in connection with the crediting of "Deferred Stock Units" to such Optionee's Account under the Comcast Corporation 1997 Deferred Stock Option Plan.</w:t>
      </w:r>
    </w:p>
    <w:p>
      <w:pPr>
        <w:spacing w:after="0" w:line="98"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and for the Sponsor's Class A Common Stock, par value, $1.00.</w:t>
      </w:r>
    </w:p>
    <w:p>
      <w:pPr>
        <w:spacing w:after="0" w:line="98" w:lineRule="exact"/>
        <w:rPr>
          <w:sz w:val="20"/>
          <w:szCs w:val="20"/>
          <w:color w:val="auto"/>
        </w:rPr>
      </w:pPr>
    </w:p>
    <w:p>
      <w:pPr>
        <w:ind w:left="2120" w:hanging="532"/>
        <w:spacing w:after="0"/>
        <w:tabs>
          <w:tab w:leader="none" w:pos="21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Director" means a member of the Board who is an</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2099"/>
        <w:spacing w:after="0" w:line="309" w:lineRule="auto"/>
        <w:rPr>
          <w:sz w:val="20"/>
          <w:szCs w:val="20"/>
          <w:color w:val="auto"/>
        </w:rPr>
      </w:pPr>
      <w:r>
        <w:rPr>
          <w:rFonts w:ascii="Courier New" w:cs="Courier New" w:eastAsia="Courier New" w:hAnsi="Courier New"/>
          <w:sz w:val="18"/>
          <w:szCs w:val="18"/>
          <w:color w:val="auto"/>
        </w:rPr>
        <w:t>"outside director" within the meaning of section 162(m)(4)(C) of the Code and applicable Treasury Regulations issued thereunder.</w:t>
      </w:r>
    </w:p>
    <w:p>
      <w:pPr>
        <w:spacing w:after="0" w:line="51" w:lineRule="exact"/>
        <w:rPr>
          <w:sz w:val="20"/>
          <w:szCs w:val="20"/>
          <w:color w:val="auto"/>
        </w:rPr>
      </w:pPr>
    </w:p>
    <w:p>
      <w:pPr>
        <w:ind w:left="2120" w:hanging="532"/>
        <w:spacing w:after="0"/>
        <w:tabs>
          <w:tab w:leader="none" w:pos="21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w:t>
      </w:r>
    </w:p>
    <w:p>
      <w:pPr>
        <w:spacing w:after="0" w:line="5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999"/>
        <w:spacing w:after="0" w:line="309" w:lineRule="auto"/>
        <w:rPr>
          <w:sz w:val="20"/>
          <w:szCs w:val="20"/>
          <w:color w:val="auto"/>
        </w:rPr>
      </w:pPr>
      <w:r>
        <w:rPr>
          <w:rFonts w:ascii="Courier New" w:cs="Courier New" w:eastAsia="Courier New" w:hAnsi="Courier New"/>
          <w:sz w:val="18"/>
          <w:szCs w:val="18"/>
          <w:color w:val="auto"/>
        </w:rPr>
        <w:t>question, are parent corporations of the Sponsor within the meaning of section 424(e) of the Code.</w:t>
      </w:r>
    </w:p>
    <w:p>
      <w:pPr>
        <w:spacing w:after="0" w:line="51" w:lineRule="exact"/>
        <w:rPr>
          <w:sz w:val="20"/>
          <w:szCs w:val="20"/>
          <w:color w:val="auto"/>
        </w:rPr>
      </w:pPr>
    </w:p>
    <w:p>
      <w:pPr>
        <w:ind w:left="2120" w:hanging="532"/>
        <w:spacing w:after="0"/>
        <w:tabs>
          <w:tab w:leader="none" w:pos="21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w:t>
      </w:r>
    </w:p>
    <w:p>
      <w:pPr>
        <w:spacing w:after="0" w:line="5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 association, a trust or any other entity or organization.</w:t>
      </w:r>
    </w:p>
    <w:p>
      <w:pPr>
        <w:spacing w:after="0" w:line="169" w:lineRule="exact"/>
        <w:rPr>
          <w:sz w:val="20"/>
          <w:szCs w:val="20"/>
          <w:color w:val="auto"/>
        </w:rPr>
      </w:pPr>
    </w:p>
    <w:p>
      <w:pPr>
        <w:ind w:left="2120" w:hanging="532"/>
        <w:spacing w:after="0"/>
        <w:tabs>
          <w:tab w:leader="none" w:pos="21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Stock Option Plan.</w:t>
      </w:r>
    </w:p>
    <w:p>
      <w:pPr>
        <w:spacing w:after="0" w:line="53"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45" w:name="page46"/>
    <w:bookmarkEnd w:id="45"/>
    <w:p>
      <w:pPr>
        <w:ind w:left="2220" w:hanging="632"/>
        <w:spacing w:after="0"/>
        <w:tabs>
          <w:tab w:leader="none" w:pos="2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 the</w:t>
      </w:r>
    </w:p>
    <w:p>
      <w:pPr>
        <w:spacing w:after="0" w:line="53"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Roberts Family:</w:t>
      </w:r>
    </w:p>
    <w:p>
      <w:pPr>
        <w:spacing w:after="0" w:line="169" w:lineRule="exact"/>
        <w:rPr>
          <w:sz w:val="20"/>
          <w:szCs w:val="20"/>
          <w:color w:val="auto"/>
        </w:rPr>
      </w:pPr>
    </w:p>
    <w:p>
      <w:pPr>
        <w:ind w:left="2960" w:hanging="740"/>
        <w:spacing w:after="0"/>
        <w:tabs>
          <w:tab w:leader="none" w:pos="296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w:t>
      </w:r>
    </w:p>
    <w:p>
      <w:pPr>
        <w:spacing w:after="0" w:line="201" w:lineRule="exact"/>
        <w:rPr>
          <w:rFonts w:ascii="Courier New" w:cs="Courier New" w:eastAsia="Courier New" w:hAnsi="Courier New"/>
          <w:sz w:val="18"/>
          <w:szCs w:val="18"/>
          <w:color w:val="auto"/>
        </w:rPr>
      </w:pPr>
    </w:p>
    <w:p>
      <w:pPr>
        <w:ind w:left="2960" w:hanging="740"/>
        <w:spacing w:after="0"/>
        <w:tabs>
          <w:tab w:leader="none" w:pos="296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lineal descendant of Brian L. Roberts; or</w:t>
      </w:r>
    </w:p>
    <w:p>
      <w:pPr>
        <w:spacing w:after="0" w:line="201" w:lineRule="exact"/>
        <w:rPr>
          <w:rFonts w:ascii="Courier New" w:cs="Courier New" w:eastAsia="Courier New" w:hAnsi="Courier New"/>
          <w:sz w:val="18"/>
          <w:szCs w:val="18"/>
          <w:color w:val="auto"/>
        </w:rPr>
      </w:pPr>
    </w:p>
    <w:p>
      <w:pPr>
        <w:ind w:left="2960" w:hanging="740"/>
        <w:spacing w:after="0"/>
        <w:tabs>
          <w:tab w:leader="none" w:pos="2960" w:val="left"/>
        </w:tabs>
        <w:numPr>
          <w:ilvl w:val="2"/>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any of Brian</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L. Roberts and/or a lineal descendant or descendants of Brian L. Roberts.</w:t>
      </w:r>
    </w:p>
    <w:p>
      <w:pPr>
        <w:spacing w:after="0" w:line="169" w:lineRule="exact"/>
        <w:rPr>
          <w:rFonts w:ascii="Courier New" w:cs="Courier New" w:eastAsia="Courier New" w:hAnsi="Courier New"/>
          <w:sz w:val="16"/>
          <w:szCs w:val="16"/>
          <w:color w:val="auto"/>
        </w:rPr>
      </w:pPr>
    </w:p>
    <w:p>
      <w:pPr>
        <w:ind w:left="2220" w:hanging="632"/>
        <w:spacing w:after="0"/>
        <w:tabs>
          <w:tab w:leader="none" w:pos="222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or "Shares" means:</w:t>
      </w:r>
    </w:p>
    <w:p>
      <w:pPr>
        <w:spacing w:after="0" w:line="30" w:lineRule="exact"/>
        <w:rPr>
          <w:rFonts w:ascii="Courier New" w:cs="Courier New" w:eastAsia="Courier New" w:hAnsi="Courier New"/>
          <w:sz w:val="18"/>
          <w:szCs w:val="18"/>
          <w:color w:val="auto"/>
        </w:rPr>
      </w:pPr>
    </w:p>
    <w:p>
      <w:pPr>
        <w:ind w:left="3480" w:hanging="1154"/>
        <w:spacing w:after="0"/>
        <w:tabs>
          <w:tab w:leader="none" w:pos="3480" w:val="left"/>
        </w:tabs>
        <w:numPr>
          <w:ilvl w:val="3"/>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540" w:right="1779" w:firstLine="2102"/>
        <w:spacing w:after="0" w:line="292" w:lineRule="auto"/>
        <w:tabs>
          <w:tab w:leader="none" w:pos="3173" w:val="left"/>
        </w:tabs>
        <w:numPr>
          <w:ilvl w:val="4"/>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the Plan, a share or shares of Common Stock or such other securities issued by the Sponsor as may be the subject of an adjustment under Paragraph 11.</w:t>
      </w:r>
    </w:p>
    <w:p>
      <w:pPr>
        <w:spacing w:after="0" w:line="66" w:lineRule="exact"/>
        <w:rPr>
          <w:rFonts w:ascii="Courier New" w:cs="Courier New" w:eastAsia="Courier New" w:hAnsi="Courier New"/>
          <w:sz w:val="18"/>
          <w:szCs w:val="18"/>
          <w:color w:val="auto"/>
        </w:rPr>
      </w:pPr>
    </w:p>
    <w:p>
      <w:pPr>
        <w:ind w:left="3160" w:hanging="518"/>
        <w:spacing w:after="0"/>
        <w:tabs>
          <w:tab w:leader="none" w:pos="3160" w:val="left"/>
        </w:tabs>
        <w:numPr>
          <w:ilvl w:val="4"/>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purposes of Paragraphs 2(n), 2(v),</w:t>
      </w:r>
    </w:p>
    <w:p>
      <w:pPr>
        <w:spacing w:after="0" w:line="31" w:lineRule="exact"/>
        <w:rPr>
          <w:sz w:val="20"/>
          <w:szCs w:val="20"/>
          <w:color w:val="auto"/>
        </w:rPr>
      </w:pPr>
    </w:p>
    <w:p>
      <w:pPr>
        <w:ind w:left="540" w:right="2099"/>
        <w:spacing w:after="0" w:line="309" w:lineRule="auto"/>
        <w:rPr>
          <w:sz w:val="20"/>
          <w:szCs w:val="20"/>
          <w:color w:val="auto"/>
        </w:rPr>
      </w:pPr>
      <w:r>
        <w:rPr>
          <w:rFonts w:ascii="Courier New" w:cs="Courier New" w:eastAsia="Courier New" w:hAnsi="Courier New"/>
          <w:sz w:val="18"/>
          <w:szCs w:val="18"/>
          <w:color w:val="auto"/>
        </w:rPr>
        <w:t>7(d), 8(d) and 16(b), the term "Share" or "Shares" also means a share or shares of the Sponsor's Class A Common Stock, par value, $1.00.</w:t>
      </w:r>
    </w:p>
    <w:p>
      <w:pPr>
        <w:spacing w:after="0" w:line="51" w:lineRule="exact"/>
        <w:rPr>
          <w:sz w:val="20"/>
          <w:szCs w:val="20"/>
          <w:color w:val="auto"/>
        </w:rPr>
      </w:pPr>
    </w:p>
    <w:p>
      <w:pPr>
        <w:ind w:left="2220" w:hanging="632"/>
        <w:spacing w:after="0"/>
        <w:tabs>
          <w:tab w:leader="none" w:pos="2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"Sponsor" means Comcast Corporation, a Pennsylvania</w:t>
      </w:r>
    </w:p>
    <w:p>
      <w:pPr>
        <w:spacing w:after="0" w:line="30" w:lineRule="exact"/>
        <w:rPr>
          <w:rFonts w:ascii="Courier New" w:cs="Courier New" w:eastAsia="Courier New" w:hAnsi="Courier New"/>
          <w:sz w:val="18"/>
          <w:szCs w:val="18"/>
          <w:color w:val="auto"/>
        </w:rPr>
      </w:pP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2519"/>
        <w:spacing w:after="0" w:line="378" w:lineRule="auto"/>
        <w:rPr>
          <w:sz w:val="20"/>
          <w:szCs w:val="20"/>
          <w:color w:val="auto"/>
        </w:rPr>
      </w:pPr>
      <w:r>
        <w:rPr>
          <w:rFonts w:ascii="Courier New" w:cs="Courier New" w:eastAsia="Courier New" w:hAnsi="Courier New"/>
          <w:sz w:val="16"/>
          <w:szCs w:val="16"/>
          <w:color w:val="auto"/>
        </w:rPr>
        <w:t>corporation, including any successor thereto by merger, consolidation, acquisition of all or substantially all the assets thereof, or otherwise.</w:t>
      </w:r>
    </w:p>
    <w:p>
      <w:pPr>
        <w:spacing w:after="0" w:line="5" w:lineRule="exact"/>
        <w:rPr>
          <w:sz w:val="20"/>
          <w:szCs w:val="20"/>
          <w:color w:val="auto"/>
        </w:rPr>
      </w:pPr>
    </w:p>
    <w:p>
      <w:pPr>
        <w:ind w:left="2220" w:hanging="632"/>
        <w:spacing w:after="0"/>
        <w:tabs>
          <w:tab w:leader="none" w:pos="2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 that, at the</w:t>
      </w:r>
    </w:p>
    <w:p>
      <w:pPr>
        <w:spacing w:after="0" w:line="53"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time in question, are subsidiary corporations of the Sponsor within the meaning of section 424(f) of the Code.</w:t>
      </w:r>
    </w:p>
    <w:p>
      <w:pPr>
        <w:spacing w:after="0" w:line="51" w:lineRule="exact"/>
        <w:rPr>
          <w:sz w:val="20"/>
          <w:szCs w:val="20"/>
          <w:color w:val="auto"/>
        </w:rPr>
      </w:pPr>
    </w:p>
    <w:p>
      <w:pPr>
        <w:ind w:left="2220" w:hanging="632"/>
        <w:spacing w:after="0"/>
        <w:tabs>
          <w:tab w:leader="none" w:pos="2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means a person who on the Date of</w:t>
      </w:r>
    </w:p>
    <w:p>
      <w:pPr>
        <w:spacing w:after="0" w:line="5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ind w:right="1779"/>
        <w:spacing w:after="0" w:line="295" w:lineRule="auto"/>
        <w:rPr>
          <w:sz w:val="20"/>
          <w:szCs w:val="20"/>
          <w:color w:val="auto"/>
        </w:rPr>
      </w:pPr>
      <w:r>
        <w:rPr>
          <w:rFonts w:ascii="Courier New" w:cs="Courier New" w:eastAsia="Courier New" w:hAnsi="Courier New"/>
          <w:sz w:val="16"/>
          <w:szCs w:val="16"/>
          <w:color w:val="auto"/>
        </w:rPr>
        <w:t>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70" w:lineRule="exact"/>
        <w:rPr>
          <w:sz w:val="20"/>
          <w:szCs w:val="20"/>
          <w:color w:val="auto"/>
        </w:rPr>
      </w:pPr>
    </w:p>
    <w:p>
      <w:pPr>
        <w:ind w:left="2220" w:hanging="632"/>
        <w:spacing w:after="0"/>
        <w:tabs>
          <w:tab w:leader="none" w:pos="2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spacing w:after="0" w:line="30" w:lineRule="exact"/>
        <w:rPr>
          <w:rFonts w:ascii="Courier New" w:cs="Courier New" w:eastAsia="Courier New" w:hAnsi="Courier New"/>
          <w:sz w:val="18"/>
          <w:szCs w:val="18"/>
          <w:color w:val="auto"/>
        </w:rPr>
      </w:pP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Sponsor; or</w:t>
      </w:r>
    </w:p>
    <w:p>
      <w:pPr>
        <w:spacing w:after="0" w:line="201" w:lineRule="exact"/>
        <w:rPr>
          <w:rFonts w:ascii="Courier New" w:cs="Courier New" w:eastAsia="Courier New" w:hAnsi="Courier New"/>
          <w:sz w:val="18"/>
          <w:szCs w:val="18"/>
          <w:color w:val="auto"/>
        </w:rPr>
      </w:pPr>
    </w:p>
    <w:p>
      <w:pPr>
        <w:ind w:left="3160" w:hanging="518"/>
        <w:spacing w:after="0"/>
        <w:tabs>
          <w:tab w:leader="none" w:pos="316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46" w:name="page47"/>
    <w:bookmarkEnd w:id="46"/>
    <w:p>
      <w:pPr>
        <w:ind w:left="2220" w:hanging="632"/>
        <w:spacing w:after="0"/>
        <w:tabs>
          <w:tab w:leader="none" w:pos="2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means any Person other than a Company,</w:t>
      </w:r>
    </w:p>
    <w:p>
      <w:pPr>
        <w:spacing w:after="0" w:line="30" w:lineRule="exact"/>
        <w:rPr>
          <w:rFonts w:ascii="Courier New" w:cs="Courier New" w:eastAsia="Courier New" w:hAnsi="Courier New"/>
          <w:sz w:val="18"/>
          <w:szCs w:val="18"/>
          <w:color w:val="auto"/>
        </w:rPr>
      </w:pP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2199"/>
        <w:spacing w:after="0" w:line="273" w:lineRule="auto"/>
        <w:rPr>
          <w:sz w:val="20"/>
          <w:szCs w:val="20"/>
          <w:color w:val="auto"/>
        </w:rPr>
      </w:pPr>
      <w:r>
        <w:rPr>
          <w:rFonts w:ascii="Courier New" w:cs="Courier New" w:eastAsia="Courier New" w:hAnsi="Courier New"/>
          <w:sz w:val="18"/>
          <w:szCs w:val="18"/>
          <w:color w:val="auto"/>
        </w:rPr>
        <w:t>together with such Person's Affiliates, provided that the term "Third Party" shall not include the Sponsor, an Affiliate of the Sponsor or any member or members of the Roberts Family.</w:t>
      </w:r>
    </w:p>
    <w:p>
      <w:pPr>
        <w:spacing w:after="0" w:line="82" w:lineRule="exact"/>
        <w:rPr>
          <w:sz w:val="20"/>
          <w:szCs w:val="20"/>
          <w:color w:val="auto"/>
        </w:rPr>
      </w:pPr>
    </w:p>
    <w:p>
      <w:pPr>
        <w:ind w:left="2220" w:hanging="632"/>
        <w:spacing w:after="0"/>
        <w:tabs>
          <w:tab w:leader="none" w:pos="2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"1933 Act" means the Securities Act of 1933, as amended.</w:t>
      </w:r>
    </w:p>
    <w:p>
      <w:pPr>
        <w:spacing w:after="0" w:line="30" w:lineRule="exact"/>
        <w:rPr>
          <w:rFonts w:ascii="Courier New" w:cs="Courier New" w:eastAsia="Courier New" w:hAnsi="Courier New"/>
          <w:sz w:val="18"/>
          <w:szCs w:val="18"/>
          <w:color w:val="auto"/>
        </w:rPr>
      </w:pP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220" w:hanging="632"/>
        <w:spacing w:after="0"/>
        <w:tabs>
          <w:tab w:leader="none" w:pos="2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"1934 Act" means the Securities Exchange Act of 1934, as</w:t>
      </w:r>
    </w:p>
    <w:p>
      <w:pPr>
        <w:spacing w:after="0" w:line="30" w:lineRule="exact"/>
        <w:rPr>
          <w:rFonts w:ascii="Courier New" w:cs="Courier New" w:eastAsia="Courier New" w:hAnsi="Courier New"/>
          <w:sz w:val="18"/>
          <w:szCs w:val="18"/>
          <w:color w:val="auto"/>
        </w:rPr>
      </w:pP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amended.</w:t>
      </w:r>
    </w:p>
    <w:p>
      <w:pPr>
        <w:spacing w:after="0" w:line="169" w:lineRule="exact"/>
        <w:rPr>
          <w:sz w:val="20"/>
          <w:szCs w:val="20"/>
          <w:color w:val="auto"/>
        </w:rPr>
      </w:pPr>
    </w:p>
    <w:p>
      <w:pPr>
        <w:ind w:left="1580" w:hanging="519"/>
        <w:spacing w:after="0"/>
        <w:tabs>
          <w:tab w:leader="none" w:pos="15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Be Granted</w:t>
      </w:r>
    </w:p>
    <w:p>
      <w:pPr>
        <w:spacing w:after="0" w:line="201" w:lineRule="exact"/>
        <w:rPr>
          <w:sz w:val="20"/>
          <w:szCs w:val="20"/>
          <w:color w:val="auto"/>
        </w:rPr>
      </w:pPr>
    </w:p>
    <w:p>
      <w:pPr>
        <w:ind w:left="2120" w:hanging="532"/>
        <w:spacing w:after="0"/>
        <w:tabs>
          <w:tab w:leader="none" w:pos="21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Types of Options and Other Rights Available for Grant.</w:t>
      </w:r>
    </w:p>
    <w:p>
      <w:pPr>
        <w:spacing w:after="0" w:line="30"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Rights that may be granted under the Plan are:</w:t>
      </w:r>
    </w:p>
    <w:p>
      <w:pPr>
        <w:spacing w:after="0" w:line="169" w:lineRule="exact"/>
        <w:rPr>
          <w:sz w:val="20"/>
          <w:szCs w:val="20"/>
          <w:color w:val="auto"/>
        </w:rPr>
      </w:pPr>
    </w:p>
    <w:p>
      <w:pPr>
        <w:ind w:left="3380" w:hanging="738"/>
        <w:spacing w:after="0"/>
        <w:tabs>
          <w:tab w:leader="none" w:pos="338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 Optionee</w:t>
      </w:r>
    </w:p>
    <w:p>
      <w:pPr>
        <w:spacing w:after="0" w:line="53" w:lineRule="exact"/>
        <w:rPr>
          <w:rFonts w:ascii="Courier New" w:cs="Courier New" w:eastAsia="Courier New" w:hAnsi="Courier New"/>
          <w:sz w:val="16"/>
          <w:szCs w:val="16"/>
          <w:color w:val="auto"/>
        </w:rPr>
      </w:pPr>
    </w:p>
    <w:p>
      <w:pPr>
        <w:jc w:val="both"/>
        <w:ind w:left="540" w:right="209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who is an employee of a Company the right for a specified time period to purchase a specified number of Shares for a price not less than the Fair Market Value on the Date of Grant;</w:t>
      </w:r>
    </w:p>
    <w:p>
      <w:pPr>
        <w:spacing w:after="0" w:line="82" w:lineRule="exact"/>
        <w:rPr>
          <w:rFonts w:ascii="Courier New" w:cs="Courier New" w:eastAsia="Courier New" w:hAnsi="Courier New"/>
          <w:sz w:val="16"/>
          <w:szCs w:val="16"/>
          <w:color w:val="auto"/>
        </w:rPr>
      </w:pPr>
    </w:p>
    <w:p>
      <w:pPr>
        <w:ind w:left="3380" w:hanging="738"/>
        <w:spacing w:after="0"/>
        <w:tabs>
          <w:tab w:leader="none" w:pos="338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which give the Optionee</w:t>
      </w:r>
    </w:p>
    <w:p>
      <w:pPr>
        <w:spacing w:after="0" w:line="53" w:lineRule="exact"/>
        <w:rPr>
          <w:rFonts w:ascii="Courier New" w:cs="Courier New" w:eastAsia="Courier New" w:hAnsi="Courier New"/>
          <w:sz w:val="16"/>
          <w:szCs w:val="16"/>
          <w:color w:val="auto"/>
        </w:rPr>
      </w:pPr>
    </w:p>
    <w:p>
      <w:pPr>
        <w:ind w:left="540" w:right="21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right for a specified time period to purchase a specified number of Shares for a price determined by the Committee; and</w:t>
      </w:r>
    </w:p>
    <w:p>
      <w:pPr>
        <w:spacing w:after="0" w:line="50" w:lineRule="exact"/>
        <w:rPr>
          <w:rFonts w:ascii="Courier New" w:cs="Courier New" w:eastAsia="Courier New" w:hAnsi="Courier New"/>
          <w:sz w:val="16"/>
          <w:szCs w:val="16"/>
          <w:color w:val="auto"/>
        </w:rPr>
      </w:pPr>
    </w:p>
    <w:p>
      <w:pPr>
        <w:ind w:left="540" w:right="1879" w:firstLine="2102"/>
        <w:spacing w:after="0" w:line="260" w:lineRule="auto"/>
        <w:tabs>
          <w:tab w:leader="none" w:pos="3384"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92"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Grant of Options. The maximum number of Shares for</w:t>
      </w:r>
    </w:p>
    <w:p>
      <w:pPr>
        <w:spacing w:after="0" w:line="5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right="2319"/>
        <w:spacing w:after="0" w:line="309" w:lineRule="auto"/>
        <w:rPr>
          <w:sz w:val="20"/>
          <w:szCs w:val="20"/>
          <w:color w:val="auto"/>
        </w:rPr>
      </w:pPr>
      <w:r>
        <w:rPr>
          <w:rFonts w:ascii="Courier New" w:cs="Courier New" w:eastAsia="Courier New" w:hAnsi="Courier New"/>
          <w:sz w:val="18"/>
          <w:szCs w:val="18"/>
          <w:color w:val="auto"/>
        </w:rPr>
        <w:t>which Options may be granted to any single individual in any calendar year, adjusted as provided in Paragraph 11, shall be 10,000,000 Shares.</w:t>
      </w:r>
    </w:p>
    <w:p>
      <w:pPr>
        <w:spacing w:after="0" w:line="51" w:lineRule="exact"/>
        <w:rPr>
          <w:sz w:val="20"/>
          <w:szCs w:val="20"/>
          <w:color w:val="auto"/>
        </w:rPr>
      </w:pPr>
    </w:p>
    <w:p>
      <w:pPr>
        <w:ind w:left="2120" w:hanging="532"/>
        <w:spacing w:after="0"/>
        <w:tabs>
          <w:tab w:leader="none" w:pos="21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Presumption of Incentive Stock Option Status. Each Option</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right="1999"/>
        <w:spacing w:after="0" w:line="262" w:lineRule="auto"/>
        <w:rPr>
          <w:sz w:val="20"/>
          <w:szCs w:val="20"/>
          <w:color w:val="auto"/>
        </w:rPr>
      </w:pPr>
      <w:r>
        <w:rPr>
          <w:rFonts w:ascii="Courier New" w:cs="Courier New" w:eastAsia="Courier New" w:hAnsi="Courier New"/>
          <w:sz w:val="18"/>
          <w:szCs w:val="18"/>
          <w:color w:val="auto"/>
        </w:rPr>
        <w:t>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90" w:lineRule="exact"/>
        <w:rPr>
          <w:sz w:val="20"/>
          <w:szCs w:val="20"/>
          <w:color w:val="auto"/>
        </w:rPr>
      </w:pPr>
    </w:p>
    <w:p>
      <w:pPr>
        <w:ind w:left="1580" w:hanging="519"/>
        <w:spacing w:after="0"/>
        <w:tabs>
          <w:tab w:leader="none" w:pos="15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Plan</w:t>
      </w:r>
    </w:p>
    <w:p>
      <w:pPr>
        <w:spacing w:after="0" w:line="201" w:lineRule="exact"/>
        <w:rPr>
          <w:sz w:val="20"/>
          <w:szCs w:val="20"/>
          <w:color w:val="auto"/>
        </w:rPr>
      </w:pPr>
    </w:p>
    <w:p>
      <w:pPr>
        <w:jc w:val="both"/>
        <w:ind w:right="2419" w:firstLine="1053"/>
        <w:spacing w:after="0" w:line="292" w:lineRule="auto"/>
        <w:rPr>
          <w:sz w:val="20"/>
          <w:szCs w:val="20"/>
          <w:color w:val="auto"/>
        </w:rPr>
      </w:pPr>
      <w:r>
        <w:rPr>
          <w:rFonts w:ascii="Courier New" w:cs="Courier New" w:eastAsia="Courier New" w:hAnsi="Courier New"/>
          <w:sz w:val="18"/>
          <w:szCs w:val="18"/>
          <w:color w:val="auto"/>
        </w:rPr>
        <w:t>Subject to adjustment as provided in Paragraph 11, not more than 50,000,000 Shares in the aggregate may be issued pursuant to the Plan upon exercise of Options. Shares</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47" w:name="page48"/>
    <w:bookmarkEnd w:id="47"/>
    <w:p>
      <w:pPr>
        <w:ind w:right="1779"/>
        <w:spacing w:after="0" w:line="265" w:lineRule="auto"/>
        <w:rPr>
          <w:sz w:val="20"/>
          <w:szCs w:val="20"/>
          <w:color w:val="auto"/>
        </w:rPr>
      </w:pPr>
      <w:r>
        <w:rPr>
          <w:rFonts w:ascii="Courier New" w:cs="Courier New" w:eastAsia="Courier New" w:hAnsi="Courier New"/>
          <w:sz w:val="18"/>
          <w:szCs w:val="18"/>
          <w:color w:val="auto"/>
        </w:rPr>
        <w:t>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90" w:lineRule="exact"/>
        <w:rPr>
          <w:sz w:val="20"/>
          <w:szCs w:val="20"/>
          <w:color w:val="auto"/>
        </w:rPr>
      </w:pPr>
    </w:p>
    <w:p>
      <w:pPr>
        <w:ind w:left="1580" w:hanging="519"/>
        <w:spacing w:after="0"/>
        <w:tabs>
          <w:tab w:leader="none" w:pos="15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Plan</w:t>
      </w:r>
    </w:p>
    <w:p>
      <w:pPr>
        <w:spacing w:after="0" w:line="201" w:lineRule="exact"/>
        <w:rPr>
          <w:sz w:val="20"/>
          <w:szCs w:val="20"/>
          <w:color w:val="auto"/>
        </w:rPr>
      </w:pPr>
    </w:p>
    <w:p>
      <w:pPr>
        <w:ind w:left="2120" w:hanging="532"/>
        <w:spacing w:after="0"/>
        <w:tabs>
          <w:tab w:leader="none" w:pos="21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The Plan shall be administered by the</w:t>
      </w:r>
    </w:p>
    <w:p>
      <w:pPr>
        <w:spacing w:after="0" w:line="30"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45" w:lineRule="auto"/>
        <w:rPr>
          <w:sz w:val="20"/>
          <w:szCs w:val="20"/>
          <w:color w:val="auto"/>
        </w:rPr>
      </w:pPr>
      <w:r>
        <w:rPr>
          <w:rFonts w:ascii="Courier New" w:cs="Courier New" w:eastAsia="Courier New" w:hAnsi="Courier New"/>
          <w:sz w:val="18"/>
          <w:szCs w:val="18"/>
          <w:color w:val="auto"/>
        </w:rPr>
        <w:t>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09" w:lineRule="exact"/>
        <w:rPr>
          <w:sz w:val="20"/>
          <w:szCs w:val="20"/>
          <w:color w:val="auto"/>
        </w:rPr>
      </w:pPr>
    </w:p>
    <w:p>
      <w:pPr>
        <w:ind w:left="2120" w:hanging="532"/>
        <w:spacing w:after="0"/>
        <w:tabs>
          <w:tab w:leader="none" w:pos="21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The Committee shall hold meetings at such times</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right="1779"/>
        <w:spacing w:after="0" w:line="323" w:lineRule="auto"/>
        <w:rPr>
          <w:sz w:val="20"/>
          <w:szCs w:val="20"/>
          <w:color w:val="auto"/>
        </w:rPr>
      </w:pPr>
      <w:r>
        <w:rPr>
          <w:rFonts w:ascii="Courier New" w:cs="Courier New" w:eastAsia="Courier New" w:hAnsi="Courier New"/>
          <w:sz w:val="16"/>
          <w:szCs w:val="16"/>
          <w:color w:val="auto"/>
        </w:rPr>
        <w:t>and places as it may determine. Acts approved at a meeting by a majority of the members of the Committee or acts approved in writing by the unanimous consent of the members of the Committee shall be the valid acts of the Committee.</w:t>
      </w:r>
    </w:p>
    <w:p>
      <w:pPr>
        <w:spacing w:after="0" w:line="47" w:lineRule="exact"/>
        <w:rPr>
          <w:sz w:val="20"/>
          <w:szCs w:val="20"/>
          <w:color w:val="auto"/>
        </w:rPr>
      </w:pPr>
    </w:p>
    <w:p>
      <w:pPr>
        <w:ind w:left="2120" w:hanging="532"/>
        <w:spacing w:after="0"/>
        <w:tabs>
          <w:tab w:leader="none" w:pos="21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 personally</w:t>
      </w:r>
    </w:p>
    <w:p>
      <w:pPr>
        <w:spacing w:after="0" w:line="53"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w:t>
      </w:r>
    </w:p>
    <w:p>
      <w:pPr>
        <w:ind w:left="6440"/>
        <w:spacing w:after="0"/>
        <w:rPr>
          <w:sz w:val="20"/>
          <w:szCs w:val="20"/>
          <w:color w:val="auto"/>
        </w:rPr>
      </w:pPr>
      <w:r>
        <w:rPr>
          <w:rFonts w:ascii="Courier New" w:cs="Courier New" w:eastAsia="Courier New" w:hAnsi="Courier New"/>
          <w:sz w:val="18"/>
          <w:szCs w:val="18"/>
          <w:color w:val="auto"/>
        </w:rPr>
        <w:t>-----------------</w:t>
      </w:r>
    </w:p>
    <w:p>
      <w:pPr>
        <w:ind w:right="1779"/>
        <w:spacing w:after="0" w:line="378" w:lineRule="auto"/>
        <w:rPr>
          <w:sz w:val="20"/>
          <w:szCs w:val="20"/>
          <w:color w:val="auto"/>
        </w:rPr>
      </w:pPr>
      <w:r>
        <w:rPr>
          <w:rFonts w:ascii="Courier New" w:cs="Courier New" w:eastAsia="Courier New" w:hAnsi="Courier New"/>
          <w:sz w:val="16"/>
          <w:szCs w:val="16"/>
          <w:color w:val="auto"/>
        </w:rPr>
        <w:t>that the provisions of this Paragraph 5(c) shall not apply to the responsibility or liability of a member of the Committee pursuant to any criminal statute.</w:t>
      </w:r>
    </w:p>
    <w:p>
      <w:pPr>
        <w:spacing w:after="0" w:line="5" w:lineRule="exact"/>
        <w:rPr>
          <w:sz w:val="20"/>
          <w:szCs w:val="20"/>
          <w:color w:val="auto"/>
        </w:rPr>
      </w:pPr>
    </w:p>
    <w:p>
      <w:pPr>
        <w:ind w:left="2120" w:hanging="532"/>
        <w:spacing w:after="0"/>
        <w:tabs>
          <w:tab w:leader="none" w:pos="21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w:t>
      </w:r>
    </w:p>
    <w:p>
      <w:pPr>
        <w:spacing w:after="0" w:line="53"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48" w:name="page49"/>
    <w:bookmarkEnd w:id="48"/>
    <w:p>
      <w:pPr>
        <w:ind w:left="1580" w:hanging="519"/>
        <w:spacing w:after="0"/>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1" w:lineRule="exact"/>
        <w:rPr>
          <w:rFonts w:ascii="Courier New" w:cs="Courier New" w:eastAsia="Courier New" w:hAnsi="Courier New"/>
          <w:sz w:val="18"/>
          <w:szCs w:val="18"/>
          <w:color w:val="auto"/>
        </w:rPr>
      </w:pPr>
    </w:p>
    <w:p>
      <w:pPr>
        <w:ind w:right="1779" w:firstLine="1588"/>
        <w:spacing w:after="0" w:line="250" w:lineRule="auto"/>
        <w:tabs>
          <w:tab w:leader="none" w:pos="2107"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104" w:lineRule="exact"/>
        <w:rPr>
          <w:rFonts w:ascii="Courier New" w:cs="Courier New" w:eastAsia="Courier New" w:hAnsi="Courier New"/>
          <w:sz w:val="18"/>
          <w:szCs w:val="18"/>
          <w:color w:val="auto"/>
        </w:rPr>
      </w:pPr>
    </w:p>
    <w:p>
      <w:pPr>
        <w:ind w:right="1779" w:firstLine="1588"/>
        <w:spacing w:after="0" w:line="250" w:lineRule="auto"/>
        <w:tabs>
          <w:tab w:leader="none" w:pos="2107"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(i) the Optionee is not an employee of a Company on the Date of Grant or (ii) the only Company by which the Optionee is employed on the Date of Grant is an entity described in Paragraph 2(dd)(ii).</w:t>
      </w:r>
    </w:p>
    <w:p>
      <w:pPr>
        <w:spacing w:after="0" w:line="104"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In General</w:t>
      </w:r>
    </w:p>
    <w:p>
      <w:pPr>
        <w:spacing w:after="0" w:line="201" w:lineRule="exact"/>
        <w:rPr>
          <w:sz w:val="20"/>
          <w:szCs w:val="20"/>
          <w:color w:val="auto"/>
        </w:rPr>
      </w:pPr>
    </w:p>
    <w:p>
      <w:pPr>
        <w:ind w:right="1879" w:firstLine="1053"/>
        <w:spacing w:after="0" w:line="274" w:lineRule="auto"/>
        <w:rPr>
          <w:sz w:val="20"/>
          <w:szCs w:val="20"/>
          <w:color w:val="auto"/>
        </w:rPr>
      </w:pPr>
      <w:r>
        <w:rPr>
          <w:rFonts w:ascii="Courier New" w:cs="Courier New" w:eastAsia="Courier New" w:hAnsi="Courier New"/>
          <w:sz w:val="18"/>
          <w:szCs w:val="18"/>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82" w:lineRule="exact"/>
        <w:rPr>
          <w:sz w:val="20"/>
          <w:szCs w:val="20"/>
          <w:color w:val="auto"/>
        </w:rPr>
      </w:pPr>
    </w:p>
    <w:p>
      <w:pPr>
        <w:ind w:left="2120" w:hanging="532"/>
        <w:spacing w:after="0"/>
        <w:tabs>
          <w:tab w:leader="none" w:pos="21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Options shall be granted within 10 years</w:t>
      </w:r>
    </w:p>
    <w:p>
      <w:pPr>
        <w:spacing w:after="0" w:line="5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right="1999"/>
        <w:spacing w:after="0" w:line="309" w:lineRule="auto"/>
        <w:rPr>
          <w:sz w:val="20"/>
          <w:szCs w:val="20"/>
          <w:color w:val="auto"/>
        </w:rPr>
      </w:pPr>
      <w:r>
        <w:rPr>
          <w:rFonts w:ascii="Courier New" w:cs="Courier New" w:eastAsia="Courier New" w:hAnsi="Courier New"/>
          <w:sz w:val="18"/>
          <w:szCs w:val="18"/>
          <w:color w:val="auto"/>
        </w:rPr>
        <w:t>from the earlier of (i) the date of adoption of the Plan by the Board, or (ii) approval of the Plan by the shareholders of the Sponsor.</w:t>
      </w:r>
    </w:p>
    <w:p>
      <w:pPr>
        <w:spacing w:after="0" w:line="51" w:lineRule="exact"/>
        <w:rPr>
          <w:sz w:val="20"/>
          <w:szCs w:val="20"/>
          <w:color w:val="auto"/>
        </w:rPr>
      </w:pPr>
    </w:p>
    <w:p>
      <w:pPr>
        <w:ind w:left="2120" w:hanging="532"/>
        <w:spacing w:after="0"/>
        <w:tabs>
          <w:tab w:leader="none" w:pos="21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w:t>
      </w:r>
    </w:p>
    <w:p>
      <w:pPr>
        <w:spacing w:after="0" w:line="5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Option shall be determined by the Committee, provided, however, that with</w:t>
      </w:r>
    </w:p>
    <w:p>
      <w:pPr>
        <w:ind w:left="4740"/>
        <w:spacing w:after="0"/>
        <w:rPr>
          <w:sz w:val="20"/>
          <w:szCs w:val="20"/>
          <w:color w:val="auto"/>
        </w:rPr>
      </w:pPr>
      <w:r>
        <w:rPr>
          <w:rFonts w:ascii="Courier New" w:cs="Courier New" w:eastAsia="Courier New" w:hAnsi="Courier New"/>
          <w:sz w:val="18"/>
          <w:szCs w:val="18"/>
          <w:color w:val="auto"/>
        </w:rPr>
        <w:t>-----------------</w:t>
      </w:r>
    </w:p>
    <w:p>
      <w:pPr>
        <w:jc w:val="both"/>
        <w:ind w:right="1879"/>
        <w:spacing w:after="0" w:line="268" w:lineRule="auto"/>
        <w:rPr>
          <w:sz w:val="20"/>
          <w:szCs w:val="20"/>
          <w:color w:val="auto"/>
        </w:rPr>
      </w:pPr>
      <w:r>
        <w:rPr>
          <w:rFonts w:ascii="Courier New" w:cs="Courier New" w:eastAsia="Courier New" w:hAnsi="Courier New"/>
          <w:sz w:val="16"/>
          <w:szCs w:val="16"/>
          <w:color w:val="auto"/>
        </w:rPr>
        <w:t>respect to any Incentive Stock Options, the option price per share shall not be less than 100% of the Fair Market Value of such Share on the Date of Grant, and provided further that with respect to any Incentive Stock Options granted to a</w:t>
      </w:r>
    </w:p>
    <w:p>
      <w:pPr>
        <w:spacing w:after="0"/>
        <w:rPr>
          <w:sz w:val="20"/>
          <w:szCs w:val="20"/>
          <w:color w:val="auto"/>
        </w:rPr>
      </w:pPr>
      <w:r>
        <w:rPr>
          <w:rFonts w:ascii="Courier New" w:cs="Courier New" w:eastAsia="Courier New" w:hAnsi="Courier New"/>
          <w:sz w:val="18"/>
          <w:szCs w:val="18"/>
          <w:color w:val="auto"/>
        </w:rPr>
        <w:t>- ----------------</w:t>
      </w:r>
    </w:p>
    <w:p>
      <w:pPr>
        <w:jc w:val="both"/>
        <w:ind w:right="1879"/>
        <w:spacing w:after="0" w:line="309" w:lineRule="auto"/>
        <w:rPr>
          <w:sz w:val="20"/>
          <w:szCs w:val="20"/>
          <w:color w:val="auto"/>
        </w:rPr>
      </w:pPr>
      <w:r>
        <w:rPr>
          <w:rFonts w:ascii="Courier New" w:cs="Courier New" w:eastAsia="Courier New" w:hAnsi="Courier New"/>
          <w:sz w:val="18"/>
          <w:szCs w:val="18"/>
          <w:color w:val="auto"/>
        </w:rPr>
        <w:t>Ten Percent Shareholder, the option price per Share shall not be less than 110% of the Fair Market Value of such Share on the Date of Grant.</w:t>
      </w:r>
    </w:p>
    <w:p>
      <w:pPr>
        <w:spacing w:after="0" w:line="51" w:lineRule="exact"/>
        <w:rPr>
          <w:sz w:val="20"/>
          <w:szCs w:val="20"/>
          <w:color w:val="auto"/>
        </w:rPr>
      </w:pPr>
    </w:p>
    <w:p>
      <w:pPr>
        <w:ind w:left="2120" w:hanging="532"/>
        <w:spacing w:after="0"/>
        <w:tabs>
          <w:tab w:leader="none" w:pos="21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w:t>
      </w:r>
    </w:p>
    <w:p>
      <w:pPr>
        <w:spacing w:after="0" w:line="30"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w:t>
      </w:r>
    </w:p>
    <w:p>
      <w:pPr>
        <w:spacing w:after="0"/>
        <w:rPr>
          <w:sz w:val="20"/>
          <w:szCs w:val="20"/>
          <w:color w:val="auto"/>
        </w:rPr>
      </w:pPr>
      <w:r>
        <w:rPr>
          <w:rFonts w:ascii="Courier New" w:cs="Courier New" w:eastAsia="Courier New" w:hAnsi="Courier New"/>
          <w:sz w:val="18"/>
          <w:szCs w:val="18"/>
          <w:color w:val="auto"/>
        </w:rPr>
        <w:t>- -------------</w:t>
      </w:r>
    </w:p>
    <w:p>
      <w:pPr>
        <w:ind w:right="1879"/>
        <w:spacing w:after="0" w:line="273" w:lineRule="auto"/>
        <w:rPr>
          <w:sz w:val="20"/>
          <w:szCs w:val="20"/>
          <w:color w:val="auto"/>
        </w:rPr>
      </w:pPr>
      <w:r>
        <w:rPr>
          <w:rFonts w:ascii="Courier New" w:cs="Courier New" w:eastAsia="Courier New" w:hAnsi="Courier New"/>
          <w:sz w:val="18"/>
          <w:szCs w:val="18"/>
          <w:color w:val="auto"/>
        </w:rPr>
        <w:t>Non-Qualified Option or by amendment of an option document for an Incentive Stock Option or a Non-Qualified Option, provide that Options granted to or held by an Optionee may</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49" w:name="page50"/>
    <w:bookmarkEnd w:id="49"/>
    <w:p>
      <w:pPr>
        <w:ind w:right="1779"/>
        <w:spacing w:after="0" w:line="257" w:lineRule="auto"/>
        <w:rPr>
          <w:sz w:val="20"/>
          <w:szCs w:val="20"/>
          <w:color w:val="auto"/>
        </w:rPr>
      </w:pPr>
      <w:r>
        <w:rPr>
          <w:rFonts w:ascii="Courier New" w:cs="Courier New" w:eastAsia="Courier New" w:hAnsi="Courier New"/>
          <w:sz w:val="18"/>
          <w:szCs w:val="18"/>
          <w:color w:val="auto"/>
        </w:rPr>
        <w:t>be transferred, in whole or in part, to one or more transferees and exercised by any such transferee; provided further that (i) any such transfer is without</w:t>
      </w: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consideration and (ii) each transferee is a member of such Optionee's Immediate Family; and provided further that any Incentive Stock Option granted pursuant to</w:t>
      </w: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83" w:lineRule="auto"/>
        <w:rPr>
          <w:sz w:val="20"/>
          <w:szCs w:val="20"/>
          <w:color w:val="auto"/>
        </w:rPr>
      </w:pPr>
      <w:r>
        <w:rPr>
          <w:rFonts w:ascii="Courier New" w:cs="Courier New" w:eastAsia="Courier New" w:hAnsi="Courier New"/>
          <w:sz w:val="16"/>
          <w:szCs w:val="16"/>
          <w:color w:val="auto"/>
        </w:rPr>
        <w:t>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81" w:lineRule="exact"/>
        <w:rPr>
          <w:sz w:val="20"/>
          <w:szCs w:val="20"/>
          <w:color w:val="auto"/>
        </w:rPr>
      </w:pPr>
    </w:p>
    <w:p>
      <w:pPr>
        <w:ind w:left="2120" w:hanging="532"/>
        <w:spacing w:after="0"/>
        <w:tabs>
          <w:tab w:leader="none" w:pos="21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of Options.  Full payment for Shares</w:t>
      </w:r>
    </w:p>
    <w:p>
      <w:pPr>
        <w:spacing w:after="0" w:line="30"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w:t>
      </w:r>
    </w:p>
    <w:p>
      <w:pPr>
        <w:ind w:left="316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w:t>
      </w:r>
    </w:p>
    <w:p>
      <w:pPr>
        <w:ind w:left="5480"/>
        <w:spacing w:after="0"/>
        <w:rPr>
          <w:sz w:val="20"/>
          <w:szCs w:val="20"/>
          <w:color w:val="auto"/>
        </w:rPr>
      </w:pPr>
      <w:r>
        <w:rPr>
          <w:rFonts w:ascii="Courier New" w:cs="Courier New" w:eastAsia="Courier New" w:hAnsi="Courier New"/>
          <w:sz w:val="18"/>
          <w:szCs w:val="18"/>
          <w:color w:val="auto"/>
        </w:rPr>
        <w:t>----------------</w:t>
      </w:r>
    </w:p>
    <w:p>
      <w:pPr>
        <w:ind w:right="1779"/>
        <w:spacing w:after="0" w:line="276" w:lineRule="auto"/>
        <w:rPr>
          <w:sz w:val="20"/>
          <w:szCs w:val="20"/>
          <w:color w:val="auto"/>
        </w:rPr>
      </w:pPr>
      <w:r>
        <w:rPr>
          <w:rFonts w:ascii="Courier New" w:cs="Courier New" w:eastAsia="Courier New" w:hAnsi="Courier New"/>
          <w:sz w:val="16"/>
          <w:szCs w:val="16"/>
          <w:color w:val="auto"/>
        </w:rPr>
        <w:t>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291" w:lineRule="exact"/>
        <w:rPr>
          <w:sz w:val="20"/>
          <w:szCs w:val="20"/>
          <w:color w:val="auto"/>
        </w:rPr>
      </w:pPr>
    </w:p>
    <w:p>
      <w:pPr>
        <w:ind w:left="2120" w:hanging="532"/>
        <w:spacing w:after="0"/>
        <w:tabs>
          <w:tab w:leader="none" w:pos="21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w:t>
      </w:r>
    </w:p>
    <w:p>
      <w:pPr>
        <w:spacing w:after="0" w:line="53"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Only whole Shares shall be issuable upon exercise of Options. Any right 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879"/>
        <w:spacing w:after="0" w:line="256" w:lineRule="auto"/>
        <w:rPr>
          <w:sz w:val="20"/>
          <w:szCs w:val="20"/>
          <w:color w:val="auto"/>
        </w:rPr>
      </w:pPr>
      <w:r>
        <w:rPr>
          <w:rFonts w:ascii="Courier New" w:cs="Courier New" w:eastAsia="Courier New" w:hAnsi="Courier New"/>
          <w:sz w:val="18"/>
          <w:szCs w:val="18"/>
          <w:color w:val="auto"/>
        </w:rPr>
        <w:t>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50" w:name="page51"/>
    <w:bookmarkEnd w:id="50"/>
    <w:p>
      <w:pPr>
        <w:ind w:left="2120" w:hanging="532"/>
        <w:spacing w:after="0"/>
        <w:tabs>
          <w:tab w:leader="none" w:pos="21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For purposes of the Plan, a</w:t>
      </w:r>
    </w:p>
    <w:p>
      <w:pPr>
        <w:spacing w:after="0" w:line="30"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transfer of an employee between two employers, each of which is a Company, shall not be deemed a termination of employment. For purposes of Paragraph 7(g), an Optionee's termination of employment shall be deemed to occur on the date an Optionee ceases to serve as an active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02" w:lineRule="exact"/>
        <w:rPr>
          <w:sz w:val="20"/>
          <w:szCs w:val="20"/>
          <w:color w:val="auto"/>
        </w:rPr>
      </w:pPr>
    </w:p>
    <w:p>
      <w:pPr>
        <w:ind w:left="2120" w:hanging="532"/>
        <w:spacing w:after="0"/>
        <w:tabs>
          <w:tab w:leader="none" w:pos="21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Periods of Exercise of Options. An Option shall be</w:t>
      </w:r>
    </w:p>
    <w:p>
      <w:pPr>
        <w:spacing w:after="0" w:line="30"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81" w:lineRule="auto"/>
        <w:rPr>
          <w:sz w:val="20"/>
          <w:szCs w:val="20"/>
          <w:color w:val="auto"/>
        </w:rPr>
      </w:pPr>
      <w:r>
        <w:rPr>
          <w:rFonts w:ascii="Courier New" w:cs="Courier New" w:eastAsia="Courier New" w:hAnsi="Courier New"/>
          <w:sz w:val="16"/>
          <w:szCs w:val="16"/>
          <w:color w:val="auto"/>
        </w:rPr>
        <w:t>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84" w:lineRule="exact"/>
        <w:rPr>
          <w:sz w:val="20"/>
          <w:szCs w:val="20"/>
          <w:color w:val="auto"/>
        </w:rPr>
      </w:pPr>
    </w:p>
    <w:p>
      <w:pPr>
        <w:ind w:left="1060" w:right="1779" w:firstLine="1055"/>
        <w:spacing w:after="0" w:line="280" w:lineRule="auto"/>
        <w:tabs>
          <w:tab w:leader="none" w:pos="285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289" w:lineRule="exact"/>
        <w:rPr>
          <w:rFonts w:ascii="Courier New" w:cs="Courier New" w:eastAsia="Courier New" w:hAnsi="Courier New"/>
          <w:sz w:val="16"/>
          <w:szCs w:val="16"/>
          <w:color w:val="auto"/>
        </w:rPr>
      </w:pPr>
    </w:p>
    <w:p>
      <w:pPr>
        <w:ind w:left="1060" w:right="1879" w:firstLine="1055"/>
        <w:spacing w:after="0" w:line="276" w:lineRule="auto"/>
        <w:tabs>
          <w:tab w:leader="none" w:pos="285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w:t>
      </w:r>
    </w:p>
    <w:p>
      <w:pPr>
        <w:spacing w:after="0" w:line="3" w:lineRule="exact"/>
        <w:rPr>
          <w:sz w:val="20"/>
          <w:szCs w:val="20"/>
          <w:color w:val="auto"/>
        </w:rPr>
      </w:pPr>
    </w:p>
    <w:p>
      <w:pPr>
        <w:ind w:left="1060" w:right="1999"/>
        <w:spacing w:after="0" w:line="268" w:lineRule="auto"/>
        <w:rPr>
          <w:sz w:val="20"/>
          <w:szCs w:val="20"/>
          <w:color w:val="auto"/>
        </w:rPr>
      </w:pPr>
      <w:r>
        <w:rPr>
          <w:rFonts w:ascii="Courier New" w:cs="Courier New" w:eastAsia="Courier New" w:hAnsi="Courier New"/>
          <w:sz w:val="16"/>
          <w:szCs w:val="16"/>
          <w:color w:val="auto"/>
        </w:rPr>
        <w:t>Optionee shall have passed by will or by the laws of descent and distribution; provided, however, that in no event shall an Incentive</w:t>
      </w:r>
    </w:p>
    <w:p>
      <w:pPr>
        <w:ind w:left="2540"/>
        <w:spacing w:after="0"/>
        <w:rPr>
          <w:sz w:val="20"/>
          <w:szCs w:val="20"/>
          <w:color w:val="auto"/>
        </w:rPr>
      </w:pPr>
      <w:r>
        <w:rPr>
          <w:rFonts w:ascii="Courier New" w:cs="Courier New" w:eastAsia="Courier New" w:hAnsi="Courier New"/>
          <w:sz w:val="18"/>
          <w:szCs w:val="18"/>
          <w:color w:val="auto"/>
        </w:rPr>
        <w:t>-----------------</w:t>
      </w:r>
    </w:p>
    <w:p>
      <w:pPr>
        <w:ind w:left="1060" w:right="1779"/>
        <w:spacing w:after="0" w:line="273" w:lineRule="auto"/>
        <w:rPr>
          <w:sz w:val="20"/>
          <w:szCs w:val="20"/>
          <w:color w:val="auto"/>
        </w:rPr>
      </w:pPr>
      <w:r>
        <w:rPr>
          <w:rFonts w:ascii="Courier New" w:cs="Courier New" w:eastAsia="Courier New" w:hAnsi="Courier New"/>
          <w:sz w:val="18"/>
          <w:szCs w:val="18"/>
          <w:color w:val="auto"/>
        </w:rPr>
        <w:t>Stock Option be exercisable after five years from the Date of Grant in the case of a grant to a Ten Percent Shareholder, nor shall any other Option be exercisable after ten years from the Date of Grant.</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51" w:name="page52"/>
    <w:bookmarkEnd w:id="51"/>
    <w:p>
      <w:pPr>
        <w:ind w:left="1060" w:right="1879" w:firstLine="1055"/>
        <w:spacing w:after="0" w:line="282" w:lineRule="auto"/>
        <w:tabs>
          <w:tab w:leader="none" w:pos="285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employment with the Company is terminated for Cause, each unexercised Option held by such Optionee shall terminate and cease to be exercisable; provided</w:t>
      </w:r>
    </w:p>
    <w:p>
      <w:pPr>
        <w:ind w:left="6740"/>
        <w:spacing w:after="0"/>
        <w:rPr>
          <w:sz w:val="20"/>
          <w:szCs w:val="20"/>
          <w:color w:val="auto"/>
        </w:rPr>
      </w:pPr>
      <w:r>
        <w:rPr>
          <w:rFonts w:ascii="Courier New" w:cs="Courier New" w:eastAsia="Courier New" w:hAnsi="Courier New"/>
          <w:sz w:val="18"/>
          <w:szCs w:val="18"/>
          <w:color w:val="auto"/>
        </w:rPr>
        <w:t>--------</w:t>
      </w:r>
    </w:p>
    <w:p>
      <w:pPr>
        <w:ind w:left="1060" w:right="1879"/>
        <w:spacing w:after="0" w:line="252" w:lineRule="auto"/>
        <w:rPr>
          <w:sz w:val="20"/>
          <w:szCs w:val="20"/>
          <w:color w:val="auto"/>
        </w:rPr>
      </w:pPr>
      <w:r>
        <w:rPr>
          <w:rFonts w:ascii="Courier New" w:cs="Courier New" w:eastAsia="Courier New" w:hAnsi="Courier New"/>
          <w:sz w:val="18"/>
          <w:szCs w:val="18"/>
          <w:color w:val="auto"/>
        </w:rPr>
        <w:t>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01" w:lineRule="exact"/>
        <w:rPr>
          <w:sz w:val="20"/>
          <w:szCs w:val="20"/>
          <w:color w:val="auto"/>
        </w:rPr>
      </w:pPr>
    </w:p>
    <w:p>
      <w:pPr>
        <w:ind w:left="2120" w:hanging="532"/>
        <w:spacing w:after="0"/>
        <w:tabs>
          <w:tab w:leader="none" w:pos="21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shall be</w:t>
      </w:r>
    </w:p>
    <w:p>
      <w:pPr>
        <w:spacing w:after="0" w:line="53"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the date on which written notice of exercise, addressed to the Sponsor at its main office to the attention of its Secretary, is hand delivered, telecopied or mailed first class postage prepaid; provided, however, that the Sponsor shall</w:t>
      </w:r>
    </w:p>
    <w:p>
      <w:pPr>
        <w:ind w:left="3800"/>
        <w:spacing w:after="0"/>
        <w:rPr>
          <w:sz w:val="20"/>
          <w:szCs w:val="20"/>
          <w:color w:val="auto"/>
        </w:rPr>
      </w:pPr>
      <w:r>
        <w:rPr>
          <w:rFonts w:ascii="Courier New" w:cs="Courier New" w:eastAsia="Courier New" w:hAnsi="Courier New"/>
          <w:sz w:val="18"/>
          <w:szCs w:val="18"/>
          <w:color w:val="auto"/>
        </w:rPr>
        <w:t>-----------------</w:t>
      </w:r>
    </w:p>
    <w:p>
      <w:pPr>
        <w:ind w:right="1779"/>
        <w:spacing w:after="0" w:line="281" w:lineRule="auto"/>
        <w:rPr>
          <w:sz w:val="20"/>
          <w:szCs w:val="20"/>
          <w:color w:val="auto"/>
        </w:rPr>
      </w:pPr>
      <w:r>
        <w:rPr>
          <w:rFonts w:ascii="Courier New" w:cs="Courier New" w:eastAsia="Courier New" w:hAnsi="Courier New"/>
          <w:sz w:val="16"/>
          <w:szCs w:val="16"/>
          <w:color w:val="auto"/>
        </w:rPr>
        <w:t>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84" w:lineRule="exact"/>
        <w:rPr>
          <w:sz w:val="20"/>
          <w:szCs w:val="20"/>
          <w:color w:val="auto"/>
        </w:rPr>
      </w:pPr>
    </w:p>
    <w:p>
      <w:pPr>
        <w:ind w:left="2120" w:hanging="532"/>
        <w:spacing w:after="0"/>
        <w:tabs>
          <w:tab w:leader="none" w:pos="212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Rights. The Committee may, in its sole discretion,</w:t>
      </w:r>
    </w:p>
    <w:p>
      <w:pPr>
        <w:spacing w:after="0" w:line="30"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323" w:lineRule="auto"/>
        <w:rPr>
          <w:sz w:val="20"/>
          <w:szCs w:val="20"/>
          <w:color w:val="auto"/>
        </w:rPr>
      </w:pPr>
      <w:r>
        <w:rPr>
          <w:rFonts w:ascii="Courier New" w:cs="Courier New" w:eastAsia="Courier New" w:hAnsi="Courier New"/>
          <w:sz w:val="16"/>
          <w:szCs w:val="16"/>
          <w:color w:val="auto"/>
        </w:rPr>
        <w:t>provide in an option document for an eligible Optionee that Cash Rights shall be attached to Non-Qualified Options granted under the Plan. All Cash Rights that are attached to Non-Qualified Options shall be subject to the following terms:</w:t>
      </w:r>
    </w:p>
    <w:p>
      <w:pPr>
        <w:spacing w:after="0" w:line="47" w:lineRule="exact"/>
        <w:rPr>
          <w:sz w:val="20"/>
          <w:szCs w:val="20"/>
          <w:color w:val="auto"/>
        </w:rPr>
      </w:pPr>
    </w:p>
    <w:p>
      <w:pPr>
        <w:ind w:left="540" w:right="1999" w:firstLine="1575"/>
        <w:spacing w:after="0" w:line="347" w:lineRule="auto"/>
        <w:tabs>
          <w:tab w:leader="none" w:pos="285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expire no later than the Non-Qualified Option to which it is attached.</w:t>
      </w:r>
    </w:p>
    <w:p>
      <w:pPr>
        <w:spacing w:after="0" w:line="18" w:lineRule="exact"/>
        <w:rPr>
          <w:rFonts w:ascii="Courier New" w:cs="Courier New" w:eastAsia="Courier New" w:hAnsi="Courier New"/>
          <w:sz w:val="18"/>
          <w:szCs w:val="18"/>
          <w:color w:val="auto"/>
        </w:rPr>
      </w:pPr>
    </w:p>
    <w:p>
      <w:pPr>
        <w:jc w:val="both"/>
        <w:ind w:left="540" w:right="1779" w:firstLine="1575"/>
        <w:spacing w:after="0" w:line="292" w:lineRule="auto"/>
        <w:tabs>
          <w:tab w:leader="none" w:pos="285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provide for the cash payment of such amount per Share as shall be determined by the Committee and stated in the option document.</w:t>
      </w:r>
    </w:p>
    <w:p>
      <w:pPr>
        <w:spacing w:after="0" w:line="66" w:lineRule="exact"/>
        <w:rPr>
          <w:rFonts w:ascii="Courier New" w:cs="Courier New" w:eastAsia="Courier New" w:hAnsi="Courier New"/>
          <w:sz w:val="18"/>
          <w:szCs w:val="18"/>
          <w:color w:val="auto"/>
        </w:rPr>
      </w:pPr>
    </w:p>
    <w:p>
      <w:pPr>
        <w:ind w:left="540" w:right="1879" w:firstLine="1575"/>
        <w:spacing w:after="0" w:line="292" w:lineRule="auto"/>
        <w:tabs>
          <w:tab w:leader="none" w:pos="285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be subject to the same restrictions on transferability as the Non-Qualified Option to which it is attached.</w:t>
      </w:r>
    </w:p>
    <w:p>
      <w:pPr>
        <w:spacing w:after="0" w:line="66" w:lineRule="exact"/>
        <w:rPr>
          <w:rFonts w:ascii="Courier New" w:cs="Courier New" w:eastAsia="Courier New" w:hAnsi="Courier New"/>
          <w:sz w:val="18"/>
          <w:szCs w:val="18"/>
          <w:color w:val="auto"/>
        </w:rPr>
      </w:pPr>
    </w:p>
    <w:p>
      <w:pPr>
        <w:jc w:val="both"/>
        <w:ind w:left="540" w:right="1999" w:firstLine="1575"/>
        <w:spacing w:after="0" w:line="292" w:lineRule="auto"/>
        <w:tabs>
          <w:tab w:leader="none" w:pos="285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be exercisable only when such conditions to exercise as shall be determined by the Committee and stated in the option document, if any, have been satisfied.</w:t>
      </w:r>
    </w:p>
    <w:p>
      <w:pPr>
        <w:spacing w:after="0" w:line="66" w:lineRule="exact"/>
        <w:rPr>
          <w:rFonts w:ascii="Courier New" w:cs="Courier New" w:eastAsia="Courier New" w:hAnsi="Courier New"/>
          <w:sz w:val="18"/>
          <w:szCs w:val="18"/>
          <w:color w:val="auto"/>
        </w:rPr>
      </w:pPr>
    </w:p>
    <w:p>
      <w:pPr>
        <w:ind w:left="540" w:right="1779" w:firstLine="1575"/>
        <w:spacing w:after="0" w:line="347" w:lineRule="auto"/>
        <w:tabs>
          <w:tab w:leader="none" w:pos="2857"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expire upon the exercise of the Non-Qualified Option to which it is attached.</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52" w:name="page53"/>
    <w:bookmarkEnd w:id="52"/>
    <w:p>
      <w:pPr>
        <w:ind w:left="540" w:right="1879" w:firstLine="1575"/>
        <w:spacing w:after="0" w:line="292" w:lineRule="auto"/>
        <w:tabs>
          <w:tab w:leader="none" w:pos="2857"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exercise of a Cash Right that is attached to a Non-Qualified Option, the Option to which the Cash Right is attached shall expire.</w:t>
      </w:r>
    </w:p>
    <w:p>
      <w:pPr>
        <w:spacing w:after="0" w:line="66"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Non-Employee Directors</w:t>
      </w:r>
    </w:p>
    <w:p>
      <w:pPr>
        <w:spacing w:after="0" w:line="201" w:lineRule="exact"/>
        <w:rPr>
          <w:sz w:val="20"/>
          <w:szCs w:val="20"/>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93" w:lineRule="exact"/>
        <w:rPr>
          <w:sz w:val="20"/>
          <w:szCs w:val="20"/>
          <w:color w:val="auto"/>
        </w:rPr>
      </w:pPr>
    </w:p>
    <w:p>
      <w:pPr>
        <w:ind w:left="2120" w:hanging="532"/>
        <w:spacing w:after="0"/>
        <w:tabs>
          <w:tab w:leader="none" w:pos="21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 to Non-Employee Directors. Each Non-</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right="1779"/>
        <w:spacing w:after="0" w:line="304" w:lineRule="auto"/>
        <w:rPr>
          <w:sz w:val="20"/>
          <w:szCs w:val="20"/>
          <w:color w:val="auto"/>
        </w:rPr>
      </w:pPr>
      <w:r>
        <w:rPr>
          <w:rFonts w:ascii="Courier New" w:cs="Courier New" w:eastAsia="Courier New" w:hAnsi="Courier New"/>
          <w:sz w:val="16"/>
          <w:szCs w:val="16"/>
          <w:color w:val="auto"/>
        </w:rPr>
        <w:t>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63" w:lineRule="exact"/>
        <w:rPr>
          <w:sz w:val="20"/>
          <w:szCs w:val="20"/>
          <w:color w:val="auto"/>
        </w:rPr>
      </w:pPr>
    </w:p>
    <w:p>
      <w:pPr>
        <w:ind w:left="540" w:right="1999" w:firstLine="1575"/>
        <w:spacing w:after="0" w:line="347" w:lineRule="auto"/>
        <w:tabs>
          <w:tab w:leader="none" w:pos="285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granted a Non-Qualified Option to purchase 9,000 Shares on the Election Date; and</w:t>
      </w:r>
    </w:p>
    <w:p>
      <w:pPr>
        <w:spacing w:after="0" w:line="18" w:lineRule="exact"/>
        <w:rPr>
          <w:rFonts w:ascii="Courier New" w:cs="Courier New" w:eastAsia="Courier New" w:hAnsi="Courier New"/>
          <w:sz w:val="18"/>
          <w:szCs w:val="18"/>
          <w:color w:val="auto"/>
        </w:rPr>
      </w:pPr>
    </w:p>
    <w:p>
      <w:pPr>
        <w:ind w:left="540" w:right="1999" w:firstLine="1575"/>
        <w:spacing w:after="0" w:line="274" w:lineRule="auto"/>
        <w:tabs>
          <w:tab w:leader="none" w:pos="2857"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be entitled to the grant of an Option hereunder on the Grant Date immediately following the Non-Employee Director's Election Date if such Election Date is within ninety (90) days of the Grant Date.</w:t>
      </w:r>
    </w:p>
    <w:p>
      <w:pPr>
        <w:spacing w:after="0" w:line="82" w:lineRule="exact"/>
        <w:rPr>
          <w:sz w:val="20"/>
          <w:szCs w:val="20"/>
          <w:color w:val="auto"/>
        </w:rPr>
      </w:pPr>
    </w:p>
    <w:p>
      <w:pPr>
        <w:ind w:left="2120" w:hanging="532"/>
        <w:spacing w:after="0"/>
        <w:tabs>
          <w:tab w:leader="none" w:pos="21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w:t>
      </w:r>
    </w:p>
    <w:p>
      <w:pPr>
        <w:spacing w:after="0" w:line="53"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Option granted under this Paragraph 8 shall be 100% of the Fair Market Value of such Share on the Grant Date.</w:t>
      </w:r>
    </w:p>
    <w:p>
      <w:pPr>
        <w:spacing w:after="0" w:line="51" w:lineRule="exact"/>
        <w:rPr>
          <w:sz w:val="20"/>
          <w:szCs w:val="20"/>
          <w:color w:val="auto"/>
        </w:rPr>
      </w:pPr>
    </w:p>
    <w:p>
      <w:pPr>
        <w:ind w:left="2120" w:hanging="532"/>
        <w:spacing w:after="0"/>
        <w:tabs>
          <w:tab w:leader="none" w:pos="212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w:t>
      </w:r>
    </w:p>
    <w:p>
      <w:pPr>
        <w:spacing w:after="0" w:line="30"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w:t>
      </w:r>
    </w:p>
    <w:p>
      <w:pPr>
        <w:spacing w:after="0"/>
        <w:rPr>
          <w:sz w:val="20"/>
          <w:szCs w:val="20"/>
          <w:color w:val="auto"/>
        </w:rPr>
      </w:pPr>
      <w:r>
        <w:rPr>
          <w:rFonts w:ascii="Courier New" w:cs="Courier New" w:eastAsia="Courier New" w:hAnsi="Courier New"/>
          <w:sz w:val="18"/>
          <w:szCs w:val="18"/>
          <w:color w:val="auto"/>
        </w:rPr>
        <w:t>- -------------</w:t>
      </w:r>
    </w:p>
    <w:p>
      <w:pPr>
        <w:ind w:right="1779"/>
        <w:spacing w:after="0" w:line="268" w:lineRule="auto"/>
        <w:rPr>
          <w:sz w:val="20"/>
          <w:szCs w:val="20"/>
          <w:color w:val="auto"/>
        </w:rPr>
      </w:pPr>
      <w:r>
        <w:rPr>
          <w:rFonts w:ascii="Courier New" w:cs="Courier New" w:eastAsia="Courier New" w:hAnsi="Courier New"/>
          <w:sz w:val="16"/>
          <w:szCs w:val="16"/>
          <w:color w:val="auto"/>
        </w:rPr>
        <w:t>Option or by amendment of an option document for an Option, provide that Options may be transferred, in whole or in part, to one or more transferees and exercised by any such transferee; provided further that (i) any such transfer is</w:t>
      </w:r>
    </w:p>
    <w:p>
      <w:pPr>
        <w:ind w:left="3580"/>
        <w:spacing w:after="0"/>
        <w:rPr>
          <w:sz w:val="20"/>
          <w:szCs w:val="20"/>
          <w:color w:val="auto"/>
        </w:rPr>
      </w:pPr>
      <w:r>
        <w:rPr>
          <w:rFonts w:ascii="Courier New" w:cs="Courier New" w:eastAsia="Courier New" w:hAnsi="Courier New"/>
          <w:sz w:val="18"/>
          <w:szCs w:val="18"/>
          <w:color w:val="auto"/>
        </w:rPr>
        <w:t>---------------------</w:t>
      </w:r>
    </w:p>
    <w:p>
      <w:pPr>
        <w:ind w:right="1879"/>
        <w:spacing w:after="0" w:line="250" w:lineRule="auto"/>
        <w:rPr>
          <w:sz w:val="20"/>
          <w:szCs w:val="20"/>
          <w:color w:val="auto"/>
        </w:rPr>
      </w:pPr>
      <w:r>
        <w:rPr>
          <w:rFonts w:ascii="Courier New" w:cs="Courier New" w:eastAsia="Courier New" w:hAnsi="Courier New"/>
          <w:sz w:val="18"/>
          <w:szCs w:val="18"/>
          <w:color w:val="auto"/>
        </w:rPr>
        <w:t>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53" w:name="page54"/>
    <w:bookmarkEnd w:id="53"/>
    <w:p>
      <w:pPr>
        <w:ind w:left="2120" w:hanging="532"/>
        <w:spacing w:after="0"/>
        <w:tabs>
          <w:tab w:leader="none" w:pos="21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of Options.  Full payment for Shares</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w:t>
      </w:r>
    </w:p>
    <w:p>
      <w:pPr>
        <w:ind w:left="316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w:t>
      </w:r>
    </w:p>
    <w:p>
      <w:pPr>
        <w:ind w:left="5480"/>
        <w:spacing w:after="0"/>
        <w:rPr>
          <w:sz w:val="20"/>
          <w:szCs w:val="20"/>
          <w:color w:val="auto"/>
        </w:rPr>
      </w:pPr>
      <w:r>
        <w:rPr>
          <w:rFonts w:ascii="Courier New" w:cs="Courier New" w:eastAsia="Courier New" w:hAnsi="Courier New"/>
          <w:sz w:val="18"/>
          <w:szCs w:val="18"/>
          <w:color w:val="auto"/>
        </w:rPr>
        <w:t>----------------</w:t>
      </w:r>
    </w:p>
    <w:p>
      <w:pPr>
        <w:ind w:right="1779"/>
        <w:spacing w:after="0" w:line="276" w:lineRule="auto"/>
        <w:rPr>
          <w:sz w:val="20"/>
          <w:szCs w:val="20"/>
          <w:color w:val="auto"/>
        </w:rPr>
      </w:pPr>
      <w:r>
        <w:rPr>
          <w:rFonts w:ascii="Courier New" w:cs="Courier New" w:eastAsia="Courier New" w:hAnsi="Courier New"/>
          <w:sz w:val="16"/>
          <w:szCs w:val="16"/>
          <w:color w:val="auto"/>
        </w:rPr>
        <w:t>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291" w:lineRule="exact"/>
        <w:rPr>
          <w:sz w:val="20"/>
          <w:szCs w:val="20"/>
          <w:color w:val="auto"/>
        </w:rPr>
      </w:pPr>
    </w:p>
    <w:p>
      <w:pPr>
        <w:ind w:left="2120" w:hanging="532"/>
        <w:spacing w:after="0"/>
        <w:tabs>
          <w:tab w:leader="none" w:pos="21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w:t>
      </w:r>
    </w:p>
    <w:p>
      <w:pPr>
        <w:spacing w:after="0" w:line="53"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Only whole Shares shall be issuable upon exercise of Options granted under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2099"/>
        <w:spacing w:after="0" w:line="256" w:lineRule="auto"/>
        <w:rPr>
          <w:sz w:val="20"/>
          <w:szCs w:val="20"/>
          <w:color w:val="auto"/>
        </w:rPr>
      </w:pPr>
      <w:r>
        <w:rPr>
          <w:rFonts w:ascii="Courier New" w:cs="Courier New" w:eastAsia="Courier New" w:hAnsi="Courier New"/>
          <w:sz w:val="18"/>
          <w:szCs w:val="18"/>
          <w:color w:val="auto"/>
        </w:rPr>
        <w:t>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96" w:lineRule="exact"/>
        <w:rPr>
          <w:sz w:val="20"/>
          <w:szCs w:val="20"/>
          <w:color w:val="auto"/>
        </w:rPr>
      </w:pPr>
    </w:p>
    <w:p>
      <w:pPr>
        <w:ind w:left="2120" w:hanging="532"/>
        <w:spacing w:after="0"/>
        <w:tabs>
          <w:tab w:leader="none" w:pos="21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granted under this</w:t>
      </w:r>
    </w:p>
    <w:p>
      <w:pPr>
        <w:spacing w:after="0" w:line="53"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38" w:lineRule="auto"/>
        <w:rPr>
          <w:sz w:val="20"/>
          <w:szCs w:val="20"/>
          <w:color w:val="auto"/>
        </w:rPr>
      </w:pPr>
      <w:r>
        <w:rPr>
          <w:rFonts w:ascii="Courier New" w:cs="Courier New" w:eastAsia="Courier New" w:hAnsi="Courier New"/>
          <w:sz w:val="18"/>
          <w:szCs w:val="18"/>
          <w:color w:val="auto"/>
        </w:rPr>
        <w:t>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right="1779" w:firstLine="1582"/>
        <w:spacing w:after="0" w:line="276" w:lineRule="auto"/>
        <w:tabs>
          <w:tab w:leader="none" w:pos="327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w:t>
      </w:r>
    </w:p>
    <w:p>
      <w:pPr>
        <w:spacing w:after="0" w:line="1"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w:t>
      </w:r>
    </w:p>
    <w:p>
      <w:pPr>
        <w:ind w:left="1060" w:right="1879"/>
        <w:spacing w:after="0" w:line="256" w:lineRule="auto"/>
        <w:rPr>
          <w:sz w:val="20"/>
          <w:szCs w:val="20"/>
          <w:color w:val="auto"/>
        </w:rPr>
      </w:pPr>
      <w:r>
        <w:rPr>
          <w:rFonts w:ascii="Courier New" w:cs="Courier New" w:eastAsia="Courier New" w:hAnsi="Courier New"/>
          <w:sz w:val="18"/>
          <w:szCs w:val="18"/>
          <w:color w:val="auto"/>
        </w:rPr>
        <w:t>if such termination of employment with the Company is due to the Disability of the Optionee, he shall have the right to exercise those of his Options which are then exercisable for a period of one year following the date the Optionee terminates service as a Non-Employee Director;</w:t>
      </w:r>
    </w:p>
    <w:p>
      <w:pPr>
        <w:spacing w:after="0" w:line="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54" w:name="page55"/>
    <w:bookmarkEnd w:id="54"/>
    <w:p>
      <w:pPr>
        <w:ind w:left="1060"/>
        <w:spacing w:after="0"/>
        <w:rPr>
          <w:sz w:val="20"/>
          <w:szCs w:val="20"/>
          <w:color w:val="auto"/>
        </w:rPr>
      </w:pPr>
      <w:r>
        <w:rPr>
          <w:rFonts w:ascii="Courier New" w:cs="Courier New" w:eastAsia="Courier New" w:hAnsi="Courier New"/>
          <w:sz w:val="18"/>
          <w:szCs w:val="18"/>
          <w:color w:val="auto"/>
        </w:rPr>
        <w:t>provided, however, that in no event shall an Option be exercisable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after five years from the Grant Date.</w:t>
      </w:r>
    </w:p>
    <w:p>
      <w:pPr>
        <w:spacing w:after="0" w:line="169" w:lineRule="exact"/>
        <w:rPr>
          <w:sz w:val="20"/>
          <w:szCs w:val="20"/>
          <w:color w:val="auto"/>
        </w:rPr>
      </w:pPr>
    </w:p>
    <w:p>
      <w:pPr>
        <w:ind w:left="1060" w:right="1779" w:firstLine="1582"/>
        <w:spacing w:after="0" w:line="275" w:lineRule="auto"/>
        <w:tabs>
          <w:tab w:leader="none" w:pos="337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w:t>
      </w:r>
    </w:p>
    <w:p>
      <w:pPr>
        <w:ind w:left="380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Option be exercisable after five years from the Grant Date.</w:t>
      </w:r>
    </w:p>
    <w:p>
      <w:pPr>
        <w:spacing w:after="0" w:line="169" w:lineRule="exact"/>
        <w:rPr>
          <w:sz w:val="20"/>
          <w:szCs w:val="20"/>
          <w:color w:val="auto"/>
        </w:rPr>
      </w:pPr>
    </w:p>
    <w:p>
      <w:pPr>
        <w:ind w:left="3380" w:hanging="738"/>
        <w:spacing w:after="0"/>
        <w:tabs>
          <w:tab w:leader="none" w:pos="33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Optionee's service as a</w:t>
      </w:r>
    </w:p>
    <w:p>
      <w:pPr>
        <w:spacing w:after="0" w:line="31" w:lineRule="exact"/>
        <w:rPr>
          <w:sz w:val="20"/>
          <w:szCs w:val="20"/>
          <w:color w:val="auto"/>
        </w:rPr>
      </w:pPr>
    </w:p>
    <w:p>
      <w:pPr>
        <w:ind w:left="1060" w:right="1779"/>
        <w:spacing w:after="0" w:line="268" w:lineRule="auto"/>
        <w:rPr>
          <w:sz w:val="20"/>
          <w:szCs w:val="20"/>
          <w:color w:val="auto"/>
        </w:rPr>
      </w:pPr>
      <w:r>
        <w:rPr>
          <w:rFonts w:ascii="Courier New" w:cs="Courier New" w:eastAsia="Courier New" w:hAnsi="Courier New"/>
          <w:sz w:val="16"/>
          <w:szCs w:val="16"/>
          <w:color w:val="auto"/>
        </w:rPr>
        <w:t>Non-Employee Director is terminated for Cause, each unexercised Option shall terminate and cease to be exercisable; provided further, that in</w:t>
      </w:r>
    </w:p>
    <w:p>
      <w:pPr>
        <w:ind w:left="5800"/>
        <w:spacing w:after="0"/>
        <w:rPr>
          <w:sz w:val="20"/>
          <w:szCs w:val="20"/>
          <w:color w:val="auto"/>
        </w:rPr>
      </w:pPr>
      <w:r>
        <w:rPr>
          <w:rFonts w:ascii="Courier New" w:cs="Courier New" w:eastAsia="Courier New" w:hAnsi="Courier New"/>
          <w:sz w:val="18"/>
          <w:szCs w:val="18"/>
          <w:color w:val="auto"/>
        </w:rPr>
        <w:t>----------------</w:t>
      </w:r>
    </w:p>
    <w:p>
      <w:pPr>
        <w:ind w:left="1060" w:right="1879"/>
        <w:spacing w:after="0" w:line="256" w:lineRule="auto"/>
        <w:rPr>
          <w:sz w:val="20"/>
          <w:szCs w:val="20"/>
          <w:color w:val="auto"/>
        </w:rPr>
      </w:pPr>
      <w:r>
        <w:rPr>
          <w:rFonts w:ascii="Courier New" w:cs="Courier New" w:eastAsia="Courier New" w:hAnsi="Courier New"/>
          <w:sz w:val="18"/>
          <w:szCs w:val="18"/>
          <w:color w:val="auto"/>
        </w:rPr>
        <w:t>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96" w:lineRule="exact"/>
        <w:rPr>
          <w:sz w:val="20"/>
          <w:szCs w:val="20"/>
          <w:color w:val="auto"/>
        </w:rPr>
      </w:pPr>
    </w:p>
    <w:p>
      <w:pPr>
        <w:ind w:right="1879" w:firstLine="1588"/>
        <w:spacing w:after="0" w:line="278" w:lineRule="auto"/>
        <w:tabs>
          <w:tab w:leader="none" w:pos="2107"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w:t>
      </w:r>
    </w:p>
    <w:p>
      <w:pPr>
        <w:spacing w:after="0" w:line="1"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however, that the Sponsor shall not be obligated to deliver any certificates for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779"/>
        <w:spacing w:after="0" w:line="250" w:lineRule="auto"/>
        <w:rPr>
          <w:sz w:val="20"/>
          <w:szCs w:val="20"/>
          <w:color w:val="auto"/>
        </w:rPr>
      </w:pPr>
      <w:r>
        <w:rPr>
          <w:rFonts w:ascii="Courier New" w:cs="Courier New" w:eastAsia="Courier New" w:hAnsi="Courier New"/>
          <w:sz w:val="18"/>
          <w:szCs w:val="18"/>
          <w:color w:val="auto"/>
        </w:rPr>
        <w:t>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02" w:lineRule="exact"/>
        <w:rPr>
          <w:sz w:val="20"/>
          <w:szCs w:val="20"/>
          <w:color w:val="auto"/>
        </w:rPr>
      </w:pPr>
    </w:p>
    <w:p>
      <w:pPr>
        <w:ind w:left="1580" w:hanging="519"/>
        <w:spacing w:after="0"/>
        <w:tabs>
          <w:tab w:leader="none" w:pos="158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Exercise of Incentive Stock Options.</w:t>
      </w:r>
    </w:p>
    <w:p>
      <w:pPr>
        <w:spacing w:after="0" w:line="201" w:lineRule="exact"/>
        <w:rPr>
          <w:sz w:val="20"/>
          <w:szCs w:val="20"/>
          <w:color w:val="auto"/>
        </w:rPr>
      </w:pPr>
    </w:p>
    <w:p>
      <w:pPr>
        <w:ind w:right="1779" w:firstLine="1053"/>
        <w:spacing w:after="0" w:line="246" w:lineRule="auto"/>
        <w:rPr>
          <w:sz w:val="20"/>
          <w:szCs w:val="20"/>
          <w:color w:val="auto"/>
        </w:rPr>
      </w:pPr>
      <w:r>
        <w:rPr>
          <w:rFonts w:ascii="Courier New" w:cs="Courier New" w:eastAsia="Courier New" w:hAnsi="Courier New"/>
          <w:sz w:val="18"/>
          <w:szCs w:val="18"/>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55" w:name="page56"/>
    <w:bookmarkEnd w:id="55"/>
    <w:p>
      <w:pPr>
        <w:ind w:left="1580" w:hanging="519"/>
        <w:spacing w:after="0"/>
        <w:tabs>
          <w:tab w:leader="none" w:pos="158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Shareholders</w:t>
      </w:r>
    </w:p>
    <w:p>
      <w:pPr>
        <w:spacing w:after="0" w:line="201" w:lineRule="exact"/>
        <w:rPr>
          <w:sz w:val="20"/>
          <w:szCs w:val="20"/>
          <w:color w:val="auto"/>
        </w:rPr>
      </w:pPr>
    </w:p>
    <w:p>
      <w:pPr>
        <w:ind w:right="1879" w:firstLine="1053"/>
        <w:spacing w:after="0" w:line="256" w:lineRule="auto"/>
        <w:rPr>
          <w:sz w:val="20"/>
          <w:szCs w:val="20"/>
          <w:color w:val="auto"/>
        </w:rPr>
      </w:pPr>
      <w:r>
        <w:rPr>
          <w:rFonts w:ascii="Courier New" w:cs="Courier New" w:eastAsia="Courier New" w:hAnsi="Courier New"/>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98" w:lineRule="exact"/>
        <w:rPr>
          <w:sz w:val="20"/>
          <w:szCs w:val="20"/>
          <w:color w:val="auto"/>
        </w:rPr>
      </w:pPr>
    </w:p>
    <w:p>
      <w:pPr>
        <w:ind w:left="1580" w:hanging="519"/>
        <w:spacing w:after="0"/>
        <w:tabs>
          <w:tab w:leader="none" w:pos="15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w:t>
      </w:r>
    </w:p>
    <w:p>
      <w:pPr>
        <w:spacing w:after="0" w:line="201" w:lineRule="exact"/>
        <w:rPr>
          <w:rFonts w:ascii="Courier New" w:cs="Courier New" w:eastAsia="Courier New" w:hAnsi="Courier New"/>
          <w:sz w:val="18"/>
          <w:szCs w:val="18"/>
          <w:color w:val="auto"/>
        </w:rPr>
      </w:pPr>
    </w:p>
    <w:p>
      <w:pPr>
        <w:ind w:right="1779" w:firstLine="1588"/>
        <w:spacing w:after="0" w:line="280" w:lineRule="auto"/>
        <w:tabs>
          <w:tab w:leader="none" w:pos="2107"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289" w:lineRule="exact"/>
        <w:rPr>
          <w:rFonts w:ascii="Courier New" w:cs="Courier New" w:eastAsia="Courier New" w:hAnsi="Courier New"/>
          <w:sz w:val="16"/>
          <w:szCs w:val="16"/>
          <w:color w:val="auto"/>
        </w:rPr>
      </w:pPr>
    </w:p>
    <w:p>
      <w:pPr>
        <w:ind w:right="1779" w:firstLine="1588"/>
        <w:spacing w:after="0" w:line="306" w:lineRule="auto"/>
        <w:tabs>
          <w:tab w:leader="none" w:pos="2107"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60"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Events</w:t>
      </w:r>
    </w:p>
    <w:p>
      <w:pPr>
        <w:spacing w:after="0" w:line="201" w:lineRule="exact"/>
        <w:rPr>
          <w:rFonts w:ascii="Courier New" w:cs="Courier New" w:eastAsia="Courier New" w:hAnsi="Courier New"/>
          <w:sz w:val="18"/>
          <w:szCs w:val="18"/>
          <w:color w:val="auto"/>
        </w:rPr>
      </w:pPr>
    </w:p>
    <w:p>
      <w:pPr>
        <w:ind w:right="1779" w:firstLine="1588"/>
        <w:spacing w:after="0" w:line="274" w:lineRule="auto"/>
        <w:tabs>
          <w:tab w:leader="none" w:pos="2107"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w:t>
      </w:r>
    </w:p>
    <w:p>
      <w:pPr>
        <w:ind w:left="4220"/>
        <w:spacing w:after="0"/>
        <w:rPr>
          <w:sz w:val="20"/>
          <w:szCs w:val="20"/>
          <w:color w:val="auto"/>
        </w:rPr>
      </w:pPr>
      <w:r>
        <w:rPr>
          <w:rFonts w:ascii="Courier New" w:cs="Courier New" w:eastAsia="Courier New" w:hAnsi="Courier New"/>
          <w:sz w:val="18"/>
          <w:szCs w:val="18"/>
          <w:color w:val="auto"/>
        </w:rPr>
        <w:t>-------------</w:t>
      </w:r>
    </w:p>
    <w:p>
      <w:pPr>
        <w:ind w:right="1999"/>
        <w:spacing w:after="0" w:line="295" w:lineRule="auto"/>
        <w:rPr>
          <w:sz w:val="20"/>
          <w:szCs w:val="20"/>
          <w:color w:val="auto"/>
        </w:rPr>
      </w:pPr>
      <w:r>
        <w:rPr>
          <w:rFonts w:ascii="Courier New" w:cs="Courier New" w:eastAsia="Courier New" w:hAnsi="Courier New"/>
          <w:sz w:val="16"/>
          <w:szCs w:val="16"/>
          <w:color w:val="auto"/>
        </w:rPr>
        <w:t>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w:t>
      </w:r>
    </w:p>
    <w:p>
      <w:pPr>
        <w:spacing w:after="0" w:line="7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56" w:name="page57"/>
    <w:bookmarkEnd w:id="56"/>
    <w:p>
      <w:pPr>
        <w:ind w:right="1879"/>
        <w:spacing w:after="0" w:line="318" w:lineRule="auto"/>
        <w:rPr>
          <w:sz w:val="20"/>
          <w:szCs w:val="20"/>
          <w:color w:val="auto"/>
        </w:rPr>
      </w:pPr>
      <w:r>
        <w:rPr>
          <w:rFonts w:ascii="Courier New" w:cs="Courier New" w:eastAsia="Courier New" w:hAnsi="Courier New"/>
          <w:sz w:val="16"/>
          <w:szCs w:val="16"/>
          <w:color w:val="auto"/>
        </w:rPr>
        <w:t>exercisable. Upon the close of the period described in this Paragraph 12(a) during which an Option may be exercised in connection with a Terminating Event, such Option (including such portion thereof that is not exercisable) shall terminate to the extent that such Option have not theretofore been exercised.</w:t>
      </w:r>
    </w:p>
    <w:p>
      <w:pPr>
        <w:spacing w:after="0" w:line="52" w:lineRule="exact"/>
        <w:rPr>
          <w:sz w:val="20"/>
          <w:szCs w:val="20"/>
          <w:color w:val="auto"/>
        </w:rPr>
      </w:pPr>
    </w:p>
    <w:p>
      <w:pPr>
        <w:ind w:right="1999" w:firstLine="1588"/>
        <w:spacing w:after="0" w:line="274" w:lineRule="auto"/>
        <w:tabs>
          <w:tab w:leader="none" w:pos="2107"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8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1" w:lineRule="exact"/>
        <w:rPr>
          <w:sz w:val="20"/>
          <w:szCs w:val="20"/>
          <w:color w:val="auto"/>
        </w:rPr>
      </w:pPr>
    </w:p>
    <w:p>
      <w:pPr>
        <w:ind w:right="1779" w:firstLine="1053"/>
        <w:spacing w:after="0" w:line="253" w:lineRule="auto"/>
        <w:rPr>
          <w:sz w:val="20"/>
          <w:szCs w:val="20"/>
          <w:color w:val="auto"/>
        </w:rPr>
      </w:pPr>
      <w:r>
        <w:rPr>
          <w:rFonts w:ascii="Courier New" w:cs="Courier New" w:eastAsia="Courier New" w:hAnsi="Courier New"/>
          <w:sz w:val="18"/>
          <w:szCs w:val="18"/>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04" w:lineRule="exact"/>
        <w:rPr>
          <w:sz w:val="20"/>
          <w:szCs w:val="20"/>
          <w:color w:val="auto"/>
        </w:rPr>
      </w:pPr>
    </w:p>
    <w:p>
      <w:pPr>
        <w:ind w:left="1580" w:hanging="519"/>
        <w:spacing w:after="0"/>
        <w:tabs>
          <w:tab w:leader="none" w:pos="15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w:t>
      </w:r>
    </w:p>
    <w:p>
      <w:pPr>
        <w:spacing w:after="0" w:line="201" w:lineRule="exact"/>
        <w:rPr>
          <w:sz w:val="20"/>
          <w:szCs w:val="20"/>
          <w:color w:val="auto"/>
        </w:rPr>
      </w:pPr>
    </w:p>
    <w:p>
      <w:pPr>
        <w:ind w:right="1779" w:firstLine="1053"/>
        <w:spacing w:after="0" w:line="276" w:lineRule="auto"/>
        <w:rPr>
          <w:sz w:val="20"/>
          <w:szCs w:val="20"/>
          <w:color w:val="auto"/>
        </w:rPr>
      </w:pPr>
      <w:r>
        <w:rPr>
          <w:rFonts w:ascii="Courier New" w:cs="Courier New" w:eastAsia="Courier New" w:hAnsi="Courier New"/>
          <w:sz w:val="16"/>
          <w:szCs w:val="16"/>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2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57" w:name="page58"/>
    <w:bookmarkEnd w:id="57"/>
    <w:p>
      <w:pPr>
        <w:ind w:left="1580" w:hanging="519"/>
        <w:spacing w:after="0"/>
        <w:tabs>
          <w:tab w:leader="none" w:pos="15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w:t>
      </w:r>
    </w:p>
    <w:p>
      <w:pPr>
        <w:spacing w:after="0" w:line="53"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90" w:lineRule="exact"/>
        <w:rPr>
          <w:sz w:val="20"/>
          <w:szCs w:val="20"/>
          <w:color w:val="auto"/>
        </w:rPr>
      </w:pPr>
    </w:p>
    <w:p>
      <w:pPr>
        <w:ind w:left="2120" w:hanging="532"/>
        <w:spacing w:after="0"/>
        <w:tabs>
          <w:tab w:leader="none" w:pos="21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of Securities Law Restrictions on Exercise.</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96" w:lineRule="exact"/>
        <w:rPr>
          <w:sz w:val="20"/>
          <w:szCs w:val="20"/>
          <w:color w:val="auto"/>
        </w:rPr>
      </w:pPr>
    </w:p>
    <w:p>
      <w:pPr>
        <w:ind w:left="3380" w:hanging="738"/>
        <w:spacing w:after="0"/>
        <w:tabs>
          <w:tab w:leader="none" w:pos="33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subject to the Option are being</w:t>
      </w:r>
    </w:p>
    <w:p>
      <w:pPr>
        <w:spacing w:after="0" w:line="30" w:lineRule="exact"/>
        <w:rPr>
          <w:rFonts w:ascii="Courier New" w:cs="Courier New" w:eastAsia="Courier New" w:hAnsi="Courier New"/>
          <w:sz w:val="18"/>
          <w:szCs w:val="18"/>
          <w:color w:val="auto"/>
        </w:rPr>
      </w:pPr>
    </w:p>
    <w:p>
      <w:pPr>
        <w:ind w:left="540"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for investment and not for distribution or resale (other than a distribution or resale which, in the opinion of counsel satisfactory to the Sponsor, may be made without violating the registration provisions of the Act);</w:t>
      </w:r>
    </w:p>
    <w:p>
      <w:pPr>
        <w:spacing w:after="0" w:line="90" w:lineRule="exact"/>
        <w:rPr>
          <w:rFonts w:ascii="Courier New" w:cs="Courier New" w:eastAsia="Courier New" w:hAnsi="Courier New"/>
          <w:sz w:val="18"/>
          <w:szCs w:val="18"/>
          <w:color w:val="auto"/>
        </w:rPr>
      </w:pPr>
    </w:p>
    <w:p>
      <w:pPr>
        <w:ind w:left="540" w:right="1779" w:firstLine="2102"/>
        <w:spacing w:after="0" w:line="256" w:lineRule="auto"/>
        <w:tabs>
          <w:tab w:leader="none" w:pos="3384"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98" w:lineRule="exact"/>
        <w:rPr>
          <w:rFonts w:ascii="Courier New" w:cs="Courier New" w:eastAsia="Courier New" w:hAnsi="Courier New"/>
          <w:sz w:val="18"/>
          <w:szCs w:val="18"/>
          <w:color w:val="auto"/>
        </w:rPr>
      </w:pPr>
    </w:p>
    <w:p>
      <w:pPr>
        <w:ind w:left="3380" w:hanging="738"/>
        <w:spacing w:after="0"/>
        <w:tabs>
          <w:tab w:leader="none" w:pos="338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evidencing the Shares may bear a</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restrictive legend; and</w:t>
      </w:r>
    </w:p>
    <w:p>
      <w:pPr>
        <w:spacing w:after="0" w:line="169" w:lineRule="exact"/>
        <w:rPr>
          <w:rFonts w:ascii="Courier New" w:cs="Courier New" w:eastAsia="Courier New" w:hAnsi="Courier New"/>
          <w:sz w:val="16"/>
          <w:szCs w:val="16"/>
          <w:color w:val="auto"/>
        </w:rPr>
      </w:pPr>
    </w:p>
    <w:p>
      <w:pPr>
        <w:ind w:left="3380" w:hanging="738"/>
        <w:spacing w:after="0"/>
        <w:tabs>
          <w:tab w:leader="none" w:pos="33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subject to the Option may not be</w:t>
      </w:r>
    </w:p>
    <w:p>
      <w:pPr>
        <w:spacing w:after="0" w:line="30" w:lineRule="exact"/>
        <w:rPr>
          <w:rFonts w:ascii="Courier New" w:cs="Courier New" w:eastAsia="Courier New" w:hAnsi="Courier New"/>
          <w:sz w:val="18"/>
          <w:szCs w:val="18"/>
          <w:color w:val="auto"/>
        </w:rPr>
      </w:pPr>
    </w:p>
    <w:p>
      <w:pPr>
        <w:ind w:left="540" w:right="25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without compliance with all applicable federal and state securities laws.</w:t>
      </w:r>
    </w:p>
    <w:p>
      <w:pPr>
        <w:spacing w:after="0" w:line="50"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 of Exercise Pending Registration of Securities.</w:t>
      </w:r>
    </w:p>
    <w:p>
      <w:pPr>
        <w:spacing w:after="0" w:line="2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58" w:name="page59"/>
    <w:bookmarkEnd w:id="58"/>
    <w:p>
      <w:pPr>
        <w:ind w:left="519" w:hanging="519"/>
        <w:spacing w:after="0"/>
        <w:tabs>
          <w:tab w:leader="none" w:pos="519"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on Exercise of Option</w:t>
      </w:r>
    </w:p>
    <w:p>
      <w:pPr>
        <w:spacing w:after="0" w:line="201" w:lineRule="exact"/>
        <w:rPr>
          <w:rFonts w:ascii="Courier New" w:cs="Courier New" w:eastAsia="Courier New" w:hAnsi="Courier New"/>
          <w:sz w:val="18"/>
          <w:szCs w:val="18"/>
          <w:color w:val="auto"/>
        </w:rPr>
      </w:pPr>
    </w:p>
    <w:p>
      <w:pPr>
        <w:ind w:left="-1061" w:right="1779" w:firstLine="1588"/>
        <w:spacing w:after="0" w:line="246" w:lineRule="auto"/>
        <w:tabs>
          <w:tab w:leader="none" w:pos="1045"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06" w:lineRule="exact"/>
        <w:rPr>
          <w:rFonts w:ascii="Courier New" w:cs="Courier New" w:eastAsia="Courier New" w:hAnsi="Courier New"/>
          <w:sz w:val="18"/>
          <w:szCs w:val="18"/>
          <w:color w:val="auto"/>
        </w:rPr>
      </w:pPr>
    </w:p>
    <w:p>
      <w:pPr>
        <w:ind w:left="-1061" w:right="1779" w:firstLine="1588"/>
        <w:spacing w:after="0" w:line="274" w:lineRule="auto"/>
        <w:tabs>
          <w:tab w:leader="none" w:pos="1045"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200" w:lineRule="exact"/>
        <w:rPr>
          <w:rFonts w:ascii="Courier New" w:cs="Courier New" w:eastAsia="Courier New" w:hAnsi="Courier New"/>
          <w:sz w:val="16"/>
          <w:szCs w:val="16"/>
          <w:color w:val="auto"/>
        </w:rPr>
      </w:pPr>
    </w:p>
    <w:p>
      <w:pPr>
        <w:spacing w:after="0" w:line="303" w:lineRule="exact"/>
        <w:rPr>
          <w:rFonts w:ascii="Courier New" w:cs="Courier New" w:eastAsia="Courier New" w:hAnsi="Courier New"/>
          <w:sz w:val="16"/>
          <w:szCs w:val="16"/>
          <w:color w:val="auto"/>
        </w:rPr>
      </w:pPr>
    </w:p>
    <w:p>
      <w:pPr>
        <w:ind w:left="-1061" w:right="1999" w:firstLine="1588"/>
        <w:spacing w:after="0" w:line="256" w:lineRule="auto"/>
        <w:tabs>
          <w:tab w:leader="none" w:pos="1045"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Paragraph 16(c),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w:t>
      </w:r>
    </w:p>
    <w:p>
      <w:pPr>
        <w:spacing w:after="0" w:line="98"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158"/>
          </w:cols>
          <w:pgMar w:left="1301" w:top="691" w:right="1440" w:bottom="1440" w:gutter="0" w:footer="0" w:header="0"/>
        </w:sectPr>
      </w:pPr>
    </w:p>
    <w:bookmarkStart w:id="59" w:name="page60"/>
    <w:bookmarkEnd w:id="59"/>
    <w:p>
      <w:pPr>
        <w:ind w:right="1779"/>
        <w:spacing w:after="0" w:line="249" w:lineRule="auto"/>
        <w:rPr>
          <w:sz w:val="20"/>
          <w:szCs w:val="20"/>
          <w:color w:val="auto"/>
        </w:rPr>
      </w:pPr>
      <w:r>
        <w:rPr>
          <w:rFonts w:ascii="Courier New" w:cs="Courier New" w:eastAsia="Courier New" w:hAnsi="Courier New"/>
          <w:sz w:val="18"/>
          <w:szCs w:val="18"/>
          <w:color w:val="auto"/>
        </w:rPr>
        <w:t>Incentive Stock Option exercised having a Fair Market Value approximately equal to the minimum amount of taxes required to be withheld by the Sponsor under applicable law. Any election pursuant to this Paragraph 16(c) must be in writing made prior to the date specified by the Committee, and in any event prior to the date the amount of tax to be withheld or paid is determined. An election pursuant to this Paragraph 16(c) may be made only by an Optionee or, in the event of the Optionee's death, by the Optionee's legal representative. No Shares withheld pursuant to this Paragraph 16(c) shall be available for subsequent grants under the Plan. The Committee may add such other requirements and limitations regarding elections pursuant to this Paragraph 16(c) as it deems appropriate.</w:t>
      </w:r>
    </w:p>
    <w:p>
      <w:pPr>
        <w:spacing w:after="0" w:line="104" w:lineRule="exact"/>
        <w:rPr>
          <w:sz w:val="20"/>
          <w:szCs w:val="20"/>
          <w:color w:val="auto"/>
        </w:rPr>
      </w:pPr>
    </w:p>
    <w:p>
      <w:pPr>
        <w:ind w:left="1580" w:hanging="519"/>
        <w:spacing w:after="0"/>
        <w:tabs>
          <w:tab w:leader="none" w:pos="158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w:t>
      </w:r>
    </w:p>
    <w:p>
      <w:pPr>
        <w:spacing w:after="0" w:line="201" w:lineRule="exact"/>
        <w:rPr>
          <w:sz w:val="20"/>
          <w:szCs w:val="20"/>
          <w:color w:val="auto"/>
        </w:rPr>
      </w:pPr>
    </w:p>
    <w:p>
      <w:pPr>
        <w:ind w:right="2099" w:firstLine="1053"/>
        <w:spacing w:after="0" w:line="274" w:lineRule="auto"/>
        <w:rPr>
          <w:sz w:val="20"/>
          <w:szCs w:val="20"/>
          <w:color w:val="auto"/>
        </w:rPr>
      </w:pPr>
      <w:r>
        <w:rPr>
          <w:rFonts w:ascii="Courier New" w:cs="Courier New" w:eastAsia="Courier New" w:hAnsi="Courier New"/>
          <w:sz w:val="18"/>
          <w:szCs w:val="18"/>
          <w:color w:val="auto"/>
        </w:rPr>
        <w:t>This amendment and restatement of the Plan is effective as of April 14, 2000. The Plan shall expire no later than March 13, 2006, the tenth anniversary of the date the Plan was initially adopted by the Board, unless sooner terminated by the Board.</w:t>
      </w:r>
    </w:p>
    <w:p>
      <w:pPr>
        <w:spacing w:after="0" w:line="82" w:lineRule="exact"/>
        <w:rPr>
          <w:sz w:val="20"/>
          <w:szCs w:val="20"/>
          <w:color w:val="auto"/>
        </w:rPr>
      </w:pPr>
    </w:p>
    <w:p>
      <w:pPr>
        <w:ind w:left="1580" w:hanging="519"/>
        <w:spacing w:after="0"/>
        <w:tabs>
          <w:tab w:leader="none" w:pos="158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779" w:firstLine="1053"/>
        <w:spacing w:after="0" w:line="253" w:lineRule="auto"/>
        <w:rPr>
          <w:sz w:val="20"/>
          <w:szCs w:val="20"/>
          <w:color w:val="auto"/>
        </w:rPr>
      </w:pPr>
      <w:r>
        <w:rPr>
          <w:rFonts w:ascii="Courier New" w:cs="Courier New" w:eastAsia="Courier New" w:hAnsi="Courier New"/>
          <w:sz w:val="18"/>
          <w:szCs w:val="18"/>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3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Executed as of the 14th day of April, 2000.</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Attest: ____________________________</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upperLetter"/>
      <w:start w:val="24"/>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1]"/>
      <w:numFmt w:val="upperLetter"/>
      <w:start w:val="24"/>
    </w:lvl>
  </w:abstractNum>
  <w:abstractNum w:abstractNumId="3">
    <w:nsid w:val="235BA861"/>
    <w:multiLevelType w:val="hybridMultilevel"/>
    <w:lvl w:ilvl="0">
      <w:lvlJc w:val="left"/>
      <w:lvlText w:val="(%1)"/>
      <w:numFmt w:val="decimal"/>
      <w:start w:val="1"/>
    </w:lvl>
  </w:abstractNum>
  <w:abstractNum w:abstractNumId="4">
    <w:nsid w:val="47398C89"/>
    <w:multiLevelType w:val="hybridMultilevel"/>
    <w:lvl w:ilvl="0">
      <w:lvlJc w:val="left"/>
      <w:lvlText w:val="(%1)"/>
      <w:numFmt w:val="decimal"/>
      <w:start w:val="4"/>
    </w:lvl>
  </w:abstractNum>
  <w:abstractNum w:abstractNumId="5">
    <w:nsid w:val="354FE9F9"/>
    <w:multiLevelType w:val="hybridMultilevel"/>
    <w:lvl w:ilvl="0">
      <w:lvlJc w:val="left"/>
      <w:lvlText w:val="(%1)"/>
      <w:numFmt w:val="decimal"/>
      <w:start w:val="1"/>
    </w:lvl>
  </w:abstractNum>
  <w:abstractNum w:abstractNumId="6">
    <w:nsid w:val="15B5AF5C"/>
    <w:multiLevelType w:val="hybridMultilevel"/>
    <w:lvl w:ilvl="0">
      <w:lvlJc w:val="left"/>
      <w:lvlText w:val="(%1)"/>
      <w:numFmt w:val="decimal"/>
      <w:start w:val="3"/>
    </w:lvl>
  </w:abstractNum>
  <w:abstractNum w:abstractNumId="7">
    <w:nsid w:val="741226BB"/>
    <w:multiLevelType w:val="hybridMultilevel"/>
    <w:lvl w:ilvl="0">
      <w:lvlJc w:val="left"/>
      <w:lvlText w:val="%1."/>
      <w:numFmt w:val="decimal"/>
      <w:start w:val="1"/>
    </w:lvl>
  </w:abstractNum>
  <w:abstractNum w:abstractNumId="8">
    <w:nsid w:val="D34B6A8"/>
    <w:multiLevelType w:val="hybridMultilevel"/>
    <w:lvl w:ilvl="0">
      <w:lvlJc w:val="left"/>
      <w:lvlText w:val="(%1)"/>
      <w:numFmt w:val="decimal"/>
      <w:start w:val="1"/>
    </w:lvl>
  </w:abstractNum>
  <w:abstractNum w:abstractNumId="9">
    <w:nsid w:val="10233C99"/>
    <w:multiLevelType w:val="hybridMultilevel"/>
    <w:lvl w:ilvl="0">
      <w:lvlJc w:val="left"/>
      <w:lvlText w:val="-"/>
      <w:numFmt w:val="bullet"/>
      <w:start w:val="1"/>
    </w:lvl>
    <w:lvl w:ilvl="1">
      <w:lvlJc w:val="left"/>
      <w:lvlText w:val="(%2)"/>
      <w:numFmt w:val="decimal"/>
      <w:start w:val="1"/>
    </w:lvl>
  </w:abstractNum>
  <w:abstractNum w:abstractNumId="10">
    <w:nsid w:val="3F6AB60F"/>
    <w:multiLevelType w:val="hybridMultilevel"/>
    <w:lvl w:ilvl="0">
      <w:lvlJc w:val="left"/>
      <w:lvlText w:val="(%1)"/>
      <w:numFmt w:val="decimal"/>
      <w:start w:val="4"/>
    </w:lvl>
  </w:abstractNum>
  <w:abstractNum w:abstractNumId="11">
    <w:nsid w:val="61574095"/>
    <w:multiLevelType w:val="hybridMultilevel"/>
    <w:lvl w:ilvl="0">
      <w:lvlJc w:val="left"/>
      <w:lvlText w:val="(%1)"/>
      <w:numFmt w:val="decimal"/>
      <w:start w:val="1"/>
    </w:lvl>
  </w:abstractNum>
  <w:abstractNum w:abstractNumId="12">
    <w:nsid w:val="7E0C57B1"/>
    <w:multiLevelType w:val="hybridMultilevel"/>
    <w:lvl w:ilvl="0">
      <w:lvlJc w:val="left"/>
      <w:lvlText w:val="%1"/>
      <w:numFmt w:val="decimal"/>
      <w:start w:val="1"/>
    </w:lvl>
    <w:lvl w:ilvl="1">
      <w:lvlJc w:val="left"/>
      <w:lvlText w:val="(%2)"/>
      <w:numFmt w:val="lowerLetter"/>
      <w:start w:val="2"/>
    </w:lvl>
  </w:abstractNum>
  <w:abstractNum w:abstractNumId="13">
    <w:nsid w:val="77AE35EB"/>
    <w:multiLevelType w:val="hybridMultilevel"/>
    <w:lvl w:ilvl="0">
      <w:lvlJc w:val="left"/>
      <w:lvlText w:val="(%1)"/>
      <w:numFmt w:val="decimal"/>
      <w:start w:val="4"/>
    </w:lvl>
    <w:lvl w:ilvl="1">
      <w:lvlJc w:val="left"/>
      <w:lvlText w:val="%2"/>
      <w:numFmt w:val="lowerLetter"/>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1)"/>
      <w:numFmt w:val="decimal"/>
      <w:start w:val="1"/>
    </w:lvl>
  </w:abstractNum>
  <w:abstractNum w:abstractNumId="16">
    <w:nsid w:val="5FF87E05"/>
    <w:multiLevelType w:val="hybridMultilevel"/>
    <w:lvl w:ilvl="0">
      <w:lvlJc w:val="left"/>
      <w:lvlText w:val="(%1)"/>
      <w:numFmt w:val="decimal"/>
      <w:start w:val="3"/>
    </w:lvl>
    <w:lvl w:ilvl="1">
      <w:lvlJc w:val="left"/>
      <w:lvlText w:val="(%2)"/>
      <w:numFmt w:val="decimal"/>
      <w:start w:val="7"/>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1)"/>
      <w:numFmt w:val="decimal"/>
      <w:start w:val="1"/>
    </w:lvl>
  </w:abstractNum>
  <w:abstractNum w:abstractNumId="19">
    <w:nsid w:val="1DBABF00"/>
    <w:multiLevelType w:val="hybridMultilevel"/>
    <w:lvl w:ilvl="0">
      <w:lvlJc w:val="left"/>
      <w:lvlText w:val="(%1)"/>
      <w:numFmt w:val="decimal"/>
      <w:start w:val="3"/>
    </w:lvl>
  </w:abstractNum>
  <w:abstractNum w:abstractNumId="20">
    <w:nsid w:val="4AD084E9"/>
    <w:multiLevelType w:val="hybridMultilevel"/>
    <w:lvl w:ilvl="0">
      <w:lvlJc w:val="left"/>
      <w:lvlText w:val="(%1)"/>
      <w:numFmt w:val="lowerRoman"/>
      <w:start w:val="3"/>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1)"/>
      <w:numFmt w:val="decimal"/>
      <w:start w:val="2"/>
    </w:lvl>
  </w:abstractNum>
  <w:abstractNum w:abstractNumId="23">
    <w:nsid w:val="5DB70AE5"/>
    <w:multiLevelType w:val="hybridMultilevel"/>
    <w:lvl w:ilvl="0">
      <w:lvlJc w:val="left"/>
      <w:lvlText w:val="%1."/>
      <w:numFmt w:val="decimal"/>
      <w:start w:val="1"/>
    </w:lvl>
  </w:abstractNum>
  <w:abstractNum w:abstractNumId="24">
    <w:nsid w:val="100F8FCA"/>
    <w:multiLevelType w:val="hybridMultilevel"/>
    <w:lvl w:ilvl="0">
      <w:lvlJc w:val="left"/>
      <w:lvlText w:val="%1."/>
      <w:numFmt w:val="decimal"/>
      <w:start w:val="2"/>
    </w:lvl>
  </w:abstractNum>
  <w:abstractNum w:abstractNumId="25">
    <w:nsid w:val="6590700B"/>
    <w:multiLevelType w:val="hybridMultilevel"/>
    <w:lvl w:ilvl="0">
      <w:lvlJc w:val="left"/>
      <w:lvlText w:val="%1."/>
      <w:numFmt w:val="decimal"/>
      <w:start w:val="3"/>
    </w:lvl>
  </w:abstractNum>
  <w:abstractNum w:abstractNumId="26">
    <w:nsid w:val="15014ACB"/>
    <w:multiLevelType w:val="hybridMultilevel"/>
    <w:lvl w:ilvl="0">
      <w:lvlJc w:val="left"/>
      <w:lvlText w:val="%1."/>
      <w:numFmt w:val="decimal"/>
      <w:start w:val="4"/>
    </w:lvl>
  </w:abstractNum>
  <w:abstractNum w:abstractNumId="27">
    <w:nsid w:val="5F5E7FD0"/>
    <w:multiLevelType w:val="hybridMultilevel"/>
    <w:lvl w:ilvl="0">
      <w:lvlJc w:val="left"/>
      <w:lvlText w:val="%1."/>
      <w:numFmt w:val="decimal"/>
      <w:start w:val="1"/>
    </w:lvl>
  </w:abstractNum>
  <w:abstractNum w:abstractNumId="28">
    <w:nsid w:val="98A3148"/>
    <w:multiLevelType w:val="hybridMultilevel"/>
    <w:lvl w:ilvl="0">
      <w:lvlJc w:val="left"/>
      <w:lvlText w:val="%1."/>
      <w:numFmt w:val="decimal"/>
      <w:start w:val="2"/>
    </w:lvl>
    <w:lvl w:ilvl="1">
      <w:lvlJc w:val="left"/>
      <w:lvlText w:val="(%2)"/>
      <w:numFmt w:val="lowerLetter"/>
      <w:start w:val="1"/>
    </w:lvl>
  </w:abstractNum>
  <w:abstractNum w:abstractNumId="29">
    <w:nsid w:val="799D0247"/>
    <w:multiLevelType w:val="hybridMultilevel"/>
    <w:lvl w:ilvl="0">
      <w:lvlJc w:val="left"/>
      <w:lvlText w:val="(%1)"/>
      <w:numFmt w:val="lowerLetter"/>
      <w:start w:val="2"/>
    </w:lvl>
  </w:abstractNum>
  <w:abstractNum w:abstractNumId="30">
    <w:nsid w:val="6B94764"/>
    <w:multiLevelType w:val="hybridMultilevel"/>
    <w:lvl w:ilvl="0">
      <w:lvlJc w:val="left"/>
      <w:lvlText w:val="(%1)"/>
      <w:numFmt w:val="lowerLetter"/>
      <w:start w:val="4"/>
    </w:lvl>
    <w:lvl w:ilvl="1">
      <w:lvlJc w:val="left"/>
      <w:lvlText w:val="(%2)"/>
      <w:numFmt w:val="lowerRoman"/>
      <w:start w:val="1"/>
    </w:lvl>
  </w:abstractNum>
  <w:abstractNum w:abstractNumId="31">
    <w:nsid w:val="42C296BD"/>
    <w:multiLevelType w:val="hybridMultilevel"/>
    <w:lvl w:ilvl="0">
      <w:lvlJc w:val="left"/>
      <w:lvlText w:val="(%1)"/>
      <w:numFmt w:val="lowerLetter"/>
      <w:start w:val="5"/>
    </w:lvl>
  </w:abstractNum>
  <w:abstractNum w:abstractNumId="32">
    <w:nsid w:val="168E121F"/>
    <w:multiLevelType w:val="hybridMultilevel"/>
    <w:lvl w:ilvl="0">
      <w:lvlJc w:val="left"/>
      <w:lvlText w:val="(%1)"/>
      <w:numFmt w:val="lowerLetter"/>
      <w:start w:val="6"/>
    </w:lvl>
  </w:abstractNum>
  <w:abstractNum w:abstractNumId="33">
    <w:nsid w:val="1EBA5D23"/>
    <w:multiLevelType w:val="hybridMultilevel"/>
    <w:lvl w:ilvl="0">
      <w:lvlJc w:val="left"/>
      <w:lvlText w:val="(%1)"/>
      <w:numFmt w:val="lowerLetter"/>
      <w:start w:val="8"/>
    </w:lvl>
  </w:abstractNum>
  <w:abstractNum w:abstractNumId="34">
    <w:nsid w:val="661E3F1E"/>
    <w:multiLevelType w:val="hybridMultilevel"/>
    <w:lvl w:ilvl="0">
      <w:lvlJc w:val="left"/>
      <w:lvlText w:val="(%1)"/>
      <w:numFmt w:val="lowerLetter"/>
      <w:start w:val="10"/>
    </w:lvl>
  </w:abstractNum>
  <w:abstractNum w:abstractNumId="35">
    <w:nsid w:val="5DC79EA8"/>
    <w:multiLevelType w:val="hybridMultilevel"/>
    <w:lvl w:ilvl="0">
      <w:lvlJc w:val="left"/>
      <w:lvlText w:val="(%1)"/>
      <w:numFmt w:val="lowerLetter"/>
      <w:start w:val="11"/>
    </w:lvl>
  </w:abstractNum>
  <w:abstractNum w:abstractNumId="36">
    <w:nsid w:val="540A471C"/>
    <w:multiLevelType w:val="hybridMultilevel"/>
    <w:lvl w:ilvl="0">
      <w:lvlJc w:val="left"/>
      <w:lvlText w:val="(%1)"/>
      <w:numFmt w:val="lowerLetter"/>
      <w:start w:val="12"/>
    </w:lvl>
  </w:abstractNum>
  <w:abstractNum w:abstractNumId="37">
    <w:nsid w:val="7BD3EE7B"/>
    <w:multiLevelType w:val="hybridMultilevel"/>
    <w:lvl w:ilvl="0">
      <w:lvlJc w:val="left"/>
      <w:lvlText w:val="(%1)"/>
      <w:numFmt w:val="lowerLetter"/>
      <w:start w:val="13"/>
    </w:lvl>
  </w:abstractNum>
  <w:abstractNum w:abstractNumId="38">
    <w:nsid w:val="51D9C564"/>
    <w:multiLevelType w:val="hybridMultilevel"/>
    <w:lvl w:ilvl="0">
      <w:lvlJc w:val="left"/>
      <w:lvlText w:val="(%1)"/>
      <w:numFmt w:val="lowerLetter"/>
      <w:start w:val="14"/>
    </w:lvl>
  </w:abstractNum>
  <w:abstractNum w:abstractNumId="39">
    <w:nsid w:val="613EFDC5"/>
    <w:multiLevelType w:val="hybridMultilevel"/>
    <w:lvl w:ilvl="0">
      <w:lvlJc w:val="left"/>
      <w:lvlText w:val="(%1)"/>
      <w:numFmt w:val="lowerLetter"/>
      <w:start w:val="15"/>
    </w:lvl>
  </w:abstractNum>
  <w:abstractNum w:abstractNumId="40">
    <w:nsid w:val="BF72B14"/>
    <w:multiLevelType w:val="hybridMultilevel"/>
    <w:lvl w:ilvl="0">
      <w:lvlJc w:val="left"/>
      <w:lvlText w:val="(%1)"/>
      <w:numFmt w:val="lowerLetter"/>
      <w:start w:val="16"/>
    </w:lvl>
  </w:abstractNum>
  <w:abstractNum w:abstractNumId="41">
    <w:nsid w:val="11447B73"/>
    <w:multiLevelType w:val="hybridMultilevel"/>
    <w:lvl w:ilvl="0">
      <w:lvlJc w:val="left"/>
      <w:lvlText w:val="(%1)"/>
      <w:numFmt w:val="lowerLetter"/>
      <w:start w:val="17"/>
    </w:lvl>
  </w:abstractNum>
  <w:abstractNum w:abstractNumId="42">
    <w:nsid w:val="42963E5A"/>
    <w:multiLevelType w:val="hybridMultilevel"/>
    <w:lvl w:ilvl="0">
      <w:lvlJc w:val="left"/>
      <w:lvlText w:val="(%1)"/>
      <w:numFmt w:val="lowerLetter"/>
      <w:start w:val="18"/>
    </w:lvl>
  </w:abstractNum>
  <w:abstractNum w:abstractNumId="43">
    <w:nsid w:val="A0382C5"/>
    <w:multiLevelType w:val="hybridMultilevel"/>
    <w:lvl w:ilvl="0">
      <w:lvlJc w:val="left"/>
      <w:lvlText w:val="(%1)"/>
      <w:numFmt w:val="lowerLetter"/>
      <w:start w:val="19"/>
    </w:lvl>
    <w:lvl w:ilvl="1">
      <w:lvlJc w:val="left"/>
      <w:lvlText w:val="(%2)"/>
      <w:numFmt w:val="lowerRoman"/>
      <w:start w:val="1"/>
    </w:lvl>
  </w:abstractNum>
  <w:abstractNum w:abstractNumId="44">
    <w:nsid w:val="8F2B15E"/>
    <w:multiLevelType w:val="hybridMultilevel"/>
    <w:lvl w:ilvl="0">
      <w:lvlJc w:val="left"/>
      <w:lvlText w:val="(%1)"/>
      <w:numFmt w:val="lowerLetter"/>
      <w:start w:val="21"/>
    </w:lvl>
  </w:abstractNum>
  <w:abstractNum w:abstractNumId="45">
    <w:nsid w:val="1A32234B"/>
    <w:multiLevelType w:val="hybridMultilevel"/>
    <w:lvl w:ilvl="0">
      <w:lvlJc w:val="left"/>
      <w:lvlText w:val="(%1)"/>
      <w:numFmt w:val="lowerRoman"/>
      <w:start w:val="5"/>
    </w:lvl>
  </w:abstractNum>
  <w:abstractNum w:abstractNumId="46">
    <w:nsid w:val="3B0FD379"/>
    <w:multiLevelType w:val="hybridMultilevel"/>
    <w:lvl w:ilvl="0">
      <w:lvlJc w:val="left"/>
      <w:lvlText w:val="(%1)"/>
      <w:numFmt w:val="lowerRoman"/>
      <w:start w:val="1"/>
    </w:lvl>
  </w:abstractNum>
  <w:abstractNum w:abstractNumId="47">
    <w:nsid w:val="68EB2F63"/>
    <w:multiLevelType w:val="hybridMultilevel"/>
    <w:lvl w:ilvl="0">
      <w:lvlJc w:val="left"/>
      <w:lvlText w:val="(%1)"/>
      <w:numFmt w:val="lowerLetter"/>
      <w:start w:val="1"/>
    </w:lvl>
  </w:abstractNum>
  <w:abstractNum w:abstractNumId="48">
    <w:nsid w:val="4962813B"/>
    <w:multiLevelType w:val="hybridMultilevel"/>
    <w:lvl w:ilvl="0">
      <w:lvlJc w:val="left"/>
      <w:lvlText w:val="(%1)"/>
      <w:numFmt w:val="lowerLetter"/>
      <w:start w:val="2"/>
    </w:lvl>
  </w:abstractNum>
  <w:abstractNum w:abstractNumId="49">
    <w:nsid w:val="60B6DF70"/>
    <w:multiLevelType w:val="hybridMultilevel"/>
    <w:lvl w:ilvl="0">
      <w:lvlJc w:val="left"/>
      <w:lvlText w:val="(%1)"/>
      <w:numFmt w:val="lowerLetter"/>
      <w:start w:val="23"/>
    </w:lvl>
  </w:abstractNum>
  <w:abstractNum w:abstractNumId="50">
    <w:nsid w:val="6A5EE64"/>
    <w:multiLevelType w:val="hybridMultilevel"/>
    <w:lvl w:ilvl="0">
      <w:lvlJc w:val="left"/>
      <w:lvlText w:val="(%1)"/>
      <w:numFmt w:val="lowerRoman"/>
      <w:start w:val="10"/>
    </w:lvl>
  </w:abstractNum>
  <w:abstractNum w:abstractNumId="51">
    <w:nsid w:val="14330624"/>
    <w:multiLevelType w:val="hybridMultilevel"/>
    <w:lvl w:ilvl="0">
      <w:lvlJc w:val="left"/>
      <w:lvlText w:val="(%1)"/>
      <w:numFmt w:val="lowerLetter"/>
      <w:start w:val="25"/>
    </w:lvl>
  </w:abstractNum>
  <w:abstractNum w:abstractNumId="52">
    <w:nsid w:val="7FFFCA11"/>
    <w:multiLevelType w:val="hybridMultilevel"/>
    <w:lvl w:ilvl="0">
      <w:lvlJc w:val="left"/>
      <w:lvlText w:val="(%1)"/>
      <w:numFmt w:val="lowerLetter"/>
      <w:start w:val="26"/>
    </w:lvl>
  </w:abstractNum>
  <w:abstractNum w:abstractNumId="53">
    <w:nsid w:val="1A27709E"/>
    <w:multiLevelType w:val="hybridMultilevel"/>
    <w:lvl w:ilvl="0">
      <w:lvlJc w:val="left"/>
      <w:lvlText w:val="(%1)"/>
      <w:numFmt w:val="lowerLetter"/>
      <w:start w:val="27"/>
    </w:lvl>
  </w:abstractNum>
  <w:abstractNum w:abstractNumId="54">
    <w:nsid w:val="71EA110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lvl w:ilvl="4">
      <w:lvlJc w:val="left"/>
      <w:lvlText w:val="%5"/>
      <w:numFmt w:val="lowerRoman"/>
      <w:start w:val="1"/>
    </w:lvl>
  </w:abstractNum>
  <w:abstractNum w:abstractNumId="55">
    <w:nsid w:val="100F59DC"/>
    <w:multiLevelType w:val="hybridMultilevel"/>
    <w:lvl w:ilvl="0">
      <w:lvlJc w:val="left"/>
      <w:lvlText w:val="%1"/>
      <w:numFmt w:val="upperLetter"/>
      <w:start w:val="1"/>
    </w:lvl>
    <w:lvl w:ilvl="1">
      <w:lvlJc w:val="left"/>
      <w:lvlText w:val="(%2)"/>
      <w:numFmt w:val="lowerLetter"/>
      <w:start w:val="28"/>
    </w:lvl>
    <w:lvl w:ilvl="2">
      <w:lvlJc w:val="left"/>
      <w:lvlText w:val="%3"/>
      <w:numFmt w:val="lowerRoman"/>
      <w:start w:val="1"/>
    </w:lvl>
    <w:lvl w:ilvl="3">
      <w:lvlJc w:val="left"/>
      <w:lvlText w:val="-----"/>
      <w:numFmt w:val="bullet"/>
      <w:start w:val="1"/>
    </w:lvl>
    <w:lvl w:ilvl="4">
      <w:lvlJc w:val="left"/>
      <w:lvlText w:val="(%5)"/>
      <w:numFmt w:val="lowerRoman"/>
      <w:start w:val="1"/>
    </w:lvl>
  </w:abstractNum>
  <w:abstractNum w:abstractNumId="56">
    <w:nsid w:val="7FB7E0AA"/>
    <w:multiLevelType w:val="hybridMultilevel"/>
    <w:lvl w:ilvl="0">
      <w:lvlJc w:val="left"/>
      <w:lvlText w:val="(%1)"/>
      <w:numFmt w:val="lowerLetter"/>
      <w:start w:val="29"/>
    </w:lvl>
  </w:abstractNum>
  <w:abstractNum w:abstractNumId="57">
    <w:nsid w:val="6EB5BD4"/>
    <w:multiLevelType w:val="hybridMultilevel"/>
    <w:lvl w:ilvl="0">
      <w:lvlJc w:val="left"/>
      <w:lvlText w:val="(%1)"/>
      <w:numFmt w:val="lowerLetter"/>
      <w:start w:val="30"/>
    </w:lvl>
  </w:abstractNum>
  <w:abstractNum w:abstractNumId="58">
    <w:nsid w:val="6F6DD9AC"/>
    <w:multiLevelType w:val="hybridMultilevel"/>
    <w:lvl w:ilvl="0">
      <w:lvlJc w:val="left"/>
      <w:lvlText w:val="(%1)"/>
      <w:numFmt w:val="lowerLetter"/>
      <w:start w:val="31"/>
    </w:lvl>
  </w:abstractNum>
  <w:abstractNum w:abstractNumId="59">
    <w:nsid w:val="94211F2"/>
    <w:multiLevelType w:val="hybridMultilevel"/>
    <w:lvl w:ilvl="0">
      <w:lvlJc w:val="left"/>
      <w:lvlText w:val="(%1)"/>
      <w:numFmt w:val="lowerLetter"/>
      <w:start w:val="32"/>
    </w:lvl>
    <w:lvl w:ilvl="1">
      <w:lvlJc w:val="left"/>
      <w:lvlText w:val="(%2)"/>
      <w:numFmt w:val="lowerRoman"/>
      <w:start w:val="1"/>
    </w:lvl>
  </w:abstractNum>
  <w:abstractNum w:abstractNumId="60">
    <w:nsid w:val="885E1B"/>
    <w:multiLevelType w:val="hybridMultilevel"/>
    <w:lvl w:ilvl="0">
      <w:lvlJc w:val="left"/>
      <w:lvlText w:val="(%1)"/>
      <w:numFmt w:val="lowerLetter"/>
      <w:start w:val="33"/>
    </w:lvl>
  </w:abstractNum>
  <w:abstractNum w:abstractNumId="61">
    <w:nsid w:val="76272110"/>
    <w:multiLevelType w:val="hybridMultilevel"/>
    <w:lvl w:ilvl="0">
      <w:lvlJc w:val="left"/>
      <w:lvlText w:val="(%1)"/>
      <w:numFmt w:val="lowerLetter"/>
      <w:start w:val="34"/>
    </w:lvl>
  </w:abstractNum>
  <w:abstractNum w:abstractNumId="62">
    <w:nsid w:val="4C04A8AF"/>
    <w:multiLevelType w:val="hybridMultilevel"/>
    <w:lvl w:ilvl="0">
      <w:lvlJc w:val="left"/>
      <w:lvlText w:val="%1."/>
      <w:numFmt w:val="decimal"/>
      <w:start w:val="3"/>
    </w:lvl>
  </w:abstractNum>
  <w:abstractNum w:abstractNumId="63">
    <w:nsid w:val="1716703B"/>
    <w:multiLevelType w:val="hybridMultilevel"/>
    <w:lvl w:ilvl="0">
      <w:lvlJc w:val="left"/>
      <w:lvlText w:val="(%1)"/>
      <w:numFmt w:val="lowerLetter"/>
      <w:start w:val="1"/>
    </w:lvl>
  </w:abstractNum>
  <w:abstractNum w:abstractNumId="64">
    <w:nsid w:val="14E17E33"/>
    <w:multiLevelType w:val="hybridMultilevel"/>
    <w:lvl w:ilvl="0">
      <w:lvlJc w:val="left"/>
      <w:lvlText w:val="%1"/>
      <w:numFmt w:val="lowerLetter"/>
      <w:start w:val="1"/>
    </w:lvl>
    <w:lvl w:ilvl="1">
      <w:lvlJc w:val="left"/>
      <w:lvlText w:val="(%2)"/>
      <w:numFmt w:val="lowerRoman"/>
      <w:start w:val="1"/>
    </w:lvl>
  </w:abstractNum>
  <w:abstractNum w:abstractNumId="65">
    <w:nsid w:val="3222E7CD"/>
    <w:multiLevelType w:val="hybridMultilevel"/>
    <w:lvl w:ilvl="0">
      <w:lvlJc w:val="left"/>
      <w:lvlText w:val="(%1)"/>
      <w:numFmt w:val="lowerLetter"/>
      <w:start w:val="2"/>
    </w:lvl>
    <w:lvl w:ilvl="1">
      <w:lvlJc w:val="left"/>
      <w:lvlText w:val="%2"/>
      <w:numFmt w:val="lowerRoman"/>
      <w:start w:val="1"/>
    </w:lvl>
  </w:abstractNum>
  <w:abstractNum w:abstractNumId="66">
    <w:nsid w:val="74DE0EE3"/>
    <w:multiLevelType w:val="hybridMultilevel"/>
    <w:lvl w:ilvl="0">
      <w:lvlJc w:val="left"/>
      <w:lvlText w:val="(%1)"/>
      <w:numFmt w:val="lowerLetter"/>
      <w:start w:val="3"/>
    </w:lvl>
  </w:abstractNum>
  <w:abstractNum w:abstractNumId="67">
    <w:nsid w:val="68EBC550"/>
    <w:multiLevelType w:val="hybridMultilevel"/>
    <w:lvl w:ilvl="0">
      <w:lvlJc w:val="left"/>
      <w:lvlText w:val="%1."/>
      <w:numFmt w:val="decimal"/>
      <w:start w:val="4"/>
    </w:lvl>
  </w:abstractNum>
  <w:abstractNum w:abstractNumId="68">
    <w:nsid w:val="2DF6D648"/>
    <w:multiLevelType w:val="hybridMultilevel"/>
    <w:lvl w:ilvl="0">
      <w:lvlJc w:val="left"/>
      <w:lvlText w:val="%1."/>
      <w:numFmt w:val="decimal"/>
      <w:start w:val="5"/>
    </w:lvl>
  </w:abstractNum>
  <w:abstractNum w:abstractNumId="69">
    <w:nsid w:val="46B7D447"/>
    <w:multiLevelType w:val="hybridMultilevel"/>
    <w:lvl w:ilvl="0">
      <w:lvlJc w:val="left"/>
      <w:lvlText w:val="(%1)"/>
      <w:numFmt w:val="lowerLetter"/>
      <w:start w:val="1"/>
    </w:lvl>
  </w:abstractNum>
  <w:abstractNum w:abstractNumId="70">
    <w:nsid w:val="4A2AC315"/>
    <w:multiLevelType w:val="hybridMultilevel"/>
    <w:lvl w:ilvl="0">
      <w:lvlJc w:val="left"/>
      <w:lvlText w:val="(%1)"/>
      <w:numFmt w:val="lowerLetter"/>
      <w:start w:val="2"/>
    </w:lvl>
  </w:abstractNum>
  <w:abstractNum w:abstractNumId="71">
    <w:nsid w:val="39EE015C"/>
    <w:multiLevelType w:val="hybridMultilevel"/>
    <w:lvl w:ilvl="0">
      <w:lvlJc w:val="left"/>
      <w:lvlText w:val="(%1)"/>
      <w:numFmt w:val="lowerLetter"/>
      <w:start w:val="3"/>
    </w:lvl>
  </w:abstractNum>
  <w:abstractNum w:abstractNumId="72">
    <w:nsid w:val="57FC4FBB"/>
    <w:multiLevelType w:val="hybridMultilevel"/>
    <w:lvl w:ilvl="0">
      <w:lvlJc w:val="left"/>
      <w:lvlText w:val="(%1)"/>
      <w:numFmt w:val="lowerLetter"/>
      <w:start w:val="4"/>
    </w:lvl>
  </w:abstractNum>
  <w:abstractNum w:abstractNumId="73">
    <w:nsid w:val="CC1016F"/>
    <w:multiLevelType w:val="hybridMultilevel"/>
    <w:lvl w:ilvl="0">
      <w:lvlJc w:val="left"/>
      <w:lvlText w:val="%1."/>
      <w:numFmt w:val="decimal"/>
      <w:start w:val="6"/>
    </w:lvl>
    <w:lvl w:ilvl="1">
      <w:lvlJc w:val="left"/>
      <w:lvlText w:val="(%2)"/>
      <w:numFmt w:val="lowerLetter"/>
      <w:start w:val="1"/>
    </w:lvl>
  </w:abstractNum>
  <w:abstractNum w:abstractNumId="74">
    <w:nsid w:val="43F18422"/>
    <w:multiLevelType w:val="hybridMultilevel"/>
    <w:lvl w:ilvl="0">
      <w:lvlJc w:val="left"/>
      <w:lvlText w:val="(%1)"/>
      <w:numFmt w:val="lowerLetter"/>
      <w:start w:val="1"/>
    </w:lvl>
  </w:abstractNum>
  <w:abstractNum w:abstractNumId="75">
    <w:nsid w:val="60EF0119"/>
    <w:multiLevelType w:val="hybridMultilevel"/>
    <w:lvl w:ilvl="0">
      <w:lvlJc w:val="left"/>
      <w:lvlText w:val="(%1)"/>
      <w:numFmt w:val="lowerLetter"/>
      <w:start w:val="2"/>
    </w:lvl>
  </w:abstractNum>
  <w:abstractNum w:abstractNumId="76">
    <w:nsid w:val="26F324BA"/>
    <w:multiLevelType w:val="hybridMultilevel"/>
    <w:lvl w:ilvl="0">
      <w:lvlJc w:val="left"/>
      <w:lvlText w:val="(%1)"/>
      <w:numFmt w:val="lowerLetter"/>
      <w:start w:val="3"/>
    </w:lvl>
  </w:abstractNum>
  <w:abstractNum w:abstractNumId="77">
    <w:nsid w:val="7F01579B"/>
    <w:multiLevelType w:val="hybridMultilevel"/>
    <w:lvl w:ilvl="0">
      <w:lvlJc w:val="left"/>
      <w:lvlText w:val="(%1)"/>
      <w:numFmt w:val="lowerLetter"/>
      <w:start w:val="4"/>
    </w:lvl>
  </w:abstractNum>
  <w:abstractNum w:abstractNumId="78">
    <w:nsid w:val="49DA307D"/>
    <w:multiLevelType w:val="hybridMultilevel"/>
    <w:lvl w:ilvl="0">
      <w:lvlJc w:val="left"/>
      <w:lvlText w:val="(%1)"/>
      <w:numFmt w:val="lowerLetter"/>
      <w:start w:val="5"/>
    </w:lvl>
  </w:abstractNum>
  <w:abstractNum w:abstractNumId="79">
    <w:nsid w:val="7055A5F5"/>
    <w:multiLevelType w:val="hybridMultilevel"/>
    <w:lvl w:ilvl="0">
      <w:lvlJc w:val="left"/>
      <w:lvlText w:val="(%1)"/>
      <w:numFmt w:val="lowerLetter"/>
      <w:start w:val="6"/>
    </w:lvl>
  </w:abstractNum>
  <w:abstractNum w:abstractNumId="80">
    <w:nsid w:val="5FB8370B"/>
    <w:multiLevelType w:val="hybridMultilevel"/>
    <w:lvl w:ilvl="0">
      <w:lvlJc w:val="left"/>
      <w:lvlText w:val="(%1)"/>
      <w:numFmt w:val="lowerLetter"/>
      <w:start w:val="7"/>
    </w:lvl>
  </w:abstractNum>
  <w:abstractNum w:abstractNumId="81">
    <w:nsid w:val="50801EE1"/>
    <w:multiLevelType w:val="hybridMultilevel"/>
    <w:lvl w:ilvl="0">
      <w:lvlJc w:val="left"/>
      <w:lvlText w:val="(%1)"/>
      <w:numFmt w:val="lowerRoman"/>
      <w:start w:val="1"/>
    </w:lvl>
  </w:abstractNum>
  <w:abstractNum w:abstractNumId="82">
    <w:nsid w:val="488AC1A"/>
    <w:multiLevelType w:val="hybridMultilevel"/>
    <w:lvl w:ilvl="0">
      <w:lvlJc w:val="left"/>
      <w:lvlText w:val="(%1)"/>
      <w:numFmt w:val="lowerRoman"/>
      <w:start w:val="3"/>
    </w:lvl>
  </w:abstractNum>
  <w:abstractNum w:abstractNumId="83">
    <w:nsid w:val="5FB8011C"/>
    <w:multiLevelType w:val="hybridMultilevel"/>
    <w:lvl w:ilvl="0">
      <w:lvlJc w:val="left"/>
      <w:lvlText w:val="(%1)"/>
      <w:numFmt w:val="lowerLetter"/>
      <w:start w:val="8"/>
    </w:lvl>
  </w:abstractNum>
  <w:abstractNum w:abstractNumId="84">
    <w:nsid w:val="6AA78F7F"/>
    <w:multiLevelType w:val="hybridMultilevel"/>
    <w:lvl w:ilvl="0">
      <w:lvlJc w:val="left"/>
      <w:lvlText w:val="(%1)"/>
      <w:numFmt w:val="lowerRoman"/>
      <w:start w:val="1"/>
    </w:lvl>
  </w:abstractNum>
  <w:abstractNum w:abstractNumId="85">
    <w:nsid w:val="7672BD23"/>
    <w:multiLevelType w:val="hybridMultilevel"/>
    <w:lvl w:ilvl="0">
      <w:lvlJc w:val="left"/>
      <w:lvlText w:val="(%1)"/>
      <w:numFmt w:val="lowerRoman"/>
      <w:start w:val="1"/>
    </w:lvl>
  </w:abstractNum>
  <w:abstractNum w:abstractNumId="86">
    <w:nsid w:val="6FC75AF8"/>
    <w:multiLevelType w:val="hybridMultilevel"/>
    <w:lvl w:ilvl="0">
      <w:lvlJc w:val="left"/>
      <w:lvlText w:val="%1"/>
      <w:numFmt w:val="decimal"/>
      <w:start w:val="1"/>
    </w:lvl>
    <w:lvl w:ilvl="1">
      <w:lvlJc w:val="left"/>
      <w:lvlText w:val="(%2)"/>
      <w:numFmt w:val="lowerRoman"/>
      <w:start w:val="6"/>
    </w:lvl>
  </w:abstractNum>
  <w:abstractNum w:abstractNumId="87">
    <w:nsid w:val="6A5F7029"/>
    <w:multiLevelType w:val="hybridMultilevel"/>
    <w:lvl w:ilvl="0">
      <w:lvlJc w:val="left"/>
      <w:lvlText w:val="%1."/>
      <w:numFmt w:val="decimal"/>
      <w:start w:val="8"/>
    </w:lvl>
    <w:lvl w:ilvl="1">
      <w:lvlJc w:val="left"/>
      <w:lvlText w:val="%2"/>
      <w:numFmt w:val="lowerRoman"/>
      <w:start w:val="1"/>
    </w:lvl>
  </w:abstractNum>
  <w:abstractNum w:abstractNumId="88">
    <w:nsid w:val="7D5E18F8"/>
    <w:multiLevelType w:val="hybridMultilevel"/>
    <w:lvl w:ilvl="0">
      <w:lvlJc w:val="left"/>
      <w:lvlText w:val="(%1)"/>
      <w:numFmt w:val="lowerLetter"/>
      <w:start w:val="1"/>
    </w:lvl>
  </w:abstractNum>
  <w:abstractNum w:abstractNumId="89">
    <w:nsid w:val="5F3534A4"/>
    <w:multiLevelType w:val="hybridMultilevel"/>
    <w:lvl w:ilvl="0">
      <w:lvlJc w:val="left"/>
      <w:lvlText w:val="(%1)"/>
      <w:numFmt w:val="lowerRoman"/>
      <w:start w:val="1"/>
    </w:lvl>
  </w:abstractNum>
  <w:abstractNum w:abstractNumId="90">
    <w:nsid w:val="73A1821B"/>
    <w:multiLevelType w:val="hybridMultilevel"/>
    <w:lvl w:ilvl="0">
      <w:lvlJc w:val="left"/>
      <w:lvlText w:val="(%1)"/>
      <w:numFmt w:val="lowerLetter"/>
      <w:start w:val="2"/>
    </w:lvl>
  </w:abstractNum>
  <w:abstractNum w:abstractNumId="91">
    <w:nsid w:val="7DE67713"/>
    <w:multiLevelType w:val="hybridMultilevel"/>
    <w:lvl w:ilvl="0">
      <w:lvlJc w:val="left"/>
      <w:lvlText w:val="(%1)"/>
      <w:numFmt w:val="lowerLetter"/>
      <w:start w:val="3"/>
    </w:lvl>
  </w:abstractNum>
  <w:abstractNum w:abstractNumId="92">
    <w:nsid w:val="555C55B5"/>
    <w:multiLevelType w:val="hybridMultilevel"/>
    <w:lvl w:ilvl="0">
      <w:lvlJc w:val="left"/>
      <w:lvlText w:val="(%1)"/>
      <w:numFmt w:val="lowerLetter"/>
      <w:start w:val="4"/>
    </w:lvl>
  </w:abstractNum>
  <w:abstractNum w:abstractNumId="93">
    <w:nsid w:val="3FA62ACA"/>
    <w:multiLevelType w:val="hybridMultilevel"/>
    <w:lvl w:ilvl="0">
      <w:lvlJc w:val="left"/>
      <w:lvlText w:val="(%1)"/>
      <w:numFmt w:val="lowerLetter"/>
      <w:start w:val="5"/>
    </w:lvl>
  </w:abstractNum>
  <w:abstractNum w:abstractNumId="94">
    <w:nsid w:val="14FCE74E"/>
    <w:multiLevelType w:val="hybridMultilevel"/>
    <w:lvl w:ilvl="0">
      <w:lvlJc w:val="left"/>
      <w:lvlText w:val="(%1)"/>
      <w:numFmt w:val="lowerLetter"/>
      <w:start w:val="6"/>
    </w:lvl>
  </w:abstractNum>
  <w:abstractNum w:abstractNumId="95">
    <w:nsid w:val="6A3DD3E8"/>
    <w:multiLevelType w:val="hybridMultilevel"/>
    <w:lvl w:ilvl="0">
      <w:lvlJc w:val="left"/>
      <w:lvlText w:val="(%1)"/>
      <w:numFmt w:val="lowerRoman"/>
      <w:start w:val="1"/>
    </w:lvl>
  </w:abstractNum>
  <w:abstractNum w:abstractNumId="96">
    <w:nsid w:val="71C91298"/>
    <w:multiLevelType w:val="hybridMultilevel"/>
    <w:lvl w:ilvl="0">
      <w:lvlJc w:val="left"/>
      <w:lvlText w:val="(%1)"/>
      <w:numFmt w:val="lowerRoman"/>
      <w:start w:val="2"/>
    </w:lvl>
  </w:abstractNum>
  <w:abstractNum w:abstractNumId="97">
    <w:nsid w:val="9DAF632"/>
    <w:multiLevelType w:val="hybridMultilevel"/>
    <w:lvl w:ilvl="0">
      <w:lvlJc w:val="left"/>
      <w:lvlText w:val="(%1)"/>
      <w:numFmt w:val="lowerRoman"/>
      <w:start w:val="3"/>
    </w:lvl>
  </w:abstractNum>
  <w:abstractNum w:abstractNumId="98">
    <w:nsid w:val="53299938"/>
    <w:multiLevelType w:val="hybridMultilevel"/>
    <w:lvl w:ilvl="0">
      <w:lvlJc w:val="left"/>
      <w:lvlText w:val="(%1)"/>
      <w:numFmt w:val="lowerLetter"/>
      <w:start w:val="7"/>
    </w:lvl>
  </w:abstractNum>
  <w:abstractNum w:abstractNumId="99">
    <w:nsid w:val="1FBFE8E0"/>
    <w:multiLevelType w:val="hybridMultilevel"/>
    <w:lvl w:ilvl="0">
      <w:lvlJc w:val="left"/>
      <w:lvlText w:val="%1."/>
      <w:numFmt w:val="decimal"/>
      <w:start w:val="9"/>
    </w:lvl>
  </w:abstractNum>
  <w:abstractNum w:abstractNumId="100">
    <w:nsid w:val="5092CA79"/>
    <w:multiLevelType w:val="hybridMultilevel"/>
    <w:lvl w:ilvl="0">
      <w:lvlJc w:val="left"/>
      <w:lvlText w:val="%1."/>
      <w:numFmt w:val="decimal"/>
      <w:start w:val="10"/>
    </w:lvl>
  </w:abstractNum>
  <w:abstractNum w:abstractNumId="101">
    <w:nsid w:val="1D545C4D"/>
    <w:multiLevelType w:val="hybridMultilevel"/>
    <w:lvl w:ilvl="0">
      <w:lvlJc w:val="left"/>
      <w:lvlText w:val="%1."/>
      <w:numFmt w:val="decimal"/>
      <w:start w:val="11"/>
    </w:lvl>
    <w:lvl w:ilvl="1">
      <w:lvlJc w:val="left"/>
      <w:lvlText w:val="(%2)"/>
      <w:numFmt w:val="lowerLetter"/>
      <w:start w:val="1"/>
    </w:lvl>
  </w:abstractNum>
  <w:abstractNum w:abstractNumId="102">
    <w:nsid w:val="59ADEA3D"/>
    <w:multiLevelType w:val="hybridMultilevel"/>
    <w:lvl w:ilvl="0">
      <w:lvlJc w:val="left"/>
      <w:lvlText w:val="%1"/>
      <w:numFmt w:val="decimal"/>
      <w:start w:val="1"/>
    </w:lvl>
    <w:lvl w:ilvl="1">
      <w:lvlJc w:val="left"/>
      <w:lvlText w:val="(%2)"/>
      <w:numFmt w:val="lowerLetter"/>
      <w:start w:val="2"/>
    </w:lvl>
  </w:abstractNum>
  <w:abstractNum w:abstractNumId="103">
    <w:nsid w:val="288F1A34"/>
    <w:multiLevelType w:val="hybridMultilevel"/>
    <w:lvl w:ilvl="0">
      <w:lvlJc w:val="left"/>
      <w:lvlText w:val="%1."/>
      <w:numFmt w:val="decimal"/>
      <w:start w:val="13"/>
    </w:lvl>
    <w:lvl w:ilvl="1">
      <w:lvlJc w:val="left"/>
      <w:lvlText w:val="%2"/>
      <w:numFmt w:val="lowerLetter"/>
      <w:start w:val="1"/>
    </w:lvl>
  </w:abstractNum>
  <w:abstractNum w:abstractNumId="104">
    <w:nsid w:val="2A155DBC"/>
    <w:multiLevelType w:val="hybridMultilevel"/>
    <w:lvl w:ilvl="0">
      <w:lvlJc w:val="left"/>
      <w:lvlText w:val="%1."/>
      <w:numFmt w:val="decimal"/>
      <w:start w:val="14"/>
    </w:lvl>
  </w:abstractNum>
  <w:abstractNum w:abstractNumId="105">
    <w:nsid w:val="1D9F6E5F"/>
    <w:multiLevelType w:val="hybridMultilevel"/>
    <w:lvl w:ilvl="0">
      <w:lvlJc w:val="left"/>
      <w:lvlText w:val="%1."/>
      <w:numFmt w:val="decimal"/>
      <w:start w:val="15"/>
    </w:lvl>
    <w:lvl w:ilvl="1">
      <w:lvlJc w:val="left"/>
      <w:lvlText w:val="(%2)"/>
      <w:numFmt w:val="lowerLetter"/>
      <w:start w:val="1"/>
    </w:lvl>
  </w:abstractNum>
  <w:abstractNum w:abstractNumId="106">
    <w:nsid w:val="97E1B4E"/>
    <w:multiLevelType w:val="hybridMultilevel"/>
    <w:lvl w:ilvl="0">
      <w:lvlJc w:val="left"/>
      <w:lvlText w:val="(%1)"/>
      <w:numFmt w:val="lowerLetter"/>
      <w:start w:val="2"/>
    </w:lvl>
  </w:abstractNum>
  <w:abstractNum w:abstractNumId="107">
    <w:nsid w:val="51088277"/>
    <w:multiLevelType w:val="hybridMultilevel"/>
    <w:lvl w:ilvl="0">
      <w:lvlJc w:val="left"/>
      <w:lvlText w:val="%1"/>
      <w:numFmt w:val="lowerLetter"/>
      <w:start w:val="1"/>
    </w:lvl>
    <w:lvl w:ilvl="1">
      <w:lvlJc w:val="left"/>
      <w:lvlText w:val="(%2)"/>
      <w:numFmt w:val="lowerRoman"/>
      <w:start w:val="1"/>
    </w:lvl>
  </w:abstractNum>
  <w:abstractNum w:abstractNumId="108">
    <w:nsid w:val="1CA0C5FA"/>
    <w:multiLevelType w:val="hybridMultilevel"/>
    <w:lvl w:ilvl="0">
      <w:lvlJc w:val="left"/>
      <w:lvlText w:val="(%1)"/>
      <w:numFmt w:val="lowerLetter"/>
      <w:start w:val="3"/>
    </w:lvl>
    <w:lvl w:ilvl="1">
      <w:lvlJc w:val="left"/>
      <w:lvlText w:val="%2"/>
      <w:numFmt w:val="lowerRoman"/>
      <w:start w:val="1"/>
    </w:lvl>
  </w:abstractNum>
  <w:abstractNum w:abstractNumId="109">
    <w:nsid w:val="53584BCB"/>
    <w:multiLevelType w:val="hybridMultilevel"/>
    <w:lvl w:ilvl="0">
      <w:lvlJc w:val="left"/>
      <w:lvlText w:val="%1."/>
      <w:numFmt w:val="decimal"/>
      <w:start w:val="16"/>
    </w:lvl>
    <w:lvl w:ilvl="1">
      <w:lvlJc w:val="left"/>
      <w:lvlText w:val="(%2)"/>
      <w:numFmt w:val="lowerLetter"/>
      <w:start w:val="1"/>
    </w:lvl>
  </w:abstractNum>
  <w:abstractNum w:abstractNumId="110">
    <w:nsid w:val="415E286C"/>
    <w:multiLevelType w:val="hybridMultilevel"/>
    <w:lvl w:ilvl="0">
      <w:lvlJc w:val="left"/>
      <w:lvlText w:val="%1."/>
      <w:numFmt w:val="decimal"/>
      <w:start w:val="17"/>
    </w:lvl>
  </w:abstractNum>
  <w:abstractNum w:abstractNumId="111">
    <w:nsid w:val="7C58FD05"/>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2019-12-12T23:07:58Z</dcterms:created>
  <dcterms:modified xsi:type="dcterms:W3CDTF">2019-12-12T23:07:58Z</dcterms:modified>
</cp:coreProperties>
</file>