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001-32871</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COMCAST CORP</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4340"/>
        <w:spacing w:after="0"/>
        <w:rPr>
          <w:sz w:val="20"/>
          <w:szCs w:val="20"/>
          <w:color w:val="auto"/>
        </w:rPr>
      </w:pPr>
      <w:r>
        <w:rPr>
          <w:rFonts w:ascii="Arial" w:cs="Arial" w:eastAsia="Arial" w:hAnsi="Arial"/>
          <w:sz w:val="22"/>
          <w:szCs w:val="22"/>
          <w:color w:val="auto"/>
        </w:rPr>
        <w:t>Address:</w:t>
      </w:r>
    </w:p>
    <w:p>
      <w:pPr>
        <w:spacing w:after="0" w:line="98" w:lineRule="exact"/>
        <w:rPr>
          <w:sz w:val="24"/>
          <w:szCs w:val="24"/>
          <w:color w:val="auto"/>
        </w:rPr>
      </w:pPr>
    </w:p>
    <w:p>
      <w:pPr>
        <w:ind w:left="3440"/>
        <w:spacing w:after="0"/>
        <w:tabs>
          <w:tab w:leader="none" w:pos="5320" w:val="left"/>
        </w:tabs>
        <w:rPr>
          <w:sz w:val="20"/>
          <w:szCs w:val="20"/>
          <w:color w:val="auto"/>
        </w:rPr>
      </w:pPr>
      <w:r>
        <w:rPr>
          <w:rFonts w:ascii="Arial" w:cs="Arial" w:eastAsia="Arial" w:hAnsi="Arial"/>
          <w:sz w:val="22"/>
          <w:szCs w:val="22"/>
          <w:color w:val="auto"/>
        </w:rPr>
        <w:t>Telephone number:</w:t>
      </w:r>
      <w:r>
        <w:rPr>
          <w:sz w:val="20"/>
          <w:szCs w:val="20"/>
          <w:color w:val="auto"/>
        </w:rPr>
        <w:tab/>
      </w:r>
      <w:r>
        <w:rPr>
          <w:rFonts w:ascii="Arial" w:cs="Arial" w:eastAsia="Arial" w:hAnsi="Arial"/>
          <w:sz w:val="19"/>
          <w:szCs w:val="19"/>
          <w:color w:val="auto"/>
        </w:rPr>
        <w:t>650-752-2043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40"/>
        <w:spacing w:after="0"/>
        <w:rPr>
          <w:sz w:val="20"/>
          <w:szCs w:val="20"/>
          <w:color w:val="auto"/>
        </w:rPr>
      </w:pPr>
      <w:r>
        <w:rPr>
          <w:rFonts w:ascii="Arial" w:cs="Arial" w:eastAsia="Arial" w:hAnsi="Arial"/>
          <w:sz w:val="21"/>
          <w:szCs w:val="21"/>
          <w:color w:val="auto"/>
        </w:rPr>
        <w:t>(Address, including zip code, and telephone number, including area code, of Issuer's principal</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executive offices)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7.00% Notes due September 15, 2055, Series 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2012-04-20</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Edwin Mecabe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34" w:lineRule="auto"/>
        <w:rPr>
          <w:sz w:val="20"/>
          <w:szCs w:val="20"/>
          <w:color w:val="auto"/>
        </w:rPr>
      </w:pPr>
      <w:r>
        <w:rPr>
          <w:rFonts w:ascii="Arial" w:cs="Arial" w:eastAsia="Arial" w:hAnsi="Arial"/>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May 1, 2012, pursuant to the provisions of Rule 12d2-2 (a). [ X ] 17 CFR 240.12d2-2(a)(1) That the entire class of this security was called for redemption, maturity or retirement on April 20, 2012; appropriate notice thereof was given; funds sufficient for the payment of all such securities were deposited with an agency authorized to make such payment; and such funds were made available to security holders on April 20, 2012. The Exchange also notifies the Securities and Exchange Commission that as a result of the above indicated conditions this security was suspended from trading on April 20, 2012.</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2871" TargetMode="External"/><Relationship Id="rId10" Type="http://schemas.openxmlformats.org/officeDocument/2006/relationships/hyperlink" Target="http://www.sec.gov/cgi-bin/browse-edgar?action=getcompany&amp;CIK=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2019-12-09T14:43:35Z</dcterms:created>
  <dcterms:modified xsi:type="dcterms:W3CDTF">2019-12-09T14:43:35Z</dcterms:modified>
</cp:coreProperties>
</file>