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29210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60" w:space="280"/>
            <w:col w:w="888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HASSELL GERALD L</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COMCAST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CMCSA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11/22/2010</w:t>
      </w:r>
    </w:p>
    <w:p>
      <w:pPr>
        <w:spacing w:after="0" w:line="20" w:lineRule="exact"/>
        <w:rPr>
          <w:sz w:val="24"/>
          <w:szCs w:val="24"/>
          <w:color w:val="auto"/>
        </w:rPr>
      </w:pPr>
      <w:r>
        <w:rPr>
          <w:sz w:val="24"/>
          <w:szCs w:val="24"/>
          <w:color w:val="auto"/>
        </w:rPr>
        <w:br w:type="column"/>
      </w:r>
    </w:p>
    <w:p>
      <w:pPr>
        <w:ind w:left="-8" w:right="640" w:firstLine="8"/>
        <w:spacing w:after="0" w:line="27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5" w:lineRule="exact"/>
        <w:rPr>
          <w:sz w:val="24"/>
          <w:szCs w:val="24"/>
          <w:color w:val="auto"/>
        </w:rPr>
      </w:pP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4" w:lineRule="exact"/>
        <w:rPr>
          <w:sz w:val="24"/>
          <w:szCs w:val="24"/>
          <w:color w:val="auto"/>
        </w:rPr>
      </w:pPr>
    </w:p>
    <w:p>
      <w:pPr>
        <w:sectPr>
          <w:pgSz w:w="11900" w:h="16838" w:orient="portrait"/>
          <w:cols w:equalWidth="0" w:num="3">
            <w:col w:w="3340" w:space="720"/>
            <w:col w:w="3268" w:space="720"/>
            <w:col w:w="3472"/>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PHILADELPHIA PA</w:t>
            </w:r>
          </w:p>
        </w:tc>
        <w:tc>
          <w:tcPr>
            <w:tcW w:w="16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5"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ind w:left="4200"/>
        <w:spacing w:after="0" w:line="238"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900" w:space="160"/>
            <w:col w:w="746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Times New Roman" w:cs="Times New Roman" w:eastAsia="Times New Roman" w:hAnsi="Times New Roman"/>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3"/>
                <w:szCs w:val="13"/>
                <w:color w:val="0000FF"/>
              </w:rPr>
              <w:t>28,042</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0000FF"/>
              </w:rPr>
              <w:t>215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Times New Roman" w:cs="Times New Roman" w:eastAsia="Times New Roman" w:hAnsi="Times New Roman"/>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3"/>
                <w:szCs w:val="13"/>
                <w:color w:val="0000FF"/>
              </w:rPr>
              <w:t>215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3"/>
                <w:szCs w:val="13"/>
                <w:color w:val="0000FF"/>
              </w:rPr>
              <w:t>27,827</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convert on a one-to-one basis.</w:t>
      </w:r>
    </w:p>
    <w:p>
      <w:pPr>
        <w:spacing w:after="0" w:line="52" w:lineRule="exact"/>
        <w:rPr>
          <w:rFonts w:ascii="Times New Roman" w:cs="Times New Roman" w:eastAsia="Times New Roman" w:hAnsi="Times New Roman"/>
          <w:sz w:val="13"/>
          <w:szCs w:val="13"/>
          <w:color w:val="008000"/>
        </w:rPr>
      </w:pPr>
    </w:p>
    <w:p>
      <w:pPr>
        <w:ind w:left="40" w:right="20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5"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Although the reporting person elected to defer receipt of the shares of Class A common stock underlying the phantom shares, these shares were withheld for payment of tax liability.</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2"/>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2019-12-18T07:34:42Z</dcterms:created>
  <dcterms:modified xsi:type="dcterms:W3CDTF">2019-12-18T07:34:42Z</dcterms:modified>
</cp:coreProperties>
</file>