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20030N101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76200</wp:posOffset>
            </wp:positionV>
            <wp:extent cx="2040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5 PAGES</w:t>
      </w:r>
    </w:p>
    <w:p>
      <w:pPr>
        <w:sectPr>
          <w:pgSz w:w="11900" w:h="16838" w:orient="portrait"/>
          <w:cols w:equalWidth="0" w:num="1">
            <w:col w:w="11340"/>
          </w:cols>
          <w:pgMar w:left="240" w:top="219" w:right="319" w:bottom="1440" w:gutter="0" w:footer="0" w:header="0"/>
        </w:sectPr>
      </w:pPr>
    </w:p>
    <w:bookmarkStart w:id="1" w:name="page2"/>
    <w:bookmarkEnd w:id="1"/>
    <w:p>
      <w:pPr>
        <w:ind w:left="180"/>
        <w:spacing w:after="0"/>
        <w:tabs>
          <w:tab w:leader="none" w:pos="5720" w:val="left"/>
          <w:tab w:leader="none" w:pos="9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20030N101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Dodge &amp; Cox</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94-1441976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 CITIZENSHIP OR PLACE OF ORGANIZATION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California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96,151,637</w:t>
            </w:r>
          </w:p>
        </w:tc>
        <w:tc>
          <w:tcPr>
            <w:tcW w:w="0" w:type="dxa"/>
            <w:vAlign w:val="bottom"/>
          </w:tcPr>
          <w:p>
            <w:pPr>
              <w:spacing w:after="0"/>
              <w:rPr>
                <w:sz w:val="1"/>
                <w:szCs w:val="1"/>
                <w:color w:val="auto"/>
              </w:rPr>
            </w:pPr>
          </w:p>
        </w:tc>
      </w:tr>
      <w:tr>
        <w:trPr>
          <w:trHeight w:val="9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4"/>
              </w:rPr>
              <w:t>NUMBER OF</w:t>
            </w: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89"/>
              </w:rPr>
              <w:t>SHARES</w:t>
            </w:r>
          </w:p>
        </w:tc>
        <w:tc>
          <w:tcPr>
            <w:tcW w:w="2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1,011,745</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8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1"/>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1"/>
              </w:rPr>
              <w:t>REPORTING</w:t>
            </w:r>
          </w:p>
        </w:tc>
        <w:tc>
          <w:tcPr>
            <w:tcW w:w="26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80" w:type="dxa"/>
            <w:vAlign w:val="bottom"/>
          </w:tcPr>
          <w:p>
            <w:pPr>
              <w:jc w:val="center"/>
              <w:ind w:right="172"/>
              <w:spacing w:after="0"/>
              <w:rPr>
                <w:sz w:val="20"/>
                <w:szCs w:val="20"/>
                <w:color w:val="auto"/>
              </w:rPr>
            </w:pPr>
            <w:r>
              <w:rPr>
                <w:rFonts w:ascii="Arial" w:cs="Arial" w:eastAsia="Arial" w:hAnsi="Arial"/>
                <w:sz w:val="18"/>
                <w:szCs w:val="18"/>
                <w:color w:val="auto"/>
                <w:w w:val="86"/>
              </w:rPr>
              <w:t>PERSON</w:t>
            </w:r>
          </w:p>
        </w:tc>
        <w:tc>
          <w:tcPr>
            <w:tcW w:w="260" w:type="dxa"/>
            <w:vAlign w:val="bottom"/>
          </w:tcPr>
          <w:p>
            <w:pPr>
              <w:spacing w:after="0"/>
              <w:rPr>
                <w:sz w:val="21"/>
                <w:szCs w:val="21"/>
                <w:color w:val="auto"/>
              </w:rPr>
            </w:pPr>
          </w:p>
        </w:tc>
        <w:tc>
          <w:tcPr>
            <w:tcW w:w="9540" w:type="dxa"/>
            <w:vAlign w:val="bottom"/>
          </w:tcPr>
          <w:p>
            <w:pPr>
              <w:ind w:left="600"/>
              <w:spacing w:after="0" w:line="251" w:lineRule="exact"/>
              <w:rPr>
                <w:sz w:val="20"/>
                <w:szCs w:val="20"/>
                <w:color w:val="auto"/>
              </w:rPr>
            </w:pPr>
            <w:r>
              <w:rPr>
                <w:rFonts w:ascii="Arial" w:cs="Arial" w:eastAsia="Arial" w:hAnsi="Arial"/>
                <w:sz w:val="22"/>
                <w:szCs w:val="22"/>
                <w:color w:val="auto"/>
              </w:rPr>
              <w:t>102,042,397</w:t>
            </w:r>
          </w:p>
        </w:tc>
        <w:tc>
          <w:tcPr>
            <w:tcW w:w="0" w:type="dxa"/>
            <w:vAlign w:val="bottom"/>
          </w:tcPr>
          <w:p>
            <w:pPr>
              <w:spacing w:after="0"/>
              <w:rPr>
                <w:sz w:val="1"/>
                <w:szCs w:val="1"/>
                <w:color w:val="auto"/>
              </w:rPr>
            </w:pPr>
          </w:p>
        </w:tc>
      </w:tr>
      <w:tr>
        <w:trPr>
          <w:trHeight w:val="162"/>
        </w:trPr>
        <w:tc>
          <w:tcPr>
            <w:tcW w:w="1480" w:type="dxa"/>
            <w:vAlign w:val="bottom"/>
          </w:tcPr>
          <w:p>
            <w:pPr>
              <w:jc w:val="center"/>
              <w:ind w:right="172"/>
              <w:spacing w:after="0" w:line="162" w:lineRule="exact"/>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 AGGREGATE AMOUNT BENEFICIALLY OWNED BY EACH REPORTING PERSON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102,042,397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10 CHECK BOX IF THE AGGREGATE AMOUNT IN ROW (9) EXCLUDES CERTAIN SHARES*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11 PERCENT OF CLASS REPRESENTED BY AMOUNT IN ROW 9</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 PAGES</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4060" w:type="dxa"/>
            <w:vAlign w:val="bottom"/>
          </w:tcPr>
          <w:p>
            <w:pPr>
              <w:ind w:left="260"/>
              <w:spacing w:after="0"/>
              <w:rPr>
                <w:sz w:val="20"/>
                <w:szCs w:val="20"/>
                <w:color w:val="auto"/>
              </w:rPr>
            </w:pPr>
            <w:r>
              <w:rPr>
                <w:rFonts w:ascii="Arial" w:cs="Arial" w:eastAsia="Arial" w:hAnsi="Arial"/>
                <w:sz w:val="18"/>
                <w:szCs w:val="18"/>
                <w:color w:val="auto"/>
              </w:rPr>
              <w:t>Name of Issuer:</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Comcast Corporation</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4060" w:type="dxa"/>
            <w:vAlign w:val="bottom"/>
          </w:tcPr>
          <w:p>
            <w:pPr>
              <w:ind w:left="260"/>
              <w:spacing w:after="0"/>
              <w:rPr>
                <w:sz w:val="20"/>
                <w:szCs w:val="20"/>
                <w:color w:val="auto"/>
              </w:rPr>
            </w:pPr>
            <w:r>
              <w:rPr>
                <w:rFonts w:ascii="Arial" w:cs="Arial" w:eastAsia="Arial" w:hAnsi="Arial"/>
                <w:sz w:val="18"/>
                <w:szCs w:val="18"/>
                <w:color w:val="auto"/>
              </w:rPr>
              <w:t>Address of Issuer’s Principal Executive Offices:</w:t>
            </w:r>
          </w:p>
        </w:tc>
      </w:tr>
      <w:tr>
        <w:trPr>
          <w:trHeight w:val="31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1500 Market Street</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Philadelphia, PA 19102-2148</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4060" w:type="dxa"/>
            <w:vAlign w:val="bottom"/>
          </w:tcPr>
          <w:p>
            <w:pPr>
              <w:ind w:left="260"/>
              <w:spacing w:after="0"/>
              <w:rPr>
                <w:sz w:val="20"/>
                <w:szCs w:val="20"/>
                <w:color w:val="auto"/>
              </w:rPr>
            </w:pPr>
            <w:r>
              <w:rPr>
                <w:rFonts w:ascii="Arial" w:cs="Arial" w:eastAsia="Arial" w:hAnsi="Arial"/>
                <w:sz w:val="18"/>
                <w:szCs w:val="18"/>
                <w:color w:val="auto"/>
              </w:rPr>
              <w:t>Name of Person Filing:</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Dodge &amp; Cox</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4060" w:type="dxa"/>
            <w:vAlign w:val="bottom"/>
          </w:tcPr>
          <w:p>
            <w:pPr>
              <w:ind w:left="260"/>
              <w:spacing w:after="0"/>
              <w:rPr>
                <w:sz w:val="20"/>
                <w:szCs w:val="20"/>
                <w:color w:val="auto"/>
              </w:rPr>
            </w:pPr>
            <w:r>
              <w:rPr>
                <w:rFonts w:ascii="Arial" w:cs="Arial" w:eastAsia="Arial" w:hAnsi="Arial"/>
                <w:sz w:val="18"/>
                <w:szCs w:val="18"/>
                <w:color w:val="auto"/>
                <w:w w:val="88"/>
              </w:rPr>
              <w:t>Address of the Principal Office or, if none, Residence:</w:t>
            </w:r>
          </w:p>
        </w:tc>
      </w:tr>
      <w:tr>
        <w:trPr>
          <w:trHeight w:val="31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555 California Street, 40th Floor</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San Francisco, CA 94104</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(c)</w:t>
            </w:r>
          </w:p>
        </w:tc>
        <w:tc>
          <w:tcPr>
            <w:tcW w:w="4060" w:type="dxa"/>
            <w:vAlign w:val="bottom"/>
          </w:tcPr>
          <w:p>
            <w:pPr>
              <w:ind w:left="260"/>
              <w:spacing w:after="0"/>
              <w:rPr>
                <w:sz w:val="20"/>
                <w:szCs w:val="20"/>
                <w:color w:val="auto"/>
              </w:rPr>
            </w:pPr>
            <w:r>
              <w:rPr>
                <w:rFonts w:ascii="Arial" w:cs="Arial" w:eastAsia="Arial" w:hAnsi="Arial"/>
                <w:sz w:val="18"/>
                <w:szCs w:val="18"/>
                <w:color w:val="auto"/>
              </w:rPr>
              <w:t>Citizenship:</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California - U.S.A.</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(d)</w:t>
            </w:r>
          </w:p>
        </w:tc>
        <w:tc>
          <w:tcPr>
            <w:tcW w:w="4060" w:type="dxa"/>
            <w:vAlign w:val="bottom"/>
          </w:tcPr>
          <w:p>
            <w:pPr>
              <w:ind w:left="26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Class A Common Stock</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(e)</w:t>
            </w:r>
          </w:p>
        </w:tc>
        <w:tc>
          <w:tcPr>
            <w:tcW w:w="4060" w:type="dxa"/>
            <w:vAlign w:val="bottom"/>
          </w:tcPr>
          <w:p>
            <w:pPr>
              <w:ind w:left="260"/>
              <w:spacing w:after="0"/>
              <w:rPr>
                <w:sz w:val="20"/>
                <w:szCs w:val="20"/>
                <w:color w:val="auto"/>
              </w:rPr>
            </w:pPr>
            <w:r>
              <w:rPr>
                <w:rFonts w:ascii="Arial" w:cs="Arial" w:eastAsia="Arial" w:hAnsi="Arial"/>
                <w:sz w:val="18"/>
                <w:szCs w:val="18"/>
                <w:color w:val="auto"/>
              </w:rPr>
              <w:t>CUSIP Number:</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20030N101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the Statement is being filed pursuant to Rule 13d-1(b), or 13d-2(b), check whether the person filing is a:</w:t>
      </w:r>
    </w:p>
    <w:p>
      <w:pPr>
        <w:sectPr>
          <w:pgSz w:w="11900" w:h="16838" w:orient="portrait"/>
          <w:cols w:equalWidth="0" w:num="1">
            <w:col w:w="10219"/>
          </w:cols>
          <w:pgMar w:left="240" w:top="280" w:right="1440" w:bottom="1440" w:gutter="0" w:footer="0" w:header="0"/>
        </w:sectPr>
      </w:pPr>
    </w:p>
    <w:p>
      <w:pPr>
        <w:spacing w:after="0" w:line="85" w:lineRule="exact"/>
        <w:rPr>
          <w:sz w:val="20"/>
          <w:szCs w:val="20"/>
          <w:color w:val="auto"/>
        </w:rPr>
      </w:pPr>
    </w:p>
    <w:p>
      <w:pPr>
        <w:ind w:left="1420" w:right="2259" w:hanging="4224"/>
        <w:spacing w:after="0" w:line="310" w:lineRule="exact"/>
        <w:tabs>
          <w:tab w:leader="none" w:pos="1400" w:val="left"/>
        </w:tabs>
        <w:rPr>
          <w:sz w:val="20"/>
          <w:szCs w:val="20"/>
          <w:color w:val="auto"/>
        </w:rPr>
      </w:pPr>
      <w:r>
        <w:rPr>
          <w:rFonts w:ascii="Arial" w:cs="Arial" w:eastAsia="Arial" w:hAnsi="Arial"/>
          <w:sz w:val="18"/>
          <w:szCs w:val="18"/>
          <w:color w:val="auto"/>
        </w:rPr>
        <w:t>(e)</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Investment Advisor registered under section 203 of the Investment Advisors Act of 1940</w:t>
      </w:r>
      <w:r>
        <w:rPr>
          <w:rFonts w:ascii="MS PGothic" w:cs="MS PGothic" w:eastAsia="MS PGothic" w:hAnsi="MS PGothic"/>
          <w:sz w:val="18"/>
          <w:szCs w:val="18"/>
          <w:color w:val="auto"/>
        </w:rPr>
        <w:t xml:space="preserve"> </w:t>
      </w:r>
      <w:r>
        <w:rPr>
          <w:rFonts w:ascii="Arial" w:cs="Arial" w:eastAsia="Arial" w:hAnsi="Arial"/>
          <w:sz w:val="18"/>
          <w:szCs w:val="18"/>
          <w:color w:val="auto"/>
        </w:rPr>
        <w:t>PAGE 3 OF 5 PAGES</w:t>
      </w:r>
    </w:p>
    <w:p>
      <w:pPr>
        <w:sectPr>
          <w:pgSz w:w="11900" w:h="16838" w:orient="portrait"/>
          <w:cols w:equalWidth="0" w:num="1">
            <w:col w:w="10219"/>
          </w:cols>
          <w:pgMar w:left="240" w:top="280" w:right="1440" w:bottom="1440" w:gutter="0" w:footer="0" w:header="0"/>
          <w:type w:val="continuous"/>
        </w:sectPr>
      </w:pPr>
    </w:p>
    <w:bookmarkStart w:id="3" w:name="page4"/>
    <w:bookmarkEnd w:id="3"/>
    <w:p>
      <w:pPr>
        <w:spacing w:after="0"/>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ind w:left="1200" w:right="6939" w:hanging="503"/>
        <w:spacing w:after="0" w:line="375"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102,042,397</w:t>
      </w:r>
    </w:p>
    <w:p>
      <w:pPr>
        <w:spacing w:after="0" w:line="1" w:lineRule="exact"/>
        <w:rPr>
          <w:rFonts w:ascii="Arial" w:cs="Arial" w:eastAsia="Arial" w:hAnsi="Arial"/>
          <w:sz w:val="18"/>
          <w:szCs w:val="18"/>
          <w:color w:val="auto"/>
        </w:rPr>
      </w:pPr>
    </w:p>
    <w:p>
      <w:pPr>
        <w:ind w:left="1200" w:hanging="503"/>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7.5%</w:t>
      </w:r>
    </w:p>
    <w:p>
      <w:pPr>
        <w:spacing w:after="0" w:line="117" w:lineRule="exact"/>
        <w:rPr>
          <w:rFonts w:ascii="Arial" w:cs="Arial" w:eastAsia="Arial" w:hAnsi="Arial"/>
          <w:sz w:val="18"/>
          <w:szCs w:val="18"/>
          <w:color w:val="auto"/>
        </w:rPr>
      </w:pPr>
    </w:p>
    <w:p>
      <w:pPr>
        <w:ind w:left="1200" w:hanging="503"/>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560" w:right="6079" w:hanging="363"/>
        <w:spacing w:after="0" w:line="375" w:lineRule="auto"/>
        <w:tabs>
          <w:tab w:leader="none" w:pos="1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96,151,637</w:t>
      </w:r>
    </w:p>
    <w:p>
      <w:pPr>
        <w:spacing w:after="0" w:line="1" w:lineRule="exact"/>
        <w:rPr>
          <w:rFonts w:ascii="Arial" w:cs="Arial" w:eastAsia="Arial" w:hAnsi="Arial"/>
          <w:sz w:val="18"/>
          <w:szCs w:val="18"/>
          <w:color w:val="auto"/>
        </w:rPr>
      </w:pPr>
    </w:p>
    <w:p>
      <w:pPr>
        <w:ind w:left="1560" w:right="5899" w:hanging="363"/>
        <w:spacing w:after="0" w:line="375" w:lineRule="auto"/>
        <w:tabs>
          <w:tab w:leader="none" w:pos="1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1,011,745</w:t>
      </w:r>
    </w:p>
    <w:p>
      <w:pPr>
        <w:spacing w:after="0" w:line="1" w:lineRule="exact"/>
        <w:rPr>
          <w:rFonts w:ascii="Arial" w:cs="Arial" w:eastAsia="Arial" w:hAnsi="Arial"/>
          <w:sz w:val="18"/>
          <w:szCs w:val="18"/>
          <w:color w:val="auto"/>
        </w:rPr>
      </w:pPr>
    </w:p>
    <w:p>
      <w:pPr>
        <w:ind w:left="1560" w:right="5019" w:hanging="363"/>
        <w:spacing w:after="0" w:line="375" w:lineRule="auto"/>
        <w:tabs>
          <w:tab w:leader="none" w:pos="1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102,042,397</w:t>
      </w:r>
    </w:p>
    <w:p>
      <w:pPr>
        <w:spacing w:after="0" w:line="1" w:lineRule="exact"/>
        <w:rPr>
          <w:rFonts w:ascii="Arial" w:cs="Arial" w:eastAsia="Arial" w:hAnsi="Arial"/>
          <w:sz w:val="18"/>
          <w:szCs w:val="18"/>
          <w:color w:val="auto"/>
        </w:rPr>
      </w:pPr>
    </w:p>
    <w:p>
      <w:pPr>
        <w:ind w:left="1560" w:right="4839" w:hanging="363"/>
        <w:spacing w:after="0" w:line="375" w:lineRule="auto"/>
        <w:tabs>
          <w:tab w:leader="none" w:pos="1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700" w:right="319"/>
        <w:spacing w:after="0" w:line="259" w:lineRule="auto"/>
        <w:rPr>
          <w:sz w:val="20"/>
          <w:szCs w:val="20"/>
          <w:color w:val="auto"/>
        </w:rPr>
      </w:pPr>
      <w:r>
        <w:rPr>
          <w:rFonts w:ascii="Arial" w:cs="Arial" w:eastAsia="Arial" w:hAnsi="Arial"/>
          <w:sz w:val="18"/>
          <w:szCs w:val="18"/>
          <w:color w:val="auto"/>
        </w:rPr>
        <w:t>Securities reported on this Schedule 13G are beneficially owned by clients of Dodge &amp; Cox, which clients may include investment companies registered under the Investment Company Act and/or employee benefit plans, pension funds, endowment funds or other institutional clients.</w:t>
      </w:r>
    </w:p>
    <w:p>
      <w:pPr>
        <w:spacing w:after="0" w:line="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a Group:</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700" w:right="439"/>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3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0219"/>
          </w:cols>
          <w:pgMar w:left="240" w:top="388" w:right="1440" w:bottom="1440" w:gutter="0" w:footer="0" w:header="0"/>
        </w:sectPr>
      </w:pPr>
    </w:p>
    <w:bookmarkStart w:id="4" w:name="page5"/>
    <w:bookmarkEnd w:id="4"/>
    <w:p>
      <w:pPr>
        <w:ind w:left="5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2006</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MISTELE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80010</wp:posOffset>
            </wp:positionV>
            <wp:extent cx="2521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M. Mistele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Counsel &amp; COO</w:t>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120"/>
      </w:cols>
      <w:pgMar w:left="240" w:top="28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2"/>
      <w:numFmt w:val="bullet"/>
      <w:start w:val="1"/>
    </w:lvl>
    <w:lvl w:ilvl="1">
      <w:lvlJc w:val="left"/>
      <w:lvlText w:val="(%2)"/>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2019-12-12T04:28:00Z</dcterms:created>
  <dcterms:modified xsi:type="dcterms:W3CDTF">2019-12-12T04:28:00Z</dcterms:modified>
</cp:coreProperties>
</file>