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7" w:lineRule="auto"/>
        <w:rPr>
          <w:sz w:val="20"/>
          <w:szCs w:val="20"/>
          <w:color w:val="auto"/>
        </w:rPr>
      </w:pPr>
      <w:r>
        <w:rPr>
          <w:rFonts w:ascii="Courier New" w:cs="Courier New" w:eastAsia="Courier New" w:hAnsi="Courier New"/>
          <w:sz w:val="18"/>
          <w:szCs w:val="18"/>
          <w:color w:val="auto"/>
        </w:rPr>
        <w:t>Cusip # 200300101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200300101</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7" w:lineRule="auto"/>
        <w:rPr>
          <w:sz w:val="20"/>
          <w:szCs w:val="20"/>
          <w:color w:val="auto"/>
        </w:rPr>
      </w:pPr>
      <w:r>
        <w:rPr>
          <w:rFonts w:ascii="Courier New" w:cs="Courier New" w:eastAsia="Courier New" w:hAnsi="Courier New"/>
          <w:sz w:val="18"/>
          <w:szCs w:val="18"/>
          <w:color w:val="auto"/>
        </w:rPr>
        <w:t>Item 5: 11,000</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2,791,000</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2,791,000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8.78%</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200300101</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2,791,000</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2,791,000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8.78%</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200300101</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2,791,000</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2,791,000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8.78%</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Name of</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1380" w:type="dxa"/>
            <w:vAlign w:val="bottom"/>
          </w:tcPr>
          <w:p>
            <w:pPr>
              <w:spacing w:after="0"/>
              <w:rPr>
                <w:sz w:val="24"/>
                <w:szCs w:val="24"/>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Comcast</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Corporation</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Issuer's Principal Executive Offices:</w:t>
            </w:r>
          </w:p>
        </w:tc>
      </w:tr>
      <w:tr>
        <w:trPr>
          <w:trHeight w:val="405"/>
        </w:trPr>
        <w:tc>
          <w:tcPr>
            <w:tcW w:w="1380" w:type="dxa"/>
            <w:vAlign w:val="bottom"/>
          </w:tcPr>
          <w:p>
            <w:pPr>
              <w:spacing w:after="0"/>
              <w:rPr>
                <w:sz w:val="24"/>
                <w:szCs w:val="24"/>
                <w:color w:val="auto"/>
              </w:rPr>
            </w:pP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1500 Market Street</w:t>
            </w:r>
          </w:p>
        </w:tc>
      </w:tr>
      <w:tr>
        <w:trPr>
          <w:trHeight w:val="203"/>
        </w:trPr>
        <w:tc>
          <w:tcPr>
            <w:tcW w:w="13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Philadelphia, PA  19102-2148</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380" w:type="dxa"/>
            <w:vAlign w:val="bottom"/>
          </w:tcPr>
          <w:p>
            <w:pPr>
              <w:spacing w:after="0"/>
              <w:rPr>
                <w:sz w:val="24"/>
                <w:szCs w:val="24"/>
                <w:color w:val="auto"/>
              </w:rPr>
            </w:pP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FMR Corp.</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7"/>
              </w:rPr>
              <w:t>Address or Principal Business Office or, if None, Residence:</w:t>
            </w:r>
          </w:p>
        </w:tc>
      </w:tr>
      <w:tr>
        <w:trPr>
          <w:trHeight w:val="405"/>
        </w:trPr>
        <w:tc>
          <w:tcPr>
            <w:tcW w:w="1380" w:type="dxa"/>
            <w:vAlign w:val="bottom"/>
          </w:tcPr>
          <w:p>
            <w:pPr>
              <w:spacing w:after="0"/>
              <w:rPr>
                <w:sz w:val="24"/>
                <w:szCs w:val="24"/>
                <w:color w:val="auto"/>
              </w:rPr>
            </w:pP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82 Devonshire Street, Boston, Massachusetts  02109</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1380" w:type="dxa"/>
            <w:vAlign w:val="bottom"/>
          </w:tcPr>
          <w:p>
            <w:pPr>
              <w:spacing w:after="0"/>
              <w:rPr>
                <w:sz w:val="24"/>
                <w:szCs w:val="24"/>
                <w:color w:val="auto"/>
              </w:rPr>
            </w:pP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380" w:type="dxa"/>
            <w:vAlign w:val="bottom"/>
          </w:tcPr>
          <w:p>
            <w:pPr>
              <w:spacing w:after="0"/>
              <w:rPr>
                <w:sz w:val="24"/>
                <w:szCs w:val="24"/>
                <w:color w:val="auto"/>
              </w:rPr>
            </w:pP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Class A common stock</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CUSIP Number:</w:t>
            </w:r>
          </w:p>
        </w:tc>
      </w:tr>
    </w:tbl>
    <w:p>
      <w:pPr>
        <w:sectPr>
          <w:pgSz w:w="11900" w:h="16855" w:orient="portrait"/>
          <w:cols w:equalWidth="0" w:num="1">
            <w:col w:w="10219"/>
          </w:cols>
          <w:pgMar w:left="240" w:top="852"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200300101</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2,791,000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8.78%</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11,000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2,791,000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Class A common stock of Comcast Corporation. The interest of one person, Fidelity Contrafund, an investment company registered under the Investment Company Act of 1940, in the Class A common stock of Comcast Corporation, amounted to 2,165,700 shares or 6.81% of the total outstanding Class A common stock at December 31, 1997.</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Class A common stock of Comcast Corporation at December 31, 1997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1998</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w:t>
      </w:r>
    </w:p>
    <w:p>
      <w:pPr>
        <w:spacing w:after="0"/>
        <w:rPr>
          <w:sz w:val="20"/>
          <w:szCs w:val="20"/>
          <w:color w:val="auto"/>
        </w:rPr>
      </w:pPr>
      <w:r>
        <w:rPr>
          <w:rFonts w:ascii="Courier New" w:cs="Courier New" w:eastAsia="Courier New" w:hAnsi="Courier New"/>
          <w:sz w:val="18"/>
          <w:szCs w:val="18"/>
          <w:color w:val="auto"/>
        </w:rPr>
        <w:t>Attorney</w:t>
      </w:r>
    </w:p>
    <w:p>
      <w:pPr>
        <w:spacing w:after="0" w:line="237" w:lineRule="auto"/>
        <w:rPr>
          <w:sz w:val="20"/>
          <w:szCs w:val="20"/>
          <w:color w:val="auto"/>
        </w:rPr>
      </w:pPr>
      <w:r>
        <w:rPr>
          <w:rFonts w:ascii="Courier New" w:cs="Courier New" w:eastAsia="Courier New" w:hAnsi="Courier New"/>
          <w:sz w:val="18"/>
          <w:szCs w:val="18"/>
          <w:color w:val="auto"/>
        </w:rPr>
        <w:t>dated December 30, 1997, by</w:t>
      </w:r>
    </w:p>
    <w:p>
      <w:pPr>
        <w:spacing w:after="0" w:line="238"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FMR Corp. and its direct</w:t>
      </w:r>
    </w:p>
    <w:p>
      <w:pPr>
        <w:spacing w:after="0" w:line="237" w:lineRule="auto"/>
        <w:rPr>
          <w:sz w:val="20"/>
          <w:szCs w:val="20"/>
          <w:color w:val="auto"/>
        </w:rPr>
      </w:pPr>
      <w:r>
        <w:rPr>
          <w:rFonts w:ascii="Courier New" w:cs="Courier New" w:eastAsia="Courier New" w:hAnsi="Courier New"/>
          <w:sz w:val="18"/>
          <w:szCs w:val="18"/>
          <w:color w:val="auto"/>
        </w:rPr>
        <w:t>and indirect</w:t>
      </w:r>
    </w:p>
    <w:p>
      <w:pPr>
        <w:spacing w:after="0"/>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2,768,500 shares or 8.71% of the Class A common stock outstanding of Comcast Corporation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Contrafund, amounted to 2,165,700 shares or 6.81% of the Class A common stock outstanding. Fidelity Contrafund has its principal business office at 82 Devonshire Street, Boston, Massachusetts 02109.</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2,768,500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12,500 shares or 0.04% of the Class A common stock outstanding of the Company as a result of its serving as investment manager of the institutional account(s).</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12,500 shares and sole power to vote or to direct the voting of 1,000 shares, and no power to vote or to direct the voting of 11,500 shares of Class A common stock owned by the institutional account(s) as reported above.</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10,000 shares or 0.03% of the Class A common stock outstanding of the Company. Additional information with respect to the beneficial ownership of Fidelity International Limited is shown on Exhibit B, page 1.</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10,000</w:t>
      </w:r>
    </w:p>
    <w:p>
      <w:pPr>
        <w:spacing w:after="0" w:line="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shares or 0.03% of the Class A common stock outstanding of Comcast Corporation.</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FIL has the sole power to vote and the sole power to dispose of 10,000</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1998, agree and consent to the joint filing on their behalf of this Schedule 13G in connection with their beneficial ownership of the Class A common stock of Comcast Corporation at December 31, 1997.</w:t>
      </w:r>
    </w:p>
    <w:p>
      <w:pPr>
        <w:ind w:left="860"/>
        <w:spacing w:after="0"/>
        <w:rPr>
          <w:sz w:val="20"/>
          <w:szCs w:val="20"/>
          <w:color w:val="auto"/>
        </w:rPr>
      </w:pPr>
      <w:r>
        <w:rPr>
          <w:rFonts w:ascii="Courier New" w:cs="Courier New" w:eastAsia="Courier New" w:hAnsi="Courier New"/>
          <w:sz w:val="18"/>
          <w:szCs w:val="18"/>
          <w:color w:val="auto"/>
        </w:rPr>
        <w:t>FMR Corp.</w:t>
      </w:r>
    </w:p>
    <w:p>
      <w:pPr>
        <w:sectPr>
          <w:pgSz w:w="11900" w:h="16838" w:orient="portrait"/>
          <w:cols w:equalWidth="0" w:num="1">
            <w:col w:w="10219"/>
          </w:cols>
          <w:pgMar w:left="240" w:top="541" w:right="1440" w:bottom="0" w:gutter="0" w:footer="0" w:header="0"/>
        </w:sectPr>
      </w:pPr>
    </w:p>
    <w:bookmarkStart w:id="4" w:name="page5"/>
    <w:bookmarkEnd w:id="4"/>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of Power</w:t>
      </w:r>
    </w:p>
    <w:p>
      <w:pPr>
        <w:spacing w:after="0" w:line="237" w:lineRule="auto"/>
        <w:rPr>
          <w:sz w:val="20"/>
          <w:szCs w:val="20"/>
          <w:color w:val="auto"/>
        </w:rPr>
      </w:pPr>
      <w:r>
        <w:rPr>
          <w:rFonts w:ascii="Courier New" w:cs="Courier New" w:eastAsia="Courier New" w:hAnsi="Courier New"/>
          <w:sz w:val="18"/>
          <w:szCs w:val="18"/>
          <w:color w:val="auto"/>
        </w:rPr>
        <w:t>of Attorney</w:t>
      </w:r>
    </w:p>
    <w:p>
      <w:pPr>
        <w:spacing w:after="0" w:line="238" w:lineRule="auto"/>
        <w:rPr>
          <w:sz w:val="20"/>
          <w:szCs w:val="20"/>
          <w:color w:val="auto"/>
        </w:rPr>
      </w:pPr>
      <w:r>
        <w:rPr>
          <w:rFonts w:ascii="Courier New" w:cs="Courier New" w:eastAsia="Courier New" w:hAnsi="Courier New"/>
          <w:sz w:val="18"/>
          <w:szCs w:val="18"/>
          <w:color w:val="auto"/>
        </w:rPr>
        <w:t>dated December 30, 1997, by</w:t>
      </w:r>
    </w:p>
    <w:p>
      <w:pPr>
        <w:spacing w:after="0"/>
        <w:rPr>
          <w:sz w:val="20"/>
          <w:szCs w:val="20"/>
          <w:color w:val="auto"/>
        </w:rPr>
      </w:pPr>
      <w:r>
        <w:rPr>
          <w:rFonts w:ascii="Courier New" w:cs="Courier New" w:eastAsia="Courier New" w:hAnsi="Courier New"/>
          <w:sz w:val="18"/>
          <w:szCs w:val="18"/>
          <w:color w:val="auto"/>
        </w:rPr>
        <w:t>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w:t>
      </w:r>
    </w:p>
    <w:p>
      <w:pPr>
        <w:spacing w:after="0"/>
        <w:rPr>
          <w:sz w:val="20"/>
          <w:szCs w:val="20"/>
          <w:color w:val="auto"/>
        </w:rPr>
      </w:pPr>
      <w:r>
        <w:rPr>
          <w:rFonts w:ascii="Courier New" w:cs="Courier New" w:eastAsia="Courier New" w:hAnsi="Courier New"/>
          <w:sz w:val="18"/>
          <w:szCs w:val="18"/>
          <w:color w:val="auto"/>
        </w:rPr>
        <w:t>and indirect subsidiaries</w:t>
      </w:r>
    </w:p>
    <w:p>
      <w:pPr>
        <w:ind w:left="860"/>
        <w:spacing w:after="0" w:line="237"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7" w:lineRule="auto"/>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w:t>
      </w:r>
    </w:p>
    <w:p>
      <w:pPr>
        <w:spacing w:after="0"/>
        <w:rPr>
          <w:sz w:val="20"/>
          <w:szCs w:val="20"/>
          <w:color w:val="auto"/>
        </w:rPr>
      </w:pPr>
      <w:r>
        <w:rPr>
          <w:rFonts w:ascii="Courier New" w:cs="Courier New" w:eastAsia="Courier New" w:hAnsi="Courier New"/>
          <w:sz w:val="18"/>
          <w:szCs w:val="18"/>
          <w:color w:val="auto"/>
        </w:rPr>
        <w:t>Attorney</w:t>
      </w:r>
    </w:p>
    <w:p>
      <w:pPr>
        <w:spacing w:after="0" w:line="237" w:lineRule="auto"/>
        <w:rPr>
          <w:sz w:val="20"/>
          <w:szCs w:val="20"/>
          <w:color w:val="auto"/>
        </w:rPr>
      </w:pPr>
      <w:r>
        <w:rPr>
          <w:rFonts w:ascii="Courier New" w:cs="Courier New" w:eastAsia="Courier New" w:hAnsi="Courier New"/>
          <w:sz w:val="18"/>
          <w:szCs w:val="18"/>
          <w:color w:val="auto"/>
        </w:rPr>
        <w:t>dated December 30, 1997, by</w:t>
      </w:r>
    </w:p>
    <w:p>
      <w:pPr>
        <w:spacing w:after="0"/>
        <w:rPr>
          <w:sz w:val="20"/>
          <w:szCs w:val="20"/>
          <w:color w:val="auto"/>
        </w:rPr>
      </w:pPr>
      <w:r>
        <w:rPr>
          <w:rFonts w:ascii="Courier New" w:cs="Courier New" w:eastAsia="Courier New" w:hAnsi="Courier New"/>
          <w:sz w:val="18"/>
          <w:szCs w:val="18"/>
          <w:color w:val="auto"/>
        </w:rPr>
        <w:t>and on behalf</w:t>
      </w:r>
    </w:p>
    <w:p>
      <w:pPr>
        <w:spacing w:after="0" w:line="237" w:lineRule="auto"/>
        <w:rPr>
          <w:sz w:val="20"/>
          <w:szCs w:val="20"/>
          <w:color w:val="auto"/>
        </w:rPr>
      </w:pPr>
      <w:r>
        <w:rPr>
          <w:rFonts w:ascii="Courier New" w:cs="Courier New" w:eastAsia="Courier New" w:hAnsi="Courier New"/>
          <w:sz w:val="18"/>
          <w:szCs w:val="18"/>
          <w:color w:val="auto"/>
        </w:rPr>
        <w:t>of Edward C. Johnson 3d</w:t>
      </w:r>
    </w:p>
    <w:p>
      <w:pPr>
        <w:ind w:left="860"/>
        <w:spacing w:after="0"/>
        <w:rPr>
          <w:sz w:val="20"/>
          <w:szCs w:val="20"/>
          <w:color w:val="auto"/>
        </w:rPr>
      </w:pPr>
      <w:r>
        <w:rPr>
          <w:rFonts w:ascii="Courier New" w:cs="Courier New" w:eastAsia="Courier New" w:hAnsi="Courier New"/>
          <w:sz w:val="18"/>
          <w:szCs w:val="18"/>
          <w:color w:val="auto"/>
        </w:rPr>
        <w:t>Abigail P. Johnson</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w:t>
      </w:r>
    </w:p>
    <w:p>
      <w:pPr>
        <w:spacing w:after="0" w:line="237" w:lineRule="auto"/>
        <w:rPr>
          <w:sz w:val="20"/>
          <w:szCs w:val="20"/>
          <w:color w:val="auto"/>
        </w:rPr>
      </w:pPr>
      <w:r>
        <w:rPr>
          <w:rFonts w:ascii="Courier New" w:cs="Courier New" w:eastAsia="Courier New" w:hAnsi="Courier New"/>
          <w:sz w:val="18"/>
          <w:szCs w:val="18"/>
          <w:color w:val="auto"/>
        </w:rPr>
        <w:t>Attorney</w:t>
      </w:r>
    </w:p>
    <w:p>
      <w:pPr>
        <w:spacing w:after="0"/>
        <w:rPr>
          <w:sz w:val="20"/>
          <w:szCs w:val="20"/>
          <w:color w:val="auto"/>
        </w:rPr>
      </w:pPr>
      <w:r>
        <w:rPr>
          <w:rFonts w:ascii="Courier New" w:cs="Courier New" w:eastAsia="Courier New" w:hAnsi="Courier New"/>
          <w:sz w:val="18"/>
          <w:szCs w:val="18"/>
          <w:color w:val="auto"/>
        </w:rPr>
        <w:t>dated December 30, 1997, by</w:t>
      </w:r>
    </w:p>
    <w:p>
      <w:pPr>
        <w:spacing w:after="0" w:line="237"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Abigail P. Johnson</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V.P. and General Counsel</w:t>
      </w:r>
    </w:p>
    <w:p>
      <w:pPr>
        <w:ind w:left="860"/>
        <w:spacing w:after="0" w:line="237" w:lineRule="auto"/>
        <w:rPr>
          <w:sz w:val="20"/>
          <w:szCs w:val="20"/>
          <w:color w:val="auto"/>
        </w:rPr>
      </w:pPr>
      <w:r>
        <w:rPr>
          <w:rFonts w:ascii="Courier New" w:cs="Courier New" w:eastAsia="Courier New" w:hAnsi="Courier New"/>
          <w:sz w:val="18"/>
          <w:szCs w:val="18"/>
          <w:color w:val="auto"/>
        </w:rPr>
        <w:t>Fidelity Contrafund</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rPr>
          <w:sz w:val="20"/>
          <w:szCs w:val="20"/>
          <w:color w:val="auto"/>
        </w:rPr>
      </w:pPr>
      <w:r>
        <w:rPr>
          <w:rFonts w:ascii="Courier New" w:cs="Courier New" w:eastAsia="Courier New" w:hAnsi="Courier New"/>
          <w:sz w:val="18"/>
          <w:szCs w:val="18"/>
          <w:color w:val="auto"/>
        </w:rPr>
        <w:t>Eric D. Roiter</w:t>
      </w:r>
    </w:p>
    <w:p>
      <w:pPr>
        <w:spacing w:after="0" w:line="237"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2019-12-12T06:04:04Z</dcterms:created>
  <dcterms:modified xsi:type="dcterms:W3CDTF">2019-12-12T06:04:04Z</dcterms:modified>
</cp:coreProperties>
</file>