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Pepper Hamilton LLP</w:t>
      </w:r>
    </w:p>
    <w:p>
      <w:pPr>
        <w:spacing w:after="0" w:line="238" w:lineRule="auto"/>
        <w:rPr>
          <w:sz w:val="20"/>
          <w:szCs w:val="20"/>
          <w:color w:val="auto"/>
        </w:rPr>
      </w:pPr>
      <w:r>
        <w:rPr>
          <w:rFonts w:ascii="Arial" w:cs="Arial" w:eastAsia="Arial" w:hAnsi="Arial"/>
          <w:sz w:val="22"/>
          <w:szCs w:val="22"/>
          <w:color w:val="auto"/>
        </w:rPr>
        <w:t>3000 Two Logan Square</w:t>
      </w:r>
    </w:p>
    <w:p>
      <w:pPr>
        <w:spacing w:after="0" w:line="231" w:lineRule="auto"/>
        <w:rPr>
          <w:sz w:val="20"/>
          <w:szCs w:val="20"/>
          <w:color w:val="auto"/>
        </w:rPr>
      </w:pPr>
      <w:r>
        <w:rPr>
          <w:rFonts w:ascii="Arial" w:cs="Arial" w:eastAsia="Arial" w:hAnsi="Arial"/>
          <w:sz w:val="22"/>
          <w:szCs w:val="22"/>
          <w:color w:val="auto"/>
        </w:rPr>
        <w:t>Eighteenth and Arch Streets</w:t>
      </w:r>
    </w:p>
    <w:p>
      <w:pPr>
        <w:spacing w:after="0" w:line="231" w:lineRule="auto"/>
        <w:rPr>
          <w:sz w:val="20"/>
          <w:szCs w:val="20"/>
          <w:color w:val="auto"/>
        </w:rPr>
      </w:pPr>
      <w:r>
        <w:rPr>
          <w:rFonts w:ascii="Arial" w:cs="Arial" w:eastAsia="Arial" w:hAnsi="Arial"/>
          <w:sz w:val="22"/>
          <w:szCs w:val="22"/>
          <w:color w:val="auto"/>
        </w:rPr>
        <w:t>Philadelphia, PA 19103-2799</w:t>
      </w:r>
    </w:p>
    <w:p>
      <w:pPr>
        <w:spacing w:after="0" w:line="230" w:lineRule="auto"/>
        <w:rPr>
          <w:sz w:val="20"/>
          <w:szCs w:val="20"/>
          <w:color w:val="auto"/>
        </w:rPr>
      </w:pPr>
      <w:r>
        <w:rPr>
          <w:rFonts w:ascii="Arial" w:cs="Arial" w:eastAsia="Arial" w:hAnsi="Arial"/>
          <w:sz w:val="22"/>
          <w:szCs w:val="22"/>
          <w:color w:val="auto"/>
        </w:rPr>
        <w:t>215.981.4000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215.981.4750</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November 5,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Via Facsimile and EDGAR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450 Fifth Street, N.W.</w:t>
      </w:r>
    </w:p>
    <w:p>
      <w:pPr>
        <w:spacing w:after="0"/>
        <w:rPr>
          <w:sz w:val="20"/>
          <w:szCs w:val="20"/>
          <w:color w:val="auto"/>
        </w:rPr>
      </w:pPr>
      <w:r>
        <w:rPr>
          <w:rFonts w:ascii="Arial" w:cs="Arial" w:eastAsia="Arial" w:hAnsi="Arial"/>
          <w:sz w:val="22"/>
          <w:szCs w:val="22"/>
          <w:color w:val="auto"/>
        </w:rPr>
        <w:t>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Attention: Larry Spirgel (Mail Stop 0407)</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Arial" w:cs="Arial" w:eastAsia="Arial" w:hAnsi="Arial"/>
                <w:sz w:val="22"/>
                <w:szCs w:val="22"/>
                <w:color w:val="auto"/>
              </w:rPr>
              <w:t>Re:</w:t>
            </w:r>
          </w:p>
        </w:tc>
        <w:tc>
          <w:tcPr>
            <w:tcW w:w="2260" w:type="dxa"/>
            <w:vAlign w:val="bottom"/>
          </w:tcPr>
          <w:p>
            <w:pPr>
              <w:spacing w:after="0"/>
              <w:rPr>
                <w:sz w:val="20"/>
                <w:szCs w:val="20"/>
                <w:color w:val="auto"/>
              </w:rPr>
            </w:pPr>
            <w:r>
              <w:rPr>
                <w:rFonts w:ascii="Arial" w:cs="Arial" w:eastAsia="Arial" w:hAnsi="Arial"/>
                <w:sz w:val="22"/>
                <w:szCs w:val="22"/>
                <w:color w:val="auto"/>
              </w:rPr>
              <w:t>Comcast Corporation</w:t>
            </w:r>
          </w:p>
        </w:tc>
      </w:tr>
      <w:tr>
        <w:trPr>
          <w:trHeight w:val="243"/>
        </w:trPr>
        <w:tc>
          <w:tcPr>
            <w:tcW w:w="1140" w:type="dxa"/>
            <w:vAlign w:val="bottom"/>
          </w:tcPr>
          <w:p>
            <w:pPr>
              <w:spacing w:after="0"/>
              <w:rPr>
                <w:sz w:val="21"/>
                <w:szCs w:val="21"/>
                <w:color w:val="auto"/>
              </w:rPr>
            </w:pPr>
          </w:p>
        </w:tc>
        <w:tc>
          <w:tcPr>
            <w:tcW w:w="2260" w:type="dxa"/>
            <w:vAlign w:val="bottom"/>
          </w:tcPr>
          <w:p>
            <w:pPr>
              <w:spacing w:after="0" w:line="243" w:lineRule="exact"/>
              <w:rPr>
                <w:sz w:val="20"/>
                <w:szCs w:val="20"/>
                <w:color w:val="auto"/>
              </w:rPr>
            </w:pPr>
            <w:r>
              <w:rPr>
                <w:rFonts w:ascii="Arial" w:cs="Arial" w:eastAsia="Arial" w:hAnsi="Arial"/>
                <w:sz w:val="22"/>
                <w:szCs w:val="22"/>
                <w:color w:val="auto"/>
              </w:rPr>
              <w:t>Form S-3</w:t>
            </w:r>
          </w:p>
        </w:tc>
      </w:tr>
      <w:tr>
        <w:trPr>
          <w:trHeight w:val="243"/>
        </w:trPr>
        <w:tc>
          <w:tcPr>
            <w:tcW w:w="1140" w:type="dxa"/>
            <w:vAlign w:val="bottom"/>
          </w:tcPr>
          <w:p>
            <w:pPr>
              <w:spacing w:after="0"/>
              <w:rPr>
                <w:sz w:val="21"/>
                <w:szCs w:val="21"/>
                <w:color w:val="auto"/>
              </w:rPr>
            </w:pPr>
          </w:p>
        </w:tc>
        <w:tc>
          <w:tcPr>
            <w:tcW w:w="2260" w:type="dxa"/>
            <w:vAlign w:val="bottom"/>
          </w:tcPr>
          <w:p>
            <w:pPr>
              <w:spacing w:after="0" w:line="243" w:lineRule="exact"/>
              <w:rPr>
                <w:sz w:val="20"/>
                <w:szCs w:val="20"/>
                <w:color w:val="auto"/>
              </w:rPr>
            </w:pPr>
            <w:r>
              <w:rPr>
                <w:rFonts w:ascii="Arial" w:cs="Arial" w:eastAsia="Arial" w:hAnsi="Arial"/>
                <w:sz w:val="22"/>
                <w:szCs w:val="22"/>
                <w:color w:val="auto"/>
                <w:w w:val="88"/>
              </w:rPr>
              <w:t>Filed September 21, 2004</w:t>
            </w:r>
          </w:p>
        </w:tc>
      </w:tr>
      <w:tr>
        <w:trPr>
          <w:trHeight w:val="224"/>
        </w:trPr>
        <w:tc>
          <w:tcPr>
            <w:tcW w:w="1140" w:type="dxa"/>
            <w:vAlign w:val="bottom"/>
          </w:tcPr>
          <w:p>
            <w:pPr>
              <w:spacing w:after="0"/>
              <w:rPr>
                <w:sz w:val="19"/>
                <w:szCs w:val="19"/>
                <w:color w:val="auto"/>
              </w:rPr>
            </w:pPr>
          </w:p>
        </w:tc>
        <w:tc>
          <w:tcPr>
            <w:tcW w:w="226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9"/>
              </w:rPr>
              <w:t>SEC File No. 333-119161</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160" w:firstLine="428"/>
        <w:spacing w:after="0" w:line="282" w:lineRule="auto"/>
        <w:rPr>
          <w:sz w:val="20"/>
          <w:szCs w:val="20"/>
          <w:color w:val="auto"/>
        </w:rPr>
      </w:pPr>
      <w:r>
        <w:rPr>
          <w:rFonts w:ascii="Arial" w:cs="Arial" w:eastAsia="Arial" w:hAnsi="Arial"/>
          <w:sz w:val="19"/>
          <w:szCs w:val="19"/>
          <w:color w:val="auto"/>
        </w:rPr>
        <w:t>This letter responds to comments by the staff of the Securities and Exchange Commission (the “Commission”) contained in the letter (the “Comment Letter”) dated November 1, 2004, from Larry Spirgel, Assistant Director of the Division of Corporation Finance, to Arthur R. Block, Senior Vice President of Comcast Corporation (the “Company”). The responses set forth below are numbered to correspond to the numbered comments in the Comment Letter. Additionally, the Company is simultaneously filing Amendment No. 2 to the Registration Statement (“Amendment No. 2”) in response to the Comment Letter.</w:t>
      </w:r>
    </w:p>
    <w:p>
      <w:pPr>
        <w:spacing w:after="0" w:line="148" w:lineRule="exact"/>
        <w:rPr>
          <w:sz w:val="20"/>
          <w:szCs w:val="20"/>
          <w:color w:val="auto"/>
        </w:rPr>
      </w:pPr>
    </w:p>
    <w:p>
      <w:pPr>
        <w:ind w:firstLine="440"/>
        <w:spacing w:after="0" w:line="252" w:lineRule="auto"/>
        <w:tabs>
          <w:tab w:leader="none" w:pos="648" w:val="left"/>
        </w:tabs>
        <w:numPr>
          <w:ilvl w:val="0"/>
          <w:numId w:val="1"/>
        </w:numPr>
        <w:rPr>
          <w:rFonts w:ascii="Arial" w:cs="Arial" w:eastAsia="Arial" w:hAnsi="Arial"/>
          <w:sz w:val="21"/>
          <w:szCs w:val="21"/>
          <w:color w:val="auto"/>
        </w:rPr>
      </w:pPr>
      <w:r>
        <w:rPr>
          <w:rFonts w:ascii="Arial" w:cs="Arial" w:eastAsia="Arial" w:hAnsi="Arial"/>
          <w:sz w:val="21"/>
          <w:szCs w:val="21"/>
          <w:color w:val="auto"/>
        </w:rPr>
        <w:t>The options sold to JP Morgan Chase Bank will have terms commonly found in market traded options. These terms include the automatic exercise of in-the-money options at maturity, detailed anti-dilution adjustment provisions for dividends and adjustment provisions for mergers, tender offers, nationalizations, insolvencies and de-listings, which adjustments are based upon the methods for adjustment suggested by the International Swap and Derivative Association.</w:t>
      </w:r>
    </w:p>
    <w:p>
      <w:pPr>
        <w:spacing w:after="0" w:line="174" w:lineRule="exact"/>
        <w:rPr>
          <w:sz w:val="20"/>
          <w:szCs w:val="20"/>
          <w:color w:val="auto"/>
        </w:rPr>
      </w:pPr>
    </w:p>
    <w:p>
      <w:pPr>
        <w:ind w:firstLine="432"/>
        <w:spacing w:after="0" w:line="328" w:lineRule="auto"/>
        <w:rPr>
          <w:sz w:val="20"/>
          <w:szCs w:val="20"/>
          <w:color w:val="auto"/>
        </w:rPr>
      </w:pPr>
      <w:r>
        <w:rPr>
          <w:rFonts w:ascii="Arial" w:cs="Arial" w:eastAsia="Arial" w:hAnsi="Arial"/>
          <w:sz w:val="19"/>
          <w:szCs w:val="19"/>
          <w:color w:val="auto"/>
        </w:rPr>
        <w:t>Further in compliance with this comment, disclosure has been added to the "Background and Purpose of the Sales Covered by this Prospectus and Related Transactions" and "Arrangements with JPMorgan Chase and J.P. Morgan Securities Inc." sections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Pepper Hamilton LLP</w:t>
      </w:r>
    </w:p>
    <w:p>
      <w:pPr>
        <w:spacing w:after="0" w:line="238" w:lineRule="auto"/>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November 5, 2004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188"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Amendment No. 2 to expand on the terms that are typically found in equity option transactions between sophisticated financial counterparties at arm's length.</w:t>
      </w:r>
    </w:p>
    <w:p>
      <w:pPr>
        <w:spacing w:after="0" w:line="173" w:lineRule="exact"/>
        <w:rPr>
          <w:sz w:val="20"/>
          <w:szCs w:val="20"/>
          <w:color w:val="auto"/>
        </w:rPr>
      </w:pPr>
    </w:p>
    <w:p>
      <w:pPr>
        <w:ind w:right="160" w:firstLine="440"/>
        <w:spacing w:after="0"/>
        <w:tabs>
          <w:tab w:leader="none" w:pos="648"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response to this comment, we have added a new paragraph to the “Plan of Distribution” section of Amendment No. 2 to explain how JP Morgan Chase Bank will adjust its short position to hedge its economic risk with respect to the options that it purchases from the Company.</w:t>
      </w:r>
    </w:p>
    <w:p>
      <w:pPr>
        <w:spacing w:after="0" w:line="186" w:lineRule="exact"/>
        <w:rPr>
          <w:rFonts w:ascii="Arial" w:cs="Arial" w:eastAsia="Arial" w:hAnsi="Arial"/>
          <w:sz w:val="22"/>
          <w:szCs w:val="22"/>
          <w:color w:val="auto"/>
        </w:rPr>
      </w:pPr>
    </w:p>
    <w:p>
      <w:pPr>
        <w:ind w:firstLine="440"/>
        <w:spacing w:after="0" w:line="328" w:lineRule="auto"/>
        <w:tabs>
          <w:tab w:leader="none" w:pos="648" w:val="left"/>
        </w:tabs>
        <w:numPr>
          <w:ilvl w:val="0"/>
          <w:numId w:val="2"/>
        </w:numPr>
        <w:rPr>
          <w:rFonts w:ascii="Arial" w:cs="Arial" w:eastAsia="Arial" w:hAnsi="Arial"/>
          <w:sz w:val="19"/>
          <w:szCs w:val="19"/>
          <w:color w:val="auto"/>
        </w:rPr>
      </w:pPr>
      <w:r>
        <w:rPr>
          <w:rFonts w:ascii="Arial" w:cs="Arial" w:eastAsia="Arial" w:hAnsi="Arial"/>
          <w:sz w:val="19"/>
          <w:szCs w:val="19"/>
          <w:color w:val="auto"/>
        </w:rPr>
        <w:t>In response to this comment, we have incorporated the substance of the final two sentences of our response to comment 5 of our letter dated October 22, 2004 into the third paragraph of the "Plan of Distribution" section of Amendment No. 2.</w:t>
      </w:r>
    </w:p>
    <w:p>
      <w:pPr>
        <w:spacing w:after="0" w:line="105" w:lineRule="exact"/>
        <w:rPr>
          <w:rFonts w:ascii="Arial" w:cs="Arial" w:eastAsia="Arial" w:hAnsi="Arial"/>
          <w:sz w:val="19"/>
          <w:szCs w:val="19"/>
          <w:color w:val="auto"/>
        </w:rPr>
      </w:pPr>
    </w:p>
    <w:p>
      <w:pPr>
        <w:ind w:left="660" w:hanging="220"/>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In response to this comment, we have clarified the disclosure in the "Plan of Distribution" section of Amendment No. 2.</w:t>
      </w:r>
    </w:p>
    <w:p>
      <w:pPr>
        <w:spacing w:after="0" w:line="240" w:lineRule="exact"/>
        <w:rPr>
          <w:rFonts w:ascii="Arial" w:cs="Arial" w:eastAsia="Arial" w:hAnsi="Arial"/>
          <w:sz w:val="19"/>
          <w:szCs w:val="19"/>
          <w:color w:val="auto"/>
        </w:rPr>
      </w:pPr>
    </w:p>
    <w:p>
      <w:pPr>
        <w:ind w:right="940" w:firstLine="440"/>
        <w:spacing w:after="0" w:line="251" w:lineRule="auto"/>
        <w:tabs>
          <w:tab w:leader="none" w:pos="648"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response to this comment, we have added disclosure to the "Plan of Distribution" section and elsewhere within Amendment No. 2 to explain the applicable regulatory requirements.</w:t>
      </w:r>
    </w:p>
    <w:p>
      <w:pPr>
        <w:spacing w:after="0" w:line="173" w:lineRule="exact"/>
        <w:rPr>
          <w:sz w:val="20"/>
          <w:szCs w:val="20"/>
          <w:color w:val="auto"/>
        </w:rPr>
      </w:pPr>
    </w:p>
    <w:p>
      <w:pPr>
        <w:ind w:right="500" w:firstLine="428"/>
        <w:spacing w:after="0" w:line="251" w:lineRule="auto"/>
        <w:rPr>
          <w:sz w:val="20"/>
          <w:szCs w:val="20"/>
          <w:color w:val="auto"/>
        </w:rPr>
      </w:pPr>
      <w:r>
        <w:rPr>
          <w:rFonts w:ascii="Arial" w:cs="Arial" w:eastAsia="Arial" w:hAnsi="Arial"/>
          <w:sz w:val="22"/>
          <w:szCs w:val="22"/>
          <w:color w:val="auto"/>
        </w:rPr>
        <w:t>We look forward to hearing from you at your earliest convenience. Please direct any questions regarding this filing to the undersigned at 215.981.4773.</w:t>
      </w:r>
    </w:p>
    <w:p>
      <w:pPr>
        <w:spacing w:after="0" w:line="173"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1640"/>
        <w:spacing w:after="0"/>
        <w:rPr>
          <w:sz w:val="20"/>
          <w:szCs w:val="20"/>
          <w:color w:val="auto"/>
        </w:rPr>
      </w:pPr>
      <w:r>
        <w:rPr>
          <w:rFonts w:ascii="Arial" w:cs="Arial" w:eastAsia="Arial" w:hAnsi="Arial"/>
          <w:sz w:val="22"/>
          <w:szCs w:val="22"/>
          <w:u w:val="single" w:color="auto"/>
          <w:color w:val="auto"/>
        </w:rPr>
        <w:t>/s/ Robert A. Friedel</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Robert A. Friedel</w:t>
      </w:r>
    </w:p>
    <w:sectPr>
      <w:pgSz w:w="11900" w:h="16838" w:orient="portrait"/>
      <w:cols w:equalWidth="0" w:num="1">
        <w:col w:w="11400"/>
      </w:cols>
      <w:pgMar w:left="240" w:top="33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2019-12-15T05:16:06Z</dcterms:created>
  <dcterms:modified xsi:type="dcterms:W3CDTF">2019-12-15T05:16:06Z</dcterms:modified>
</cp:coreProperties>
</file>