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19, 2014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$1,200,000,000 3.60% NOTES DUE 2024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$1,000,000,000 4.75% NOTES DUE 2044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2"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3.60% Notes due 2024</w:t>
      </w:r>
    </w:p>
    <w:p>
      <w:pPr>
        <w:spacing w:after="0" w:line="154"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ind w:left="2880"/>
        <w:spacing w:after="0"/>
        <w:rPr>
          <w:sz w:val="20"/>
          <w:szCs w:val="20"/>
          <w:color w:val="auto"/>
        </w:rPr>
      </w:pPr>
      <w:r>
        <w:rPr>
          <w:rFonts w:ascii="Arial" w:cs="Arial" w:eastAsia="Arial" w:hAnsi="Arial"/>
          <w:sz w:val="16"/>
          <w:szCs w:val="16"/>
          <w:color w:val="auto"/>
        </w:rPr>
        <w:t>4.75% Notes due 2044</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36"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200"/>
        <w:spacing w:after="0" w:line="276" w:lineRule="auto"/>
        <w:rPr>
          <w:sz w:val="20"/>
          <w:szCs w:val="20"/>
          <w:color w:val="auto"/>
        </w:rPr>
      </w:pPr>
      <w:r>
        <w:rPr>
          <w:rFonts w:ascii="Arial" w:cs="Arial" w:eastAsia="Arial" w:hAnsi="Arial"/>
          <w:sz w:val="17"/>
          <w:szCs w:val="17"/>
          <w:color w:val="auto"/>
        </w:rPr>
        <w:t>The Company intends to use the net proceeds from this offering, after deducting the underwriters’ discount and expenses, for working capital and general corporate purposes, which may include repayment, in April 2014, of our 2.10% notes due 2014 ($900 million principal amount outstanding) and a portion of our outstanding commercial paper. As of February 18, 2014, our commercial paper had a weighted average annual interest rate of approximately 0.31% and a weighted average remaining maturity of approximately 38 days.</w:t>
      </w:r>
    </w:p>
    <w:p>
      <w:pPr>
        <w:spacing w:after="0" w:line="60"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40"/>
        <w:spacing w:after="0" w:line="277" w:lineRule="auto"/>
        <w:rPr>
          <w:sz w:val="20"/>
          <w:szCs w:val="20"/>
          <w:color w:val="auto"/>
        </w:rPr>
      </w:pPr>
      <w:r>
        <w:rPr>
          <w:rFonts w:ascii="Arial" w:cs="Arial" w:eastAsia="Arial" w:hAnsi="Arial"/>
          <w:sz w:val="18"/>
          <w:szCs w:val="18"/>
          <w:color w:val="auto"/>
        </w:rPr>
        <w:t>Indenture dated as of September 18, 2013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ectPr>
          <w:pgSz w:w="11900" w:h="16838" w:orient="portrait"/>
          <w:cols w:equalWidth="0" w:num="2">
            <w:col w:w="2160" w:space="720"/>
            <w:col w:w="854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160" w:space="720"/>
            <w:col w:w="7339"/>
          </w:cols>
          <w:pgMar w:left="240" w:top="270" w:right="1440" w:bottom="1440" w:gutter="0" w:footer="0" w:header="0"/>
        </w:sectPr>
      </w:pPr>
    </w:p>
    <w:p>
      <w:pPr>
        <w:spacing w:after="0"/>
        <w:rPr>
          <w:sz w:val="20"/>
          <w:szCs w:val="20"/>
          <w:color w:val="auto"/>
        </w:rPr>
      </w:pPr>
      <w:r>
        <w:rPr>
          <w:rFonts w:ascii="Arial" w:cs="Arial" w:eastAsia="Arial" w:hAnsi="Arial"/>
          <w:sz w:val="16"/>
          <w:szCs w:val="16"/>
          <w:b w:val="1"/>
          <w:bCs w:val="1"/>
          <w:color w:val="auto"/>
        </w:rPr>
        <w:t>Expected Ratings:</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Moody’s: A3; S&amp;P: A-; Fitch: A-</w:t>
      </w:r>
    </w:p>
    <w:p>
      <w:pPr>
        <w:spacing w:after="0" w:line="125" w:lineRule="exact"/>
        <w:rPr>
          <w:sz w:val="20"/>
          <w:szCs w:val="20"/>
          <w:color w:val="auto"/>
        </w:rPr>
      </w:pPr>
    </w:p>
    <w:p>
      <w:pPr>
        <w:sectPr>
          <w:pgSz w:w="11900" w:h="16838" w:orient="portrait"/>
          <w:cols w:equalWidth="0" w:num="2">
            <w:col w:w="2160" w:space="720"/>
            <w:col w:w="733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2" w:lineRule="exact"/>
        <w:rPr>
          <w:sz w:val="20"/>
          <w:szCs w:val="20"/>
          <w:color w:val="auto"/>
        </w:rPr>
      </w:pPr>
    </w:p>
    <w:p>
      <w:pPr>
        <w:sectPr>
          <w:pgSz w:w="11900" w:h="16838" w:orient="portrait"/>
          <w:cols w:equalWidth="0" w:num="2">
            <w:col w:w="2440" w:space="440"/>
            <w:col w:w="733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Santander Investment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12" w:lineRule="exact"/>
        <w:rPr>
          <w:sz w:val="20"/>
          <w:szCs w:val="20"/>
          <w:color w:val="auto"/>
        </w:rPr>
      </w:pPr>
    </w:p>
    <w:p>
      <w:pPr>
        <w:sectPr>
          <w:pgSz w:w="11900" w:h="16838" w:orient="portrait"/>
          <w:cols w:equalWidth="0" w:num="2">
            <w:col w:w="2160" w:space="720"/>
            <w:col w:w="733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Williams Capital Group,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135" w:lineRule="exact"/>
        <w:rPr>
          <w:sz w:val="20"/>
          <w:szCs w:val="20"/>
          <w:color w:val="auto"/>
        </w:rPr>
      </w:pPr>
    </w:p>
    <w:p>
      <w:pPr>
        <w:sectPr>
          <w:pgSz w:w="11900" w:h="16838" w:orient="portrait"/>
          <w:cols w:equalWidth="0" w:num="2">
            <w:col w:w="2160" w:space="720"/>
            <w:col w:w="733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2014</w:t>
      </w:r>
    </w:p>
    <w:p>
      <w:pPr>
        <w:spacing w:after="0" w:line="136" w:lineRule="exact"/>
        <w:rPr>
          <w:sz w:val="20"/>
          <w:szCs w:val="20"/>
          <w:color w:val="auto"/>
        </w:rPr>
      </w:pPr>
    </w:p>
    <w:p>
      <w:pPr>
        <w:sectPr>
          <w:pgSz w:w="11900" w:h="16838" w:orient="portrait"/>
          <w:cols w:equalWidth="0" w:num="2">
            <w:col w:w="2160" w:space="720"/>
            <w:col w:w="733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26, 2014 (T+5)</w:t>
      </w:r>
    </w:p>
    <w:p>
      <w:pPr>
        <w:spacing w:after="0" w:line="200" w:lineRule="exact"/>
        <w:rPr>
          <w:sz w:val="20"/>
          <w:szCs w:val="20"/>
          <w:color w:val="auto"/>
        </w:rPr>
      </w:pPr>
    </w:p>
    <w:p>
      <w:pPr>
        <w:sectPr>
          <w:pgSz w:w="11900" w:h="16838" w:orient="portrait"/>
          <w:cols w:equalWidth="0" w:num="2">
            <w:col w:w="2160" w:space="720"/>
            <w:col w:w="7339"/>
          </w:cols>
          <w:pgMar w:left="240" w:top="270" w:right="1440" w:bottom="1440" w:gutter="0" w:footer="0" w:header="0"/>
          <w:type w:val="continuous"/>
        </w:sectPr>
      </w:pPr>
    </w:p>
    <w:p>
      <w:pPr>
        <w:spacing w:after="0" w:line="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219"/>
          </w:cols>
          <w:pgMar w:left="240" w:top="27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5"/>
          <w:szCs w:val="15"/>
          <w:b w:val="1"/>
          <w:bCs w:val="1"/>
          <w:color w:val="auto"/>
        </w:rPr>
        <w:t>Recent Developments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On February 12, 2014, Comcast and Time Warner Cable Inc. (“</w:t>
      </w:r>
      <w:r>
        <w:rPr>
          <w:rFonts w:ascii="Arial" w:cs="Arial" w:eastAsia="Arial" w:hAnsi="Arial"/>
          <w:sz w:val="16"/>
          <w:szCs w:val="16"/>
          <w:b w:val="1"/>
          <w:bCs w:val="1"/>
          <w:color w:val="auto"/>
        </w:rPr>
        <w:t>Time Warner Cable</w:t>
      </w:r>
      <w:r>
        <w:rPr>
          <w:rFonts w:ascii="Arial" w:cs="Arial" w:eastAsia="Arial" w:hAnsi="Arial"/>
          <w:sz w:val="16"/>
          <w:szCs w:val="16"/>
          <w:color w:val="auto"/>
        </w:rPr>
        <w:t>”) announced that their Boards of Directors have approved a definitive agreement for Time Warner Cable to merge with Comcast. The agreement is a stock-for-stock transaction in which Comcast will acquire 100% of Time Warner Cable’s common stock for shares of Comcast’s Class A common stock. Each Time Warner Cable share will be exchanged for 2.875 shares of Class A common stock, amounting to approximately $45.2 billion in equity value based on the closing price per share of Class A common stock on February 12, 2014, with Time Warner Cable shareholders owning approximately 23% of Comcast’s common stock. Following the transaction, Time Warner Cable will be a wholly owned subsidiary of Comcast. The merger between Comcast and Time Warner Cable is subject to shareholder approval at both companies and regulatory review and other customary conditions and is expected to close by the end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-1352550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2160" w:space="720"/>
            <w:col w:w="8500"/>
          </w:cols>
          <w:pgMar w:left="240" w:top="270" w:right="279" w:bottom="1440" w:gutter="0" w:footer="0" w:header="0"/>
        </w:sectPr>
      </w:pPr>
    </w:p>
    <w:p>
      <w:pPr>
        <w:ind w:left="2880" w:right="160"/>
        <w:spacing w:after="0" w:line="257" w:lineRule="auto"/>
        <w:rPr>
          <w:sz w:val="20"/>
          <w:szCs w:val="20"/>
          <w:color w:val="auto"/>
        </w:rPr>
      </w:pPr>
      <w:r>
        <w:rPr>
          <w:rFonts w:ascii="Arial" w:cs="Arial" w:eastAsia="Arial" w:hAnsi="Arial"/>
          <w:sz w:val="18"/>
          <w:szCs w:val="18"/>
          <w:color w:val="auto"/>
        </w:rPr>
        <w:t>Through the merger, Comcast will acquire Time Warner Cable’s approximately 11 million managed subscribers. In order to reduce competitive concerns, Comcast is prepared to divest systems serving approximately 3 million managed subscribers. As such, Comcast would, through the acquisition and management of Time Warner Cable systems, net approximately 8 million managed subscribers in this transaction. This would bring Comcast’s managed subscriber total to approximately 30 million.</w:t>
      </w:r>
    </w:p>
    <w:p>
      <w:pPr>
        <w:spacing w:after="0" w:line="94" w:lineRule="exact"/>
        <w:rPr>
          <w:sz w:val="20"/>
          <w:szCs w:val="20"/>
          <w:color w:val="auto"/>
        </w:rPr>
      </w:pPr>
    </w:p>
    <w:p>
      <w:pPr>
        <w:ind w:left="2880" w:right="100"/>
        <w:spacing w:after="0" w:line="342" w:lineRule="auto"/>
        <w:rPr>
          <w:sz w:val="20"/>
          <w:szCs w:val="20"/>
          <w:color w:val="auto"/>
        </w:rPr>
      </w:pPr>
      <w:r>
        <w:rPr>
          <w:rFonts w:ascii="Arial" w:cs="Arial" w:eastAsia="Arial" w:hAnsi="Arial"/>
          <w:sz w:val="16"/>
          <w:szCs w:val="16"/>
          <w:color w:val="auto"/>
        </w:rPr>
        <w:t>According to its publicly available information, as of December 31, 2013, Time Warner Cable had $25.052 billion aggregate outstanding debt and its ratio of earnings to fixed charges for the year ended December 31, 2013 was 2.8x.</w:t>
      </w:r>
    </w:p>
    <w:p>
      <w:pPr>
        <w:sectPr>
          <w:pgSz w:w="11900" w:h="16838" w:orient="portrait"/>
          <w:cols w:equalWidth="0" w:num="1">
            <w:col w:w="11380"/>
          </w:cols>
          <w:pgMar w:left="240" w:top="270" w:right="2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Relationships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Affiliates of Barclays Capital Inc. and J.P. Morgan Securities LLC have acted as financial advisors to the Company in connection with the Time Warner Cable merger for which they received or may in the future receive customary fees and commissions.</w:t>
      </w:r>
    </w:p>
    <w:p>
      <w:pPr>
        <w:sectPr>
          <w:pgSz w:w="11900" w:h="16838" w:orient="portrait"/>
          <w:cols w:equalWidth="0" w:num="2">
            <w:col w:w="2160" w:space="720"/>
            <w:col w:w="8500"/>
          </w:cols>
          <w:pgMar w:left="240" w:top="270"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3.60% Notes Due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-499110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March 1, 2024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3.60% per annum, accruing from February 26, 2014 (calculated on the basis of a 360-day year consisting of twelve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2.75% due February 15,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100-03/2.739%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+93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3.669%</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3.60% Notes due 2024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15 basis points, plus in each case accrued and unpaid interest thereon to the date of redemption</w:t>
      </w:r>
    </w:p>
    <w:p>
      <w:pPr>
        <w:spacing w:after="0" w:line="6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An unlimited amount of additional 3.60% Notes due 2024 may be issued. The 3.60% Notes due 2024 and any additional 3.60% Notes due 2024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BJ9 / US20030NBJ90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99.426% plus accrued interest, if any, from February 26,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98.976% per $1,000 principal amount of Notes due 2024; $1,187,712,000 total</w:t>
      </w:r>
    </w:p>
    <w:p>
      <w:pPr>
        <w:sectPr>
          <w:pgSz w:w="11900" w:h="16838" w:orient="portrait"/>
          <w:cols w:equalWidth="0" w:num="2">
            <w:col w:w="2600" w:space="280"/>
            <w:col w:w="8500"/>
          </w:cols>
          <w:pgMar w:left="240" w:top="27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4.75% Notes Due 2044</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Aggregate Principal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ind w:right="840"/>
        <w:spacing w:after="0" w:line="347" w:lineRule="auto"/>
        <w:rPr>
          <w:sz w:val="20"/>
          <w:szCs w:val="20"/>
          <w:color w:val="auto"/>
        </w:rPr>
      </w:pPr>
      <w:r>
        <w:rPr>
          <w:rFonts w:ascii="Arial" w:cs="Arial" w:eastAsia="Arial" w:hAnsi="Arial"/>
          <w:sz w:val="16"/>
          <w:szCs w:val="16"/>
          <w:b w:val="1"/>
          <w:bCs w:val="1"/>
          <w:color w:val="auto"/>
        </w:rPr>
        <w:t>Benchmark Treasury Price/Yield: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-430530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March 1, 2044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4.75% per annum, accruing from February 26, 2014 (calculated on the basis of a 360-day year consisting of twelve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3.75% due November 15, 2043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100-25/ 3.706%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+110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4.806%</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4.75% Notes due 2044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20 basis points, plus in each case accrued and unpaid interest thereon to the date of redemption</w:t>
      </w:r>
    </w:p>
    <w:p>
      <w:pPr>
        <w:spacing w:after="0" w:line="6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An unlimited amount of additional 4.75% Notes due 2044 may be issued. The 4.75% Notes due 2044 and any additional 4.75% Notes due 2044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BK6/ US20030NBK63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99.114% plus accrued interest, if any, from February 26,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0.75%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98.364% per $1,000 principal amount of Notes due 2044; $983,640,000 total</w:t>
      </w:r>
    </w:p>
    <w:p>
      <w:pPr>
        <w:sectPr>
          <w:pgSz w:w="11900" w:h="16838" w:orient="portrait"/>
          <w:cols w:equalWidth="0" w:num="2">
            <w:col w:w="2480" w:space="400"/>
            <w:col w:w="8500"/>
          </w:cols>
          <w:pgMar w:left="240" w:top="270" w:right="279" w:bottom="1440" w:gutter="0" w:footer="0" w:header="0"/>
        </w:sectPr>
      </w:pPr>
    </w:p>
    <w:bookmarkStart w:id="5" w:name="page6"/>
    <w:bookmarkEnd w:id="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February 26, 2014,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BNP Paribas Securities Corp. at 1-800-547-5674, Merrill Lynch, Pierce, Fenner &amp; Smith Incorporated at 1-800-294-1322, RBC Capital Markets, LLC at 1-866-375-6829 or Wells Fargo Securities, LLC at 1-800-326-5897.</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2019-12-07T02:45:45Z</dcterms:created>
  <dcterms:modified xsi:type="dcterms:W3CDTF">2019-12-07T02:45:45Z</dcterms:modified>
</cp:coreProperties>
</file>