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Proxy Statement Pursuant to Section 14(a) of</w:t>
      </w:r>
    </w:p>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|_|</w:t>
      </w:r>
    </w:p>
    <w:p>
      <w:pPr>
        <w:spacing w:after="0" w:line="238" w:lineRule="auto"/>
        <w:rPr>
          <w:sz w:val="20"/>
          <w:szCs w:val="20"/>
          <w:color w:val="auto"/>
        </w:rPr>
      </w:pPr>
      <w:r>
        <w:rPr>
          <w:rFonts w:ascii="Courier New" w:cs="Courier New" w:eastAsia="Courier New" w:hAnsi="Courier New"/>
          <w:sz w:val="18"/>
          <w:szCs w:val="18"/>
          <w:color w:val="auto"/>
        </w:rPr>
        <w:t>Filed by a Party other than the Registrant |X|</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ectPr>
          <w:pgSz w:w="11900" w:h="16838" w:orient="portrait"/>
          <w:cols w:equalWidth="0" w:num="1">
            <w:col w:w="10219"/>
          </w:cols>
          <w:pgMar w:left="240" w:top="649" w:right="1440" w:bottom="254"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|_| Preliminary Proxy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 Definitive Proxy Statement</w:t>
      </w:r>
    </w:p>
    <w:p>
      <w:pPr>
        <w:spacing w:after="0" w:line="238" w:lineRule="auto"/>
        <w:rPr>
          <w:sz w:val="20"/>
          <w:szCs w:val="20"/>
          <w:color w:val="auto"/>
        </w:rPr>
      </w:pPr>
      <w:r>
        <w:rPr>
          <w:rFonts w:ascii="Courier New" w:cs="Courier New" w:eastAsia="Courier New" w:hAnsi="Courier New"/>
          <w:sz w:val="18"/>
          <w:szCs w:val="18"/>
          <w:color w:val="auto"/>
        </w:rPr>
        <w:t>|_| Definitive Additional Materials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 Soliciting Material Under Rule 14a-12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ind w:right="1779"/>
        <w:spacing w:after="0" w:line="236" w:lineRule="auto"/>
        <w:rPr>
          <w:sz w:val="20"/>
          <w:szCs w:val="20"/>
          <w:color w:val="auto"/>
        </w:rPr>
      </w:pPr>
      <w:r>
        <w:rPr>
          <w:rFonts w:ascii="Courier New" w:cs="Courier New" w:eastAsia="Courier New" w:hAnsi="Courier New"/>
          <w:sz w:val="18"/>
          <w:szCs w:val="18"/>
          <w:color w:val="auto"/>
        </w:rPr>
        <w:t>Confidential, For Use of the Commission Only (as permitted by Rule 14a-6(e)(2))</w:t>
      </w:r>
    </w:p>
    <w:p>
      <w:pPr>
        <w:spacing w:after="0" w:line="590" w:lineRule="exact"/>
        <w:rPr>
          <w:sz w:val="24"/>
          <w:szCs w:val="24"/>
          <w:color w:val="auto"/>
        </w:rPr>
      </w:pPr>
    </w:p>
    <w:p>
      <w:pPr>
        <w:sectPr>
          <w:pgSz w:w="11900" w:h="16838" w:orient="portrait"/>
          <w:cols w:equalWidth="0" w:num="3">
            <w:col w:w="4320" w:space="420"/>
            <w:col w:w="320" w:space="220"/>
            <w:col w:w="4939"/>
          </w:cols>
          <w:pgMar w:left="240" w:top="649" w:right="1440" w:bottom="254" w:gutter="0" w:footer="0" w:header="0"/>
          <w:type w:val="continuous"/>
        </w:sectPr>
      </w:pPr>
    </w:p>
    <w:p>
      <w:pPr>
        <w:spacing w:after="0" w:line="22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AT&amp;T Corp.</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ind w:left="540"/>
        <w:spacing w:after="0" w:line="238" w:lineRule="auto"/>
        <w:rPr>
          <w:sz w:val="20"/>
          <w:szCs w:val="20"/>
          <w:color w:val="auto"/>
        </w:rPr>
      </w:pPr>
      <w:r>
        <w:rPr>
          <w:rFonts w:ascii="Courier New" w:cs="Courier New" w:eastAsia="Courier New" w:hAnsi="Courier New"/>
          <w:sz w:val="18"/>
          <w:szCs w:val="18"/>
          <w:color w:val="auto"/>
        </w:rPr>
        <w:t>|X| No fee required.</w:t>
      </w:r>
    </w:p>
    <w:p>
      <w:pPr>
        <w:spacing w:after="0" w:line="5" w:lineRule="exact"/>
        <w:rPr>
          <w:sz w:val="24"/>
          <w:szCs w:val="24"/>
          <w:color w:val="auto"/>
        </w:rPr>
      </w:pPr>
    </w:p>
    <w:p>
      <w:pPr>
        <w:ind w:left="960" w:right="2319" w:hanging="420"/>
        <w:spacing w:after="0" w:line="235" w:lineRule="auto"/>
        <w:rPr>
          <w:sz w:val="20"/>
          <w:szCs w:val="20"/>
          <w:color w:val="auto"/>
        </w:rPr>
      </w:pPr>
      <w:r>
        <w:rPr>
          <w:rFonts w:ascii="Courier New" w:cs="Courier New" w:eastAsia="Courier New" w:hAnsi="Courier New"/>
          <w:sz w:val="18"/>
          <w:szCs w:val="18"/>
          <w:color w:val="auto"/>
        </w:rPr>
        <w:t>|_| Fee computed on table below per Exchange Act Rules 14a-6(i)(1) and 0-11.</w:t>
      </w:r>
    </w:p>
    <w:p>
      <w:pPr>
        <w:ind w:left="960" w:hanging="425"/>
        <w:spacing w:after="0"/>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199" w:firstLine="535"/>
        <w:spacing w:after="0" w:line="236" w:lineRule="auto"/>
        <w:tabs>
          <w:tab w:leader="none" w:pos="9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Fee paid previously with preliminary materials.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Check box if any part of the fee is offset as provided by Exchange Act</w:t>
      </w:r>
    </w:p>
    <w:p>
      <w:pPr>
        <w:spacing w:after="0" w:line="5" w:lineRule="exact"/>
        <w:rPr>
          <w:sz w:val="24"/>
          <w:szCs w:val="24"/>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960" w:hanging="425"/>
        <w:spacing w:after="0"/>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following presentation was used by Comcast at its analyst meeting: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and AT&amp;T Broadband:</w:t>
      </w:r>
    </w:p>
    <w:p>
      <w:pPr>
        <w:spacing w:after="0" w:line="238" w:lineRule="auto"/>
        <w:rPr>
          <w:sz w:val="20"/>
          <w:szCs w:val="20"/>
          <w:color w:val="auto"/>
        </w:rPr>
      </w:pPr>
      <w:r>
        <w:rPr>
          <w:rFonts w:ascii="Courier New" w:cs="Courier New" w:eastAsia="Courier New" w:hAnsi="Courier New"/>
          <w:sz w:val="18"/>
          <w:szCs w:val="18"/>
          <w:color w:val="auto"/>
        </w:rPr>
        <w:t>Creating the New Broadband Leader</w:t>
      </w:r>
    </w:p>
    <w:p>
      <w:pPr>
        <w:sectPr>
          <w:pgSz w:w="11900" w:h="16838" w:orient="portrait"/>
          <w:cols w:equalWidth="0" w:num="1">
            <w:col w:w="10219"/>
          </w:cols>
          <w:pgMar w:left="240" w:top="649" w:right="1440" w:bottom="254"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July 9, 2001</w:t>
      </w:r>
    </w:p>
    <w:p>
      <w:pPr>
        <w:sectPr>
          <w:pgSz w:w="11900" w:h="16838" w:orient="portrait"/>
          <w:cols w:equalWidth="0" w:num="1">
            <w:col w:w="10219"/>
          </w:cols>
          <w:pgMar w:left="240" w:top="34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Safe Harbor</w:t>
      </w:r>
    </w:p>
    <w:p>
      <w:pPr>
        <w:spacing w:after="0" w:line="238" w:lineRule="auto"/>
        <w:rPr>
          <w:sz w:val="20"/>
          <w:szCs w:val="20"/>
          <w:color w:val="auto"/>
        </w:rPr>
      </w:pPr>
      <w:r>
        <w:rPr>
          <w:rFonts w:ascii="Courier New" w:cs="Courier New" w:eastAsia="Courier New" w:hAnsi="Courier New"/>
          <w:sz w:val="18"/>
          <w:szCs w:val="18"/>
          <w:color w:val="auto"/>
        </w:rPr>
        <w:t>Caution Concerning Forward-Looking Statements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This presentation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AT&amp;T Broadband may not be integrated successfully or such integration may be more difficult, time-consuming or costly than expected; (2) expected combination benefits from the transaction may not be fully realized or realized within the expected time frame; (3) revenues following the transaction may be lower than expected; (4) operating costs, customer loss and business disruption, including, without limitation, difficulties in maintaining relationships with employees, customers, clients or suppliers, may be greater than expected following the transaction; (5) the regulatory approvals required for the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Comcast's services; (11) Comcast's ability to expand its distribution; (12) changes in labor, programming, equipment and capital costs; (13) Comcast's continued ability to create or acquire programming and products that customers will find attractive; (14) future acquisitions, strategic partnerships and divestitures; (15) general business and economic conditions; and (16) other risks described from time to time in Comcast's periodic reports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3" w:name="page4"/>
    <w:bookmarkEnd w:id="3"/>
    <w:p>
      <w:pPr>
        <w:jc w:val="center"/>
        <w:ind w:right="2979"/>
        <w:spacing w:after="0"/>
        <w:rPr>
          <w:sz w:val="20"/>
          <w:szCs w:val="20"/>
          <w:color w:val="auto"/>
        </w:rPr>
      </w:pPr>
      <w:r>
        <w:rPr>
          <w:rFonts w:ascii="Courier New" w:cs="Courier New" w:eastAsia="Courier New" w:hAnsi="Courier New"/>
          <w:sz w:val="18"/>
          <w:szCs w:val="18"/>
          <w:color w:val="auto"/>
        </w:rPr>
        <w:t>Brian L. Roberts</w:t>
      </w:r>
    </w:p>
    <w:p>
      <w:pPr>
        <w:spacing w:after="0" w:line="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President, Comcast Corporation</w:t>
      </w:r>
    </w:p>
    <w:p>
      <w:pPr>
        <w:sectPr>
          <w:pgSz w:w="11900" w:h="16838" w:orient="portrait"/>
          <w:cols w:equalWidth="0" w:num="1">
            <w:col w:w="9019"/>
          </w:cols>
          <w:pgMar w:left="1440" w:top="112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Terms of the Proposed Transaction</w:t>
      </w:r>
    </w:p>
    <w:p>
      <w:pPr>
        <w:spacing w:after="0" w:line="201"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between Comcast and AT&amp;T Broadband</w:t>
      </w:r>
    </w:p>
    <w:p>
      <w:pPr>
        <w:spacing w:after="0" w:line="206" w:lineRule="exact"/>
        <w:rPr>
          <w:rFonts w:ascii="Courier New" w:cs="Courier New" w:eastAsia="Courier New" w:hAnsi="Courier New"/>
          <w:sz w:val="18"/>
          <w:szCs w:val="18"/>
          <w:color w:val="auto"/>
        </w:rPr>
      </w:pPr>
    </w:p>
    <w:p>
      <w:pPr>
        <w:ind w:left="540" w:right="2419" w:hanging="532"/>
        <w:spacing w:after="0" w:line="23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Values AT&amp;T Broadband at $58 billion, including assumed debt of $13.5 billion</w:t>
      </w:r>
    </w:p>
    <w:p>
      <w:pPr>
        <w:spacing w:after="0" w:line="208" w:lineRule="exact"/>
        <w:rPr>
          <w:rFonts w:ascii="Courier New" w:cs="Courier New" w:eastAsia="Courier New" w:hAnsi="Courier New"/>
          <w:sz w:val="18"/>
          <w:szCs w:val="18"/>
          <w:color w:val="auto"/>
        </w:rPr>
      </w:pPr>
    </w:p>
    <w:p>
      <w:pPr>
        <w:ind w:left="1060" w:right="199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oPrepared to acquire AT&amp;T's interests in TWE, Cablevision and Rainbow Media by assuming more debt and issuing more equity to reflect their values</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shareholders will own a majority of the economic and voting interests in NewCo</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Comcast will issue 1.0525 billion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free to AT&amp;T and all AT&amp;T shareholders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AT&amp;T Shareholders:</w:t>
      </w:r>
    </w:p>
    <w:p>
      <w:pPr>
        <w:ind w:left="960"/>
        <w:spacing w:after="0" w:line="238" w:lineRule="auto"/>
        <w:rPr>
          <w:sz w:val="20"/>
          <w:szCs w:val="20"/>
          <w:color w:val="auto"/>
        </w:rPr>
      </w:pPr>
      <w:r>
        <w:rPr>
          <w:rFonts w:ascii="Courier New" w:cs="Courier New" w:eastAsia="Courier New" w:hAnsi="Courier New"/>
          <w:sz w:val="18"/>
          <w:szCs w:val="18"/>
          <w:color w:val="auto"/>
        </w:rPr>
        <w:t>A Better Alternative... Now!</w:t>
      </w:r>
    </w:p>
    <w:p>
      <w:pPr>
        <w:spacing w:after="0" w:line="202" w:lineRule="exact"/>
        <w:rPr>
          <w:sz w:val="20"/>
          <w:szCs w:val="20"/>
          <w:color w:val="auto"/>
        </w:rPr>
      </w:pPr>
    </w:p>
    <w:p>
      <w:pPr>
        <w:ind w:left="1060" w:hanging="525"/>
        <w:spacing w:after="0"/>
        <w:tabs>
          <w:tab w:leader="none" w:pos="1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Delivers a premium value for AT&amp;T's broadband assets</w:t>
      </w:r>
    </w:p>
    <w:p>
      <w:pPr>
        <w:spacing w:after="0" w:line="206" w:lineRule="exact"/>
        <w:rPr>
          <w:rFonts w:ascii="Courier New" w:cs="Courier New" w:eastAsia="Courier New" w:hAnsi="Courier New"/>
          <w:sz w:val="18"/>
          <w:szCs w:val="18"/>
          <w:color w:val="auto"/>
        </w:rPr>
      </w:pPr>
    </w:p>
    <w:p>
      <w:pPr>
        <w:ind w:left="1580" w:right="209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o$12.60 of value per AT&amp;T share; which represents 75% of AT&amp;T's per share market price(1)</w:t>
      </w:r>
    </w:p>
    <w:p>
      <w:pPr>
        <w:spacing w:after="0" w:line="208"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Provides additional upside from significant cost savings and synergy opportunities</w:t>
      </w:r>
    </w:p>
    <w:p>
      <w:pPr>
        <w:spacing w:after="0" w:line="208" w:lineRule="exact"/>
        <w:rPr>
          <w:rFonts w:ascii="Courier New" w:cs="Courier New" w:eastAsia="Courier New" w:hAnsi="Courier New"/>
          <w:sz w:val="18"/>
          <w:szCs w:val="18"/>
          <w:color w:val="auto"/>
        </w:rPr>
      </w:pPr>
    </w:p>
    <w:p>
      <w:pPr>
        <w:ind w:left="1060" w:right="2419" w:hanging="525"/>
        <w:spacing w:after="0" w:line="235" w:lineRule="auto"/>
        <w:tabs>
          <w:tab w:leader="none" w:pos="1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Eliminates risks, costs and uncertainties inherent in creating a broadband tracking stock</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Consistent with goals of AT&amp;T's existing restructuring plan</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2199" w:firstLine="8"/>
        <w:spacing w:after="0" w:line="235"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AT&amp;T's per share market price based on AT&amp;T when-issued closing price of $16.80 as of 7/06/01</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19"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Creating the New Broadband Leader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Benefits to Comcast and AT&amp;T shareholders:</w:t>
      </w:r>
    </w:p>
    <w:p>
      <w:pPr>
        <w:spacing w:after="0" w:line="201"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largest broadband company</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Powerful platform for growth</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Opportunity to launch new products and build new programming assets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ongoing cost savings and synergies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Industry leading management team with proven integration success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Financially strong with solid investment grade balance sheet</w:t>
      </w:r>
    </w:p>
    <w:p>
      <w:pPr>
        <w:spacing w:after="0" w:line="206" w:lineRule="exact"/>
        <w:rPr>
          <w:rFonts w:ascii="Courier New" w:cs="Courier New" w:eastAsia="Courier New" w:hAnsi="Courier New"/>
          <w:sz w:val="18"/>
          <w:szCs w:val="18"/>
          <w:color w:val="auto"/>
        </w:rPr>
      </w:pPr>
    </w:p>
    <w:p>
      <w:pPr>
        <w:ind w:left="540" w:right="2739" w:hanging="532"/>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Creates one of the world's leading media, content and distribution platforms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19" w:right="1440" w:bottom="1440" w:gutter="0" w:footer="0" w:header="0"/>
        </w:sectPr>
      </w:pPr>
    </w:p>
    <w:bookmarkStart w:id="7" w:name="page8"/>
    <w:bookmarkEnd w:id="7"/>
    <w:p>
      <w:pPr>
        <w:ind w:left="2640"/>
        <w:spacing w:after="0"/>
        <w:rPr>
          <w:sz w:val="20"/>
          <w:szCs w:val="20"/>
          <w:color w:val="auto"/>
        </w:rPr>
      </w:pPr>
      <w:r>
        <w:rPr>
          <w:rFonts w:ascii="Courier New" w:cs="Courier New" w:eastAsia="Courier New" w:hAnsi="Courier New"/>
          <w:sz w:val="18"/>
          <w:szCs w:val="18"/>
          <w:color w:val="auto"/>
        </w:rPr>
        <w:t>The Largest Broadband Company</w:t>
      </w:r>
    </w:p>
    <w:p>
      <w:pPr>
        <w:spacing w:after="0" w:line="200" w:lineRule="exact"/>
        <w:rPr>
          <w:sz w:val="20"/>
          <w:szCs w:val="20"/>
          <w:color w:val="auto"/>
        </w:rPr>
      </w:pPr>
    </w:p>
    <w:p>
      <w:pPr>
        <w:spacing w:after="0" w:line="204"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Twice the revenues of the next</w:t>
      </w:r>
    </w:p>
    <w:p>
      <w:pPr>
        <w:jc w:val="center"/>
        <w:ind w:right="1979"/>
        <w:spacing w:after="0" w:line="238" w:lineRule="auto"/>
        <w:rPr>
          <w:sz w:val="20"/>
          <w:szCs w:val="20"/>
          <w:color w:val="auto"/>
        </w:rPr>
      </w:pPr>
      <w:r>
        <w:rPr>
          <w:rFonts w:ascii="Courier New" w:cs="Courier New" w:eastAsia="Courier New" w:hAnsi="Courier New"/>
          <w:sz w:val="18"/>
          <w:szCs w:val="18"/>
          <w:color w:val="auto"/>
        </w:rPr>
        <w:t>largest competitor</w:t>
      </w:r>
    </w:p>
    <w:p>
      <w:pPr>
        <w:spacing w:after="0" w:line="200" w:lineRule="exact"/>
        <w:rPr>
          <w:sz w:val="20"/>
          <w:szCs w:val="20"/>
          <w:color w:val="auto"/>
        </w:rPr>
      </w:pPr>
    </w:p>
    <w:p>
      <w:pPr>
        <w:spacing w:after="0" w:line="204"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8"/>
          <w:szCs w:val="18"/>
          <w:color w:val="auto"/>
        </w:rPr>
        <w:t>[Cluster Chart detailing 2001E Cable Revenue* by corporation:</w:t>
      </w:r>
    </w:p>
    <w:p>
      <w:pPr>
        <w:spacing w:after="0" w:line="201"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NewCo</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14.9</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($Bn)</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Time Warner Cable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($Bn)</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DirectTV</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($Bn)</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Charter</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($Bn)</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Cox</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($Bn)</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EchoStar</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($Bn)</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Adelphia</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($Bn)</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Cablevision</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($Bn)]</w:t>
            </w:r>
          </w:p>
        </w:tc>
      </w:tr>
    </w:tbl>
    <w:p>
      <w:pPr>
        <w:spacing w:after="0" w:line="200" w:lineRule="exact"/>
        <w:rPr>
          <w:sz w:val="20"/>
          <w:szCs w:val="20"/>
          <w:color w:val="auto"/>
        </w:rPr>
      </w:pPr>
    </w:p>
    <w:p>
      <w:pPr>
        <w:spacing w:after="0" w:line="209" w:lineRule="exact"/>
        <w:rPr>
          <w:sz w:val="20"/>
          <w:szCs w:val="20"/>
          <w:color w:val="auto"/>
        </w:rPr>
      </w:pPr>
    </w:p>
    <w:p>
      <w:pPr>
        <w:ind w:right="2939" w:firstLine="8"/>
        <w:spacing w:after="0" w:line="235" w:lineRule="auto"/>
        <w:tabs>
          <w:tab w:leader="none" w:pos="21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Statistics include video, residential telephony and high speed data businesses. Source: Wall Street estimates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19" w:right="1440" w:bottom="1440" w:gutter="0" w:footer="0" w:header="0"/>
        </w:sectPr>
      </w:pPr>
    </w:p>
    <w:bookmarkStart w:id="8" w:name="page9"/>
    <w:bookmarkEnd w:id="8"/>
    <w:p>
      <w:pPr>
        <w:ind w:left="2640"/>
        <w:spacing w:after="0"/>
        <w:rPr>
          <w:sz w:val="20"/>
          <w:szCs w:val="20"/>
          <w:color w:val="auto"/>
        </w:rPr>
      </w:pPr>
      <w:r>
        <w:rPr>
          <w:rFonts w:ascii="Courier New" w:cs="Courier New" w:eastAsia="Courier New" w:hAnsi="Courier New"/>
          <w:sz w:val="18"/>
          <w:szCs w:val="18"/>
          <w:color w:val="auto"/>
        </w:rPr>
        <w:t>The Largest Broadband Company</w:t>
      </w:r>
    </w:p>
    <w:p>
      <w:pPr>
        <w:spacing w:after="0" w:line="200" w:lineRule="exact"/>
        <w:rPr>
          <w:sz w:val="20"/>
          <w:szCs w:val="20"/>
          <w:color w:val="auto"/>
        </w:rPr>
      </w:pPr>
    </w:p>
    <w:p>
      <w:pPr>
        <w:spacing w:after="0" w:line="204"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Nearly twice as many subscribers</w:t>
      </w:r>
    </w:p>
    <w:p>
      <w:pPr>
        <w:jc w:val="center"/>
        <w:ind w:right="1979"/>
        <w:spacing w:after="0" w:line="238" w:lineRule="auto"/>
        <w:rPr>
          <w:sz w:val="20"/>
          <w:szCs w:val="20"/>
          <w:color w:val="auto"/>
        </w:rPr>
      </w:pPr>
      <w:r>
        <w:rPr>
          <w:rFonts w:ascii="Courier New" w:cs="Courier New" w:eastAsia="Courier New" w:hAnsi="Courier New"/>
          <w:sz w:val="18"/>
          <w:szCs w:val="18"/>
          <w:color w:val="auto"/>
        </w:rPr>
        <w:t>as the next largest competitor</w:t>
      </w:r>
    </w:p>
    <w:p>
      <w:pPr>
        <w:spacing w:after="0" w:line="200" w:lineRule="exact"/>
        <w:rPr>
          <w:sz w:val="20"/>
          <w:szCs w:val="20"/>
          <w:color w:val="auto"/>
        </w:rPr>
      </w:pPr>
    </w:p>
    <w:p>
      <w:pPr>
        <w:spacing w:after="0" w:line="204" w:lineRule="exact"/>
        <w:rPr>
          <w:sz w:val="20"/>
          <w:szCs w:val="20"/>
          <w:color w:val="auto"/>
        </w:rPr>
      </w:pPr>
    </w:p>
    <w:p>
      <w:pPr>
        <w:jc w:val="right"/>
        <w:ind w:right="2939"/>
        <w:spacing w:after="0"/>
        <w:rPr>
          <w:sz w:val="20"/>
          <w:szCs w:val="20"/>
          <w:color w:val="auto"/>
        </w:rPr>
      </w:pPr>
      <w:r>
        <w:rPr>
          <w:rFonts w:ascii="Courier New" w:cs="Courier New" w:eastAsia="Courier New" w:hAnsi="Courier New"/>
          <w:sz w:val="18"/>
          <w:szCs w:val="18"/>
          <w:color w:val="auto"/>
        </w:rPr>
        <w:t>[Cluster Chart detailing 2001E Subscribers* by corporation:</w:t>
      </w:r>
    </w:p>
    <w:p>
      <w:pPr>
        <w:spacing w:after="0" w:line="201"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NewCo</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21.9</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(MM)</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Time Warner Cable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(MM)</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DirectTV</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(MM)</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Charter</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(MM)</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Cox</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(MM)</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EchoStar</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(MM)</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Adelphia</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(MM)</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Cablevision</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(MM)]</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Wall Street estimates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19" w:right="1440" w:bottom="1440" w:gutter="0" w:footer="0" w:header="0"/>
        </w:sectPr>
      </w:pPr>
    </w:p>
    <w:bookmarkStart w:id="9" w:name="page10"/>
    <w:bookmarkEnd w:id="9"/>
    <w:p>
      <w:pPr>
        <w:ind w:left="2740"/>
        <w:spacing w:after="0"/>
        <w:rPr>
          <w:sz w:val="20"/>
          <w:szCs w:val="20"/>
          <w:color w:val="auto"/>
        </w:rPr>
      </w:pPr>
      <w:r>
        <w:rPr>
          <w:rFonts w:ascii="Courier New" w:cs="Courier New" w:eastAsia="Courier New" w:hAnsi="Courier New"/>
          <w:sz w:val="18"/>
          <w:szCs w:val="18"/>
          <w:color w:val="auto"/>
        </w:rPr>
        <w:t>Powerful National Presence</w:t>
      </w:r>
    </w:p>
    <w:p>
      <w:pPr>
        <w:spacing w:after="0" w:line="201"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 in 41 states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85% of subscribers in top 50 DMAs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[Chart of the continental United States indicating national presence of NewCo.]</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Company data and 2001 Cable TV Fact Book</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19"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Powerful Major Market Presence</w:t>
            </w: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608"/>
        </w:trPr>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80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Top 20 DMAs</w:t>
            </w:r>
          </w:p>
        </w:tc>
        <w:tc>
          <w:tcPr>
            <w:tcW w:w="20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NewCo Subs in 000's</w:t>
            </w:r>
          </w:p>
        </w:tc>
      </w:tr>
      <w:tr>
        <w:trPr>
          <w:trHeight w:val="203"/>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8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New York, NY</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670</w:t>
            </w:r>
          </w:p>
        </w:tc>
      </w:tr>
      <w:tr>
        <w:trPr>
          <w:trHeight w:val="203"/>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2.</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 Angeles, CA</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530</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o</w:t>
            </w:r>
          </w:p>
        </w:tc>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Leader in 8 of top</w:t>
            </w: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3.</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Chicago, IL</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1,750</w:t>
            </w:r>
          </w:p>
        </w:tc>
      </w:tr>
      <w:tr>
        <w:trPr>
          <w:trHeight w:val="203"/>
        </w:trPr>
        <w:tc>
          <w:tcPr>
            <w:tcW w:w="320" w:type="dxa"/>
            <w:vAlign w:val="bottom"/>
          </w:tcPr>
          <w:p>
            <w:pPr>
              <w:spacing w:after="0"/>
              <w:rPr>
                <w:sz w:val="17"/>
                <w:szCs w:val="17"/>
                <w:color w:val="auto"/>
              </w:rPr>
            </w:pPr>
          </w:p>
        </w:tc>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 DMAs</w:t>
            </w: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4.</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Philadelphia, PA</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1,790</w:t>
            </w:r>
          </w:p>
        </w:tc>
      </w:tr>
      <w:tr>
        <w:trPr>
          <w:trHeight w:val="203"/>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5.</w:t>
            </w:r>
          </w:p>
        </w:tc>
        <w:tc>
          <w:tcPr>
            <w:tcW w:w="3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San Francisco-Oakland-San Jose, CA</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1,830</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o</w:t>
            </w:r>
          </w:p>
        </w:tc>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70% of NewCo</w:t>
            </w: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Boston, MA</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1,680</w:t>
            </w:r>
          </w:p>
        </w:tc>
      </w:tr>
      <w:tr>
        <w:trPr>
          <w:trHeight w:val="203"/>
        </w:trPr>
        <w:tc>
          <w:tcPr>
            <w:tcW w:w="320" w:type="dxa"/>
            <w:vAlign w:val="bottom"/>
          </w:tcPr>
          <w:p>
            <w:pPr>
              <w:spacing w:after="0"/>
              <w:rPr>
                <w:sz w:val="17"/>
                <w:szCs w:val="17"/>
                <w:color w:val="auto"/>
              </w:rPr>
            </w:pPr>
          </w:p>
        </w:tc>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subscribers in top</w:t>
            </w: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Dallas-Fort Worth, TX</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560</w:t>
            </w:r>
          </w:p>
        </w:tc>
      </w:tr>
      <w:tr>
        <w:trPr>
          <w:trHeight w:val="203"/>
        </w:trPr>
        <w:tc>
          <w:tcPr>
            <w:tcW w:w="320" w:type="dxa"/>
            <w:vAlign w:val="bottom"/>
          </w:tcPr>
          <w:p>
            <w:pPr>
              <w:spacing w:after="0"/>
              <w:rPr>
                <w:sz w:val="17"/>
                <w:szCs w:val="17"/>
                <w:color w:val="auto"/>
              </w:rPr>
            </w:pPr>
          </w:p>
        </w:tc>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 DMAs</w:t>
            </w: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Washington, DC</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860</w:t>
            </w:r>
          </w:p>
        </w:tc>
      </w:tr>
      <w:tr>
        <w:trPr>
          <w:trHeight w:val="203"/>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9.</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Detroit, MI</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830</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o</w:t>
            </w:r>
          </w:p>
        </w:tc>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Greater than 45%</w:t>
            </w: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10.</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Atlanta, GA</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680</w:t>
            </w:r>
          </w:p>
        </w:tc>
      </w:tr>
      <w:tr>
        <w:trPr>
          <w:trHeight w:val="203"/>
        </w:trPr>
        <w:tc>
          <w:tcPr>
            <w:tcW w:w="320" w:type="dxa"/>
            <w:vAlign w:val="bottom"/>
          </w:tcPr>
          <w:p>
            <w:pPr>
              <w:spacing w:after="0"/>
              <w:rPr>
                <w:sz w:val="17"/>
                <w:szCs w:val="17"/>
                <w:color w:val="auto"/>
              </w:rPr>
            </w:pPr>
          </w:p>
        </w:tc>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market share in 14</w:t>
            </w: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11.</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Houston, TX</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2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of the top 20 DMAs</w:t>
            </w: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12.</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Seattle-Tacoma, WA</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960</w:t>
            </w:r>
          </w:p>
        </w:tc>
      </w:tr>
      <w:tr>
        <w:trPr>
          <w:trHeight w:val="203"/>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13.</w:t>
            </w:r>
          </w:p>
        </w:tc>
        <w:tc>
          <w:tcPr>
            <w:tcW w:w="3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Tampa/St. Petersburg-Sarasota, FL</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w:t>
            </w:r>
          </w:p>
        </w:tc>
      </w:tr>
      <w:tr>
        <w:trPr>
          <w:trHeight w:val="203"/>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14.</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Minneapolis-St. Paul, MN</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w:t>
            </w:r>
          </w:p>
        </w:tc>
      </w:tr>
      <w:tr>
        <w:trPr>
          <w:trHeight w:val="203"/>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15.</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Cleveland, OH</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r>
      <w:tr>
        <w:trPr>
          <w:trHeight w:val="203"/>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16.</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Miami/Ft Lauderdale, FL</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780</w:t>
            </w:r>
          </w:p>
        </w:tc>
      </w:tr>
      <w:tr>
        <w:trPr>
          <w:trHeight w:val="203"/>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17.</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Phoenix, AZ</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18.</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Denver, CO</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620</w:t>
            </w:r>
          </w:p>
        </w:tc>
      </w:tr>
      <w:tr>
        <w:trPr>
          <w:trHeight w:val="203"/>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19.</w:t>
            </w:r>
          </w:p>
        </w:tc>
        <w:tc>
          <w:tcPr>
            <w:tcW w:w="3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Sacramento-Stockton-Modesto, CA</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w:t>
            </w:r>
          </w:p>
        </w:tc>
      </w:tr>
      <w:tr>
        <w:trPr>
          <w:trHeight w:val="203"/>
        </w:trPr>
        <w:tc>
          <w:tcPr>
            <w:tcW w:w="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20.</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Pittsburgh, PA</w:t>
            </w:r>
          </w:p>
        </w:tc>
        <w:tc>
          <w:tcPr>
            <w:tcW w:w="1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Wall Street estimates, Cable Fact Book, Company figures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19" w:right="1440" w:bottom="1440" w:gutter="0" w:footer="0" w:header="0"/>
        </w:sectPr>
      </w:pPr>
    </w:p>
    <w:bookmarkStart w:id="11" w:name="page12"/>
    <w:bookmarkEnd w:id="11"/>
    <w:p>
      <w:pPr>
        <w:ind w:left="2632"/>
        <w:spacing w:after="0"/>
        <w:rPr>
          <w:sz w:val="20"/>
          <w:szCs w:val="20"/>
          <w:color w:val="auto"/>
        </w:rPr>
      </w:pPr>
      <w:r>
        <w:rPr>
          <w:rFonts w:ascii="Courier New" w:cs="Courier New" w:eastAsia="Courier New" w:hAnsi="Courier New"/>
          <w:sz w:val="18"/>
          <w:szCs w:val="18"/>
          <w:color w:val="auto"/>
        </w:rPr>
        <w:t>Powerful Platform for Growth</w:t>
      </w:r>
    </w:p>
    <w:p>
      <w:pPr>
        <w:spacing w:after="0" w:line="201" w:lineRule="exact"/>
        <w:rPr>
          <w:sz w:val="20"/>
          <w:szCs w:val="20"/>
          <w:color w:val="auto"/>
        </w:rPr>
      </w:pPr>
    </w:p>
    <w:p>
      <w:pPr>
        <w:ind w:left="2732"/>
        <w:spacing w:after="0"/>
        <w:rPr>
          <w:sz w:val="20"/>
          <w:szCs w:val="20"/>
          <w:color w:val="auto"/>
        </w:rPr>
      </w:pPr>
      <w:r>
        <w:rPr>
          <w:rFonts w:ascii="Courier New" w:cs="Courier New" w:eastAsia="Courier New" w:hAnsi="Courier New"/>
          <w:sz w:val="18"/>
          <w:szCs w:val="18"/>
          <w:color w:val="auto"/>
        </w:rPr>
        <w:t>Benefits of scale and scope:</w:t>
      </w:r>
    </w:p>
    <w:p>
      <w:pPr>
        <w:spacing w:after="0" w:line="200" w:lineRule="exact"/>
        <w:rPr>
          <w:sz w:val="20"/>
          <w:szCs w:val="20"/>
          <w:color w:val="auto"/>
        </w:rPr>
      </w:pPr>
    </w:p>
    <w:p>
      <w:pPr>
        <w:spacing w:after="0" w:line="204" w:lineRule="exact"/>
        <w:rPr>
          <w:sz w:val="20"/>
          <w:szCs w:val="20"/>
          <w:color w:val="auto"/>
        </w:rPr>
      </w:pPr>
    </w:p>
    <w:p>
      <w:pPr>
        <w:ind w:left="532" w:hanging="532"/>
        <w:spacing w:after="0"/>
        <w:tabs>
          <w:tab w:leader="none" w:pos="53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 new programming content</w:t>
      </w:r>
    </w:p>
    <w:p>
      <w:pPr>
        <w:spacing w:after="0" w:line="20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Deploy new products and services, including next generation telephony</w:t>
      </w:r>
    </w:p>
    <w:p>
      <w:pPr>
        <w:spacing w:after="0" w:line="218"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Establishes national advertising platform</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Internet opportunities</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Growth and value creation from operating efficiencies</w:t>
      </w:r>
    </w:p>
    <w:p>
      <w:pPr>
        <w:spacing w:after="0" w:line="200" w:lineRule="exact"/>
        <w:rPr>
          <w:sz w:val="20"/>
          <w:szCs w:val="20"/>
          <w:color w:val="auto"/>
        </w:rPr>
      </w:pPr>
    </w:p>
    <w:p>
      <w:pPr>
        <w:spacing w:after="0" w:line="204"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1"/>
          </w:cols>
          <w:pgMar w:left="248" w:top="919" w:right="1440" w:bottom="1440" w:gutter="0" w:footer="0" w:header="0"/>
        </w:sectPr>
      </w:pPr>
    </w:p>
    <w:bookmarkStart w:id="12" w:name="page13"/>
    <w:bookmarkEnd w:id="12"/>
    <w:p>
      <w:pPr>
        <w:ind w:left="2180"/>
        <w:spacing w:after="0"/>
        <w:rPr>
          <w:sz w:val="20"/>
          <w:szCs w:val="20"/>
          <w:color w:val="auto"/>
        </w:rPr>
      </w:pPr>
      <w:r>
        <w:rPr>
          <w:rFonts w:ascii="Courier New" w:cs="Courier New" w:eastAsia="Courier New" w:hAnsi="Courier New"/>
          <w:sz w:val="18"/>
          <w:szCs w:val="18"/>
          <w:color w:val="auto"/>
        </w:rPr>
        <w:t>Stephen B. Burke</w:t>
      </w:r>
    </w:p>
    <w:p>
      <w:pPr>
        <w:ind w:left="250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Comcast Cable Communications</w:t>
      </w:r>
    </w:p>
    <w:p>
      <w:pPr>
        <w:sectPr>
          <w:pgSz w:w="11900" w:h="16838" w:orient="portrait"/>
          <w:cols w:equalWidth="0" w:num="1">
            <w:col w:w="9019"/>
          </w:cols>
          <w:pgMar w:left="1440" w:top="1122"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Opportunity for Value Creation</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Substantial EBITDA margin improvement opportunity</w:t>
      </w:r>
    </w:p>
    <w:p>
      <w:pPr>
        <w:spacing w:after="0" w:line="200" w:lineRule="exact"/>
        <w:rPr>
          <w:sz w:val="20"/>
          <w:szCs w:val="20"/>
          <w:color w:val="auto"/>
        </w:rPr>
      </w:pPr>
    </w:p>
    <w:p>
      <w:pPr>
        <w:spacing w:after="0" w:line="209"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[Overlap Chart representing Comcast Broadband and AT&amp;T Broadband*</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EBITDA Margins by quarter:</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1000" w:type="dxa"/>
            <w:vAlign w:val="bottom"/>
          </w:tcPr>
          <w:p>
            <w:pPr>
              <w:ind w:left="360"/>
              <w:spacing w:after="0"/>
              <w:rPr>
                <w:sz w:val="20"/>
                <w:szCs w:val="20"/>
                <w:color w:val="auto"/>
              </w:rPr>
            </w:pPr>
            <w:r>
              <w:rPr>
                <w:rFonts w:ascii="Courier New" w:cs="Courier New" w:eastAsia="Courier New" w:hAnsi="Courier New"/>
                <w:sz w:val="18"/>
                <w:szCs w:val="18"/>
                <w:color w:val="auto"/>
              </w:rPr>
              <w:t>1Q00</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2Q00</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3Q00</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4Q00</w:t>
            </w:r>
          </w:p>
        </w:tc>
        <w:tc>
          <w:tcPr>
            <w:tcW w:w="640" w:type="dxa"/>
            <w:vAlign w:val="bottom"/>
          </w:tcPr>
          <w:p>
            <w:pPr>
              <w:ind w:left="200"/>
              <w:spacing w:after="0"/>
              <w:rPr>
                <w:sz w:val="20"/>
                <w:szCs w:val="20"/>
                <w:color w:val="auto"/>
              </w:rPr>
            </w:pPr>
            <w:r>
              <w:rPr>
                <w:rFonts w:ascii="Courier New" w:cs="Courier New" w:eastAsia="Courier New" w:hAnsi="Courier New"/>
                <w:sz w:val="18"/>
                <w:szCs w:val="18"/>
                <w:color w:val="auto"/>
                <w:w w:val="97"/>
              </w:rPr>
              <w:t>1Q01</w:t>
            </w:r>
          </w:p>
        </w:tc>
      </w:tr>
      <w:tr>
        <w:trPr>
          <w:trHeight w:val="203"/>
        </w:trPr>
        <w:tc>
          <w:tcPr>
            <w:tcW w:w="2160" w:type="dxa"/>
            <w:vAlign w:val="bottom"/>
          </w:tcPr>
          <w:p>
            <w:pPr>
              <w:spacing w:after="0"/>
              <w:rPr>
                <w:sz w:val="17"/>
                <w:szCs w:val="17"/>
                <w:color w:val="auto"/>
              </w:rPr>
            </w:pP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 Broadband</w:t>
            </w:r>
          </w:p>
        </w:tc>
        <w:tc>
          <w:tcPr>
            <w:tcW w:w="1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42%</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44%</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45%</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43%</w:t>
            </w:r>
          </w:p>
        </w:tc>
        <w:tc>
          <w:tcPr>
            <w:tcW w:w="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41%</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AT&amp;T Broadband</w:t>
            </w:r>
          </w:p>
        </w:tc>
        <w:tc>
          <w:tcPr>
            <w:tcW w:w="1000" w:type="dxa"/>
            <w:vAlign w:val="bottom"/>
          </w:tcPr>
          <w:p>
            <w:pPr>
              <w:ind w:left="360"/>
              <w:spacing w:after="0"/>
              <w:rPr>
                <w:sz w:val="20"/>
                <w:szCs w:val="20"/>
                <w:color w:val="auto"/>
              </w:rPr>
            </w:pPr>
            <w:r>
              <w:rPr>
                <w:rFonts w:ascii="Courier New" w:cs="Courier New" w:eastAsia="Courier New" w:hAnsi="Courier New"/>
                <w:sz w:val="18"/>
                <w:szCs w:val="18"/>
                <w:color w:val="auto"/>
              </w:rPr>
              <w:t>22%</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24%</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23%</w:t>
            </w:r>
          </w:p>
        </w:tc>
        <w:tc>
          <w:tcPr>
            <w:tcW w:w="840" w:type="dxa"/>
            <w:vAlign w:val="bottom"/>
          </w:tcPr>
          <w:p>
            <w:pPr>
              <w:ind w:left="200"/>
              <w:spacing w:after="0"/>
              <w:rPr>
                <w:sz w:val="20"/>
                <w:szCs w:val="20"/>
                <w:color w:val="auto"/>
              </w:rPr>
            </w:pPr>
            <w:r>
              <w:rPr>
                <w:rFonts w:ascii="Courier New" w:cs="Courier New" w:eastAsia="Courier New" w:hAnsi="Courier New"/>
                <w:sz w:val="18"/>
                <w:szCs w:val="18"/>
                <w:color w:val="auto"/>
              </w:rPr>
              <w:t>20%</w:t>
            </w:r>
          </w:p>
        </w:tc>
        <w:tc>
          <w:tcPr>
            <w:tcW w:w="640" w:type="dxa"/>
            <w:vAlign w:val="bottom"/>
          </w:tcPr>
          <w:p>
            <w:pPr>
              <w:ind w:left="200"/>
              <w:spacing w:after="0"/>
              <w:rPr>
                <w:sz w:val="20"/>
                <w:szCs w:val="20"/>
                <w:color w:val="auto"/>
              </w:rPr>
            </w:pPr>
            <w:r>
              <w:rPr>
                <w:rFonts w:ascii="Courier New" w:cs="Courier New" w:eastAsia="Courier New" w:hAnsi="Courier New"/>
                <w:sz w:val="18"/>
                <w:szCs w:val="18"/>
                <w:color w:val="auto"/>
                <w:w w:val="97"/>
              </w:rPr>
              <w:t>18%]</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margins include corporate overhead allocation.</w:t>
      </w:r>
    </w:p>
    <w:p>
      <w:pPr>
        <w:spacing w:after="0" w:line="4" w:lineRule="exact"/>
        <w:rPr>
          <w:sz w:val="20"/>
          <w:szCs w:val="20"/>
          <w:color w:val="auto"/>
        </w:rPr>
      </w:pPr>
    </w:p>
    <w:p>
      <w:pPr>
        <w:ind w:right="3479" w:firstLine="8"/>
        <w:spacing w:after="0" w:line="235" w:lineRule="auto"/>
        <w:tabs>
          <w:tab w:leader="none" w:pos="21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margins exclude restructuring and other charges Source: Company Reports</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19"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Cost Savings and</w:t>
      </w:r>
    </w:p>
    <w:tbl>
      <w:tblPr>
        <w:tblLayout w:type="fixed"/>
        <w:tblInd w:w="0" w:type="dxa"/>
        <w:tblCellMar>
          <w:top w:w="0" w:type="dxa"/>
          <w:left w:w="0" w:type="dxa"/>
          <w:bottom w:w="0" w:type="dxa"/>
          <w:right w:w="0" w:type="dxa"/>
        </w:tblCellMar>
      </w:tblP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Synergy Opportunities</w:t>
            </w:r>
          </w:p>
        </w:tc>
        <w:tc>
          <w:tcPr>
            <w:tcW w:w="1420" w:type="dxa"/>
            <w:vAlign w:val="bottom"/>
          </w:tcPr>
          <w:p>
            <w:pPr>
              <w:spacing w:after="0"/>
              <w:rPr>
                <w:sz w:val="17"/>
                <w:szCs w:val="17"/>
                <w:color w:val="auto"/>
              </w:rPr>
            </w:pPr>
          </w:p>
        </w:tc>
      </w:tr>
      <w:tr>
        <w:trPr>
          <w:trHeight w:val="405"/>
        </w:trPr>
        <w:tc>
          <w:tcPr>
            <w:tcW w:w="6280" w:type="dxa"/>
            <w:vAlign w:val="bottom"/>
          </w:tcPr>
          <w:p>
            <w:pPr>
              <w:ind w:left="2640"/>
              <w:spacing w:after="0"/>
              <w:rPr>
                <w:sz w:val="20"/>
                <w:szCs w:val="20"/>
                <w:color w:val="auto"/>
              </w:rPr>
            </w:pPr>
            <w:r>
              <w:rPr>
                <w:rFonts w:ascii="Courier New" w:cs="Courier New" w:eastAsia="Courier New" w:hAnsi="Courier New"/>
                <w:sz w:val="18"/>
                <w:szCs w:val="18"/>
                <w:color w:val="auto"/>
              </w:rPr>
              <w:t>Potential margin improvement</w:t>
            </w:r>
          </w:p>
        </w:tc>
        <w:tc>
          <w:tcPr>
            <w:tcW w:w="1420" w:type="dxa"/>
            <w:vAlign w:val="bottom"/>
          </w:tcPr>
          <w:p>
            <w:pPr>
              <w:spacing w:after="0"/>
              <w:rPr>
                <w:sz w:val="24"/>
                <w:szCs w:val="24"/>
                <w:color w:val="auto"/>
              </w:rPr>
            </w:pP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Comcast margin(1)</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41%</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AT&amp;T Broadband margin(1)</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628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Difference</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AT&amp;T 2001LQA Broadband revenues(2)</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x $10Bn</w:t>
            </w:r>
          </w:p>
        </w:tc>
      </w:tr>
      <w:tr>
        <w:trPr>
          <w:trHeight w:val="203"/>
        </w:trPr>
        <w:tc>
          <w:tcPr>
            <w:tcW w:w="628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Potential margin improvement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$2.3Bn</w:t>
            </w:r>
          </w:p>
        </w:tc>
      </w:tr>
    </w:tbl>
    <w:p>
      <w:pPr>
        <w:spacing w:after="0" w:line="200" w:lineRule="exact"/>
        <w:rPr>
          <w:sz w:val="20"/>
          <w:szCs w:val="20"/>
          <w:color w:val="auto"/>
        </w:rPr>
      </w:pPr>
    </w:p>
    <w:p>
      <w:pPr>
        <w:spacing w:after="0" w:line="209" w:lineRule="exact"/>
        <w:rPr>
          <w:sz w:val="20"/>
          <w:szCs w:val="20"/>
          <w:color w:val="auto"/>
        </w:rPr>
      </w:pPr>
    </w:p>
    <w:p>
      <w:pPr>
        <w:ind w:right="1879" w:firstLine="8"/>
        <w:spacing w:after="0" w:line="235" w:lineRule="auto"/>
        <w:tabs>
          <w:tab w:leader="none" w:pos="42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Margin figures are based on 1Q01 publicly available information and include corporate overhead allocation.</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Annualized 1Q01 AT&amp;T Broadband revenues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19"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Cost Savings and</w:t>
      </w:r>
    </w:p>
    <w:p>
      <w:pPr>
        <w:ind w:left="540"/>
        <w:spacing w:after="0" w:line="238" w:lineRule="auto"/>
        <w:rPr>
          <w:sz w:val="20"/>
          <w:szCs w:val="20"/>
          <w:color w:val="auto"/>
        </w:rPr>
      </w:pPr>
      <w:r>
        <w:rPr>
          <w:rFonts w:ascii="Courier New" w:cs="Courier New" w:eastAsia="Courier New" w:hAnsi="Courier New"/>
          <w:sz w:val="18"/>
          <w:szCs w:val="18"/>
          <w:color w:val="auto"/>
        </w:rPr>
        <w:t>Synergy Opportunities</w:t>
      </w:r>
    </w:p>
    <w:p>
      <w:pPr>
        <w:spacing w:after="0" w:line="202" w:lineRule="exact"/>
        <w:rPr>
          <w:sz w:val="20"/>
          <w:szCs w:val="20"/>
          <w:color w:val="auto"/>
        </w:rPr>
      </w:pPr>
    </w:p>
    <w:p>
      <w:pPr>
        <w:jc w:val="right"/>
        <w:ind w:right="4519"/>
        <w:spacing w:after="0"/>
        <w:rPr>
          <w:sz w:val="20"/>
          <w:szCs w:val="20"/>
          <w:color w:val="auto"/>
        </w:rPr>
      </w:pPr>
      <w:r>
        <w:rPr>
          <w:rFonts w:ascii="Courier New" w:cs="Courier New" w:eastAsia="Courier New" w:hAnsi="Courier New"/>
          <w:sz w:val="18"/>
          <w:szCs w:val="18"/>
          <w:color w:val="auto"/>
        </w:rPr>
        <w:t>Sources of margin improvement</w:t>
      </w:r>
    </w:p>
    <w:p>
      <w:pPr>
        <w:spacing w:after="0" w:line="201"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Core cable operating efficiencies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Productivity improvements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overhead reduction</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Improved telephone economics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19"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Cost Savings and</w:t>
      </w:r>
    </w:p>
    <w:p>
      <w:pPr>
        <w:ind w:left="540"/>
        <w:spacing w:after="0" w:line="238" w:lineRule="auto"/>
        <w:rPr>
          <w:sz w:val="20"/>
          <w:szCs w:val="20"/>
          <w:color w:val="auto"/>
        </w:rPr>
      </w:pPr>
      <w:r>
        <w:rPr>
          <w:rFonts w:ascii="Courier New" w:cs="Courier New" w:eastAsia="Courier New" w:hAnsi="Courier New"/>
          <w:sz w:val="18"/>
          <w:szCs w:val="18"/>
          <w:color w:val="auto"/>
        </w:rPr>
        <w:t>Synergy Opportunities</w:t>
      </w:r>
    </w:p>
    <w:p>
      <w:pPr>
        <w:spacing w:after="0" w:line="202" w:lineRule="exact"/>
        <w:rPr>
          <w:sz w:val="20"/>
          <w:szCs w:val="20"/>
          <w:color w:val="auto"/>
        </w:rPr>
      </w:pPr>
    </w:p>
    <w:p>
      <w:pPr>
        <w:jc w:val="right"/>
        <w:ind w:right="3999"/>
        <w:spacing w:after="0"/>
        <w:rPr>
          <w:sz w:val="20"/>
          <w:szCs w:val="20"/>
          <w:color w:val="auto"/>
        </w:rPr>
      </w:pPr>
      <w:r>
        <w:rPr>
          <w:rFonts w:ascii="Courier New" w:cs="Courier New" w:eastAsia="Courier New" w:hAnsi="Courier New"/>
          <w:sz w:val="18"/>
          <w:szCs w:val="18"/>
          <w:color w:val="auto"/>
        </w:rPr>
        <w:t>Value from economies of scale and scope</w:t>
      </w:r>
    </w:p>
    <w:p>
      <w:pPr>
        <w:spacing w:after="0" w:line="201"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Programming savings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Hardware procurement</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savings</w:t>
      </w:r>
    </w:p>
    <w:p>
      <w:pPr>
        <w:spacing w:after="0" w:line="200" w:lineRule="exact"/>
        <w:rPr>
          <w:sz w:val="20"/>
          <w:szCs w:val="20"/>
          <w:color w:val="auto"/>
        </w:rPr>
      </w:pPr>
    </w:p>
    <w:p>
      <w:pPr>
        <w:spacing w:after="0" w:line="204"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Targeted annual expense reduction:</w:t>
      </w:r>
      <w:r>
        <w:rPr>
          <w:sz w:val="20"/>
          <w:szCs w:val="20"/>
          <w:color w:val="auto"/>
        </w:rPr>
        <w:tab/>
      </w:r>
      <w:r>
        <w:rPr>
          <w:rFonts w:ascii="Courier New" w:cs="Courier New" w:eastAsia="Courier New" w:hAnsi="Courier New"/>
          <w:sz w:val="16"/>
          <w:szCs w:val="16"/>
          <w:color w:val="auto"/>
        </w:rPr>
        <w:t>$300 - $500MM</w:t>
      </w:r>
    </w:p>
    <w:p>
      <w:pPr>
        <w:spacing w:after="0"/>
        <w:tabs>
          <w:tab w:leader="none" w:pos="3780" w:val="left"/>
        </w:tabs>
        <w:rPr>
          <w:sz w:val="20"/>
          <w:szCs w:val="20"/>
          <w:color w:val="auto"/>
        </w:rPr>
      </w:pPr>
      <w:r>
        <w:rPr>
          <w:rFonts w:ascii="Courier New" w:cs="Courier New" w:eastAsia="Courier New" w:hAnsi="Courier New"/>
          <w:sz w:val="18"/>
          <w:szCs w:val="18"/>
          <w:color w:val="auto"/>
        </w:rPr>
        <w:t>Targeted annual capex reduction:</w:t>
      </w:r>
      <w:r>
        <w:rPr>
          <w:sz w:val="20"/>
          <w:szCs w:val="20"/>
          <w:color w:val="auto"/>
        </w:rPr>
        <w:tab/>
      </w:r>
      <w:r>
        <w:rPr>
          <w:rFonts w:ascii="Courier New" w:cs="Courier New" w:eastAsia="Courier New" w:hAnsi="Courier New"/>
          <w:sz w:val="16"/>
          <w:szCs w:val="16"/>
          <w:color w:val="auto"/>
        </w:rPr>
        <w:t>$200 - $500MM</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19"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Cost Savings and</w:t>
      </w:r>
    </w:p>
    <w:p>
      <w:pPr>
        <w:ind w:left="540"/>
        <w:spacing w:after="0" w:line="238" w:lineRule="auto"/>
        <w:rPr>
          <w:sz w:val="20"/>
          <w:szCs w:val="20"/>
          <w:color w:val="auto"/>
        </w:rPr>
      </w:pPr>
      <w:r>
        <w:rPr>
          <w:rFonts w:ascii="Courier New" w:cs="Courier New" w:eastAsia="Courier New" w:hAnsi="Courier New"/>
          <w:sz w:val="18"/>
          <w:szCs w:val="18"/>
          <w:color w:val="auto"/>
        </w:rPr>
        <w:t>Synergy Opportunities</w:t>
      </w:r>
    </w:p>
    <w:p>
      <w:pPr>
        <w:spacing w:after="0" w:line="200" w:lineRule="exact"/>
        <w:rPr>
          <w:sz w:val="20"/>
          <w:szCs w:val="20"/>
          <w:color w:val="auto"/>
        </w:rPr>
      </w:pPr>
    </w:p>
    <w:p>
      <w:pPr>
        <w:spacing w:after="0" w:line="210"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annual cost reductions and synergies: $2.6 to $2.8 billion</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Targeted as near term and highly achievable:</w:t>
      </w:r>
      <w:r>
        <w:rPr>
          <w:rFonts w:ascii="Courier New" w:cs="Courier New" w:eastAsia="Courier New" w:hAnsi="Courier New"/>
          <w:sz w:val="16"/>
          <w:szCs w:val="16"/>
          <w:color w:val="auto"/>
        </w:rPr>
        <w:t>$1.25 billion</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[Graphic Omitted]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Economies of Scale and Scope*: $300-$500 Million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Margin Improvement: $2.3 Billion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*Excludes revenue enhancement and capex reduction</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919"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Pro Forma Cash Flow</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Cash flow enhanced by cost savings</w:t>
      </w:r>
    </w:p>
    <w:p>
      <w:pPr>
        <w:ind w:left="2860"/>
        <w:spacing w:after="0" w:line="238" w:lineRule="auto"/>
        <w:rPr>
          <w:sz w:val="20"/>
          <w:szCs w:val="20"/>
          <w:color w:val="auto"/>
        </w:rPr>
      </w:pPr>
      <w:r>
        <w:rPr>
          <w:rFonts w:ascii="Courier New" w:cs="Courier New" w:eastAsia="Courier New" w:hAnsi="Courier New"/>
          <w:sz w:val="18"/>
          <w:szCs w:val="18"/>
          <w:color w:val="auto"/>
        </w:rPr>
        <w:t>and synergy opportunities</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[Cluster chart detailing 2001E EBITDA* by corporation:</w:t>
      </w:r>
    </w:p>
    <w:p>
      <w:pPr>
        <w:spacing w:after="0" w:line="201" w:lineRule="exact"/>
        <w:rPr>
          <w:sz w:val="20"/>
          <w:szCs w:val="20"/>
          <w:color w:val="auto"/>
        </w:rPr>
      </w:pPr>
    </w:p>
    <w:tbl>
      <w:tblPr>
        <w:tblLayout w:type="fixed"/>
        <w:tblInd w:w="254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AT&amp;T Broadband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$2.2</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($Bn)</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($Bn)</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NewCo</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($Bn) (including $1.3 Bn</w:t>
            </w:r>
          </w:p>
        </w:tc>
      </w:tr>
    </w:tbl>
    <w:p>
      <w:pPr>
        <w:spacing w:after="0" w:line="4"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in cost savings</w:t>
      </w:r>
    </w:p>
    <w:p>
      <w:pPr>
        <w:spacing w:after="0" w:line="16"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&amp; synergies)]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Wall Street estimates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19"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4"/>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Financial Powerhouse</w:t>
            </w:r>
          </w:p>
        </w:tc>
        <w:tc>
          <w:tcPr>
            <w:tcW w:w="36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1740" w:type="dxa"/>
            <w:vAlign w:val="bottom"/>
          </w:tcPr>
          <w:p>
            <w:pPr>
              <w:spacing w:after="0"/>
              <w:rPr>
                <w:sz w:val="24"/>
                <w:szCs w:val="24"/>
                <w:color w:val="auto"/>
              </w:rPr>
            </w:pPr>
          </w:p>
        </w:tc>
        <w:tc>
          <w:tcPr>
            <w:tcW w:w="558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NewCo to have investment grade profile</w:t>
            </w:r>
          </w:p>
        </w:tc>
        <w:tc>
          <w:tcPr>
            <w:tcW w:w="800" w:type="dxa"/>
            <w:vAlign w:val="bottom"/>
          </w:tcPr>
          <w:p>
            <w:pPr>
              <w:spacing w:after="0"/>
              <w:rPr>
                <w:sz w:val="24"/>
                <w:szCs w:val="24"/>
                <w:color w:val="auto"/>
              </w:rPr>
            </w:pPr>
          </w:p>
        </w:tc>
      </w:tr>
      <w:tr>
        <w:trPr>
          <w:trHeight w:val="405"/>
        </w:trPr>
        <w:tc>
          <w:tcPr>
            <w:tcW w:w="1740" w:type="dxa"/>
            <w:vAlign w:val="bottom"/>
          </w:tcPr>
          <w:p>
            <w:pPr>
              <w:ind w:left="540"/>
              <w:spacing w:after="0"/>
              <w:rPr>
                <w:sz w:val="20"/>
                <w:szCs w:val="20"/>
                <w:color w:val="auto"/>
              </w:rPr>
            </w:pPr>
            <w:r>
              <w:rPr>
                <w:rFonts w:ascii="Courier New" w:cs="Courier New" w:eastAsia="Courier New" w:hAnsi="Courier New"/>
                <w:sz w:val="18"/>
                <w:szCs w:val="18"/>
                <w:color w:val="auto"/>
              </w:rPr>
              <w:t>Leverage</w:t>
            </w:r>
          </w:p>
        </w:tc>
        <w:tc>
          <w:tcPr>
            <w:tcW w:w="1960" w:type="dxa"/>
            <w:vAlign w:val="bottom"/>
          </w:tcPr>
          <w:p>
            <w:pPr>
              <w:spacing w:after="0"/>
              <w:rPr>
                <w:sz w:val="24"/>
                <w:szCs w:val="24"/>
                <w:color w:val="auto"/>
              </w:rPr>
            </w:pPr>
          </w:p>
        </w:tc>
        <w:tc>
          <w:tcPr>
            <w:tcW w:w="3620" w:type="dxa"/>
            <w:vAlign w:val="bottom"/>
          </w:tcPr>
          <w:p>
            <w:pPr>
              <w:ind w:left="2000"/>
              <w:spacing w:after="0"/>
              <w:rPr>
                <w:sz w:val="20"/>
                <w:szCs w:val="20"/>
                <w:color w:val="auto"/>
              </w:rPr>
            </w:pPr>
            <w:r>
              <w:rPr>
                <w:rFonts w:ascii="Courier New" w:cs="Courier New" w:eastAsia="Courier New" w:hAnsi="Courier New"/>
                <w:sz w:val="18"/>
                <w:szCs w:val="18"/>
                <w:color w:val="auto"/>
              </w:rPr>
              <w:t>Credit Profile</w:t>
            </w:r>
          </w:p>
        </w:tc>
        <w:tc>
          <w:tcPr>
            <w:tcW w:w="800" w:type="dxa"/>
            <w:vAlign w:val="bottom"/>
          </w:tcPr>
          <w:p>
            <w:pPr>
              <w:spacing w:after="0"/>
              <w:rPr>
                <w:sz w:val="24"/>
                <w:szCs w:val="24"/>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 in Billions)</w:t>
            </w:r>
          </w:p>
        </w:tc>
        <w:tc>
          <w:tcPr>
            <w:tcW w:w="1960" w:type="dxa"/>
            <w:vAlign w:val="bottom"/>
          </w:tcPr>
          <w:p>
            <w:pPr>
              <w:spacing w:after="0"/>
              <w:rPr>
                <w:sz w:val="17"/>
                <w:szCs w:val="17"/>
                <w:color w:val="auto"/>
              </w:rPr>
            </w:pPr>
          </w:p>
        </w:tc>
        <w:tc>
          <w:tcPr>
            <w:tcW w:w="4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Debt/01 EBITDA</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4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w:t>
            </w:r>
          </w:p>
        </w:tc>
        <w:tc>
          <w:tcPr>
            <w:tcW w:w="19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$11.2</w:t>
            </w:r>
          </w:p>
        </w:tc>
        <w:tc>
          <w:tcPr>
            <w:tcW w:w="362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Without synergies</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4.7x</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Assumed debt</w:t>
            </w:r>
          </w:p>
        </w:tc>
        <w:tc>
          <w:tcPr>
            <w:tcW w:w="19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13.5</w:t>
            </w:r>
          </w:p>
        </w:tc>
        <w:tc>
          <w:tcPr>
            <w:tcW w:w="362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$1.25Bn of synergies</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3.8x</w:t>
            </w:r>
          </w:p>
        </w:tc>
      </w:tr>
      <w:tr>
        <w:trPr>
          <w:trHeight w:val="203"/>
        </w:trPr>
        <w:tc>
          <w:tcPr>
            <w:tcW w:w="1740" w:type="dxa"/>
            <w:vAlign w:val="bottom"/>
          </w:tcPr>
          <w:p>
            <w:pPr>
              <w:spacing w:after="0"/>
              <w:rPr>
                <w:sz w:val="17"/>
                <w:szCs w:val="17"/>
                <w:color w:val="auto"/>
              </w:rPr>
            </w:pPr>
          </w:p>
        </w:tc>
        <w:tc>
          <w:tcPr>
            <w:tcW w:w="19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w:t>
            </w:r>
          </w:p>
        </w:tc>
        <w:tc>
          <w:tcPr>
            <w:tcW w:w="4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Target Rating Investment Grade</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debt</w:t>
            </w:r>
          </w:p>
        </w:tc>
        <w:tc>
          <w:tcPr>
            <w:tcW w:w="19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$24.7</w:t>
            </w:r>
          </w:p>
        </w:tc>
        <w:tc>
          <w:tcPr>
            <w:tcW w:w="36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2002 leverage ratios would decline significantly</w:t>
      </w:r>
    </w:p>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debt based on 3/31/01 reported debt adjusted to exclude ZONES and to include impact of subsequent events.</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EBITDA multiples based on EBITDA forecasts from Wall Street estimates.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19"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Accretive to Comcast Shareholders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Transaction is EBITDA accretive to Comcast shareholders</w:t>
      </w:r>
    </w:p>
    <w:p>
      <w:pPr>
        <w:spacing w:after="0" w:line="201" w:lineRule="exact"/>
        <w:rPr>
          <w:sz w:val="20"/>
          <w:szCs w:val="20"/>
          <w:color w:val="auto"/>
        </w:rPr>
      </w:pPr>
    </w:p>
    <w:p>
      <w:pPr>
        <w:spacing w:after="0"/>
        <w:tabs>
          <w:tab w:leader="none" w:pos="4300" w:val="left"/>
          <w:tab w:leader="none" w:pos="5680" w:val="left"/>
          <w:tab w:leader="none" w:pos="7680" w:val="left"/>
        </w:tabs>
        <w:rPr>
          <w:sz w:val="20"/>
          <w:szCs w:val="20"/>
          <w:color w:val="auto"/>
        </w:rPr>
      </w:pPr>
      <w:r>
        <w:rPr>
          <w:rFonts w:ascii="Courier New" w:cs="Courier New" w:eastAsia="Courier New" w:hAnsi="Courier New"/>
          <w:sz w:val="18"/>
          <w:szCs w:val="18"/>
          <w:color w:val="auto"/>
        </w:rPr>
        <w:t>($ millions)</w:t>
      </w:r>
      <w:r>
        <w:rPr>
          <w:sz w:val="20"/>
          <w:szCs w:val="20"/>
          <w:color w:val="auto"/>
        </w:rPr>
        <w:tab/>
      </w:r>
      <w:r>
        <w:rPr>
          <w:rFonts w:ascii="Courier New" w:cs="Courier New" w:eastAsia="Courier New" w:hAnsi="Courier New"/>
          <w:sz w:val="18"/>
          <w:szCs w:val="18"/>
          <w:color w:val="auto"/>
        </w:rPr>
        <w:t>Year 1</w:t>
      </w:r>
      <w:r>
        <w:rPr>
          <w:sz w:val="20"/>
          <w:szCs w:val="20"/>
          <w:color w:val="auto"/>
        </w:rPr>
        <w:tab/>
      </w:r>
      <w:r>
        <w:rPr>
          <w:rFonts w:ascii="Courier New" w:cs="Courier New" w:eastAsia="Courier New" w:hAnsi="Courier New"/>
          <w:sz w:val="18"/>
          <w:szCs w:val="18"/>
          <w:color w:val="auto"/>
        </w:rPr>
        <w:t>Year 2</w:t>
      </w:r>
      <w:r>
        <w:rPr>
          <w:sz w:val="20"/>
          <w:szCs w:val="20"/>
          <w:color w:val="auto"/>
        </w:rPr>
        <w:tab/>
      </w:r>
      <w:r>
        <w:rPr>
          <w:rFonts w:ascii="Courier New" w:cs="Courier New" w:eastAsia="Courier New" w:hAnsi="Courier New"/>
          <w:sz w:val="16"/>
          <w:szCs w:val="16"/>
          <w:color w:val="auto"/>
        </w:rPr>
        <w:t>Year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EBITDA accretion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to (1%)</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2.5% to 5%</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6% to 9%</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(dilution)/share(1),(2)</w:t>
            </w: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Synergy assumption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$400</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 $600</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9"/>
              </w:rPr>
              <w:t>$700 - $900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$1,000 - $1,250</w:t>
            </w:r>
          </w:p>
        </w:tc>
      </w:tr>
    </w:tbl>
    <w:p>
      <w:pPr>
        <w:spacing w:after="0" w:line="200" w:lineRule="exact"/>
        <w:rPr>
          <w:sz w:val="20"/>
          <w:szCs w:val="20"/>
          <w:color w:val="auto"/>
        </w:rPr>
      </w:pPr>
    </w:p>
    <w:p>
      <w:pPr>
        <w:spacing w:after="0" w:line="209" w:lineRule="exact"/>
        <w:rPr>
          <w:sz w:val="20"/>
          <w:szCs w:val="20"/>
          <w:color w:val="auto"/>
        </w:rPr>
      </w:pPr>
    </w:p>
    <w:p>
      <w:pPr>
        <w:ind w:left="1900" w:right="3479" w:hanging="315"/>
        <w:spacing w:after="0" w:line="290" w:lineRule="auto"/>
        <w:rPr>
          <w:sz w:val="20"/>
          <w:szCs w:val="20"/>
          <w:color w:val="auto"/>
        </w:rPr>
      </w:pPr>
      <w:r>
        <w:rPr>
          <w:rFonts w:ascii="Courier New" w:cs="Courier New" w:eastAsia="Courier New" w:hAnsi="Courier New"/>
          <w:sz w:val="16"/>
          <w:szCs w:val="16"/>
          <w:color w:val="auto"/>
        </w:rPr>
        <w:t>Proposal represents 15x-16x 2002 estimated EBITDA after taking into account Year 1 synergies</w:t>
      </w:r>
    </w:p>
    <w:p>
      <w:pPr>
        <w:spacing w:after="0" w:line="367" w:lineRule="exact"/>
        <w:rPr>
          <w:sz w:val="20"/>
          <w:szCs w:val="20"/>
          <w:color w:val="auto"/>
        </w:rPr>
      </w:pPr>
    </w:p>
    <w:p>
      <w:pPr>
        <w:ind w:left="420" w:hanging="412"/>
        <w:spacing w:after="0"/>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EBITDA forecasts based on Wall Street consensus estimates</w:t>
      </w:r>
    </w:p>
    <w:p>
      <w:pPr>
        <w:spacing w:after="0" w:line="4" w:lineRule="exact"/>
        <w:rPr>
          <w:rFonts w:ascii="Courier New" w:cs="Courier New" w:eastAsia="Courier New" w:hAnsi="Courier New"/>
          <w:sz w:val="18"/>
          <w:szCs w:val="18"/>
          <w:color w:val="auto"/>
        </w:rPr>
      </w:pPr>
    </w:p>
    <w:p>
      <w:pPr>
        <w:ind w:right="1779" w:firstLine="8"/>
        <w:spacing w:after="0" w:line="235"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$58Bn transaction pro forma for full year 2002 and the assumption of $13.5Bn of debt</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919"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Comcast: Proven Integration Success</w:t>
      </w:r>
    </w:p>
    <w:p>
      <w:pPr>
        <w:spacing w:after="0" w:line="200" w:lineRule="exact"/>
        <w:rPr>
          <w:sz w:val="20"/>
          <w:szCs w:val="20"/>
          <w:color w:val="auto"/>
        </w:rPr>
      </w:pPr>
    </w:p>
    <w:p>
      <w:pPr>
        <w:spacing w:after="0" w:line="209" w:lineRule="exact"/>
        <w:rPr>
          <w:sz w:val="20"/>
          <w:szCs w:val="20"/>
          <w:color w:val="auto"/>
        </w:rPr>
      </w:pPr>
    </w:p>
    <w:p>
      <w:pPr>
        <w:ind w:left="540" w:right="2519" w:hanging="532"/>
        <w:spacing w:after="0" w:line="235"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has grown revenues 13x since 1990, through integration of 11 significant acquisitions</w:t>
      </w:r>
    </w:p>
    <w:p>
      <w:pPr>
        <w:spacing w:after="0" w:line="208"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Nearly doubled cable subscribers from 4.5MM to 8.4MM through five major transactions in 24 months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Rapidly and significantly improved acquired systems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919"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Comcast's Integration Success</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Dramatic Improvement in 12-24 months</w:t>
      </w:r>
    </w:p>
    <w:p>
      <w:pPr>
        <w:spacing w:after="0" w:line="200" w:lineRule="exact"/>
        <w:rPr>
          <w:sz w:val="20"/>
          <w:szCs w:val="20"/>
          <w:color w:val="auto"/>
        </w:rPr>
      </w:pPr>
    </w:p>
    <w:p>
      <w:pPr>
        <w:spacing w:after="0" w:line="204" w:lineRule="exact"/>
        <w:rPr>
          <w:sz w:val="20"/>
          <w:szCs w:val="20"/>
          <w:color w:val="auto"/>
        </w:rPr>
      </w:pPr>
    </w:p>
    <w:tbl>
      <w:tblPr>
        <w:tblLayout w:type="fixed"/>
        <w:tblInd w:w="200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Jones</w:t>
            </w: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EW Scripps</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Intercable</w:t>
            </w:r>
          </w:p>
        </w:tc>
        <w:tc>
          <w:tcPr>
            <w:tcW w:w="74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Lenfest</w:t>
            </w:r>
          </w:p>
        </w:tc>
        <w:tc>
          <w:tcPr>
            <w:tcW w:w="840" w:type="dxa"/>
            <w:vAlign w:val="bottom"/>
          </w:tcPr>
          <w:p>
            <w:pPr>
              <w:spacing w:after="0"/>
              <w:rPr>
                <w:sz w:val="17"/>
                <w:szCs w:val="17"/>
                <w:color w:val="auto"/>
              </w:rPr>
            </w:pPr>
          </w:p>
        </w:tc>
      </w:tr>
      <w:tr>
        <w:trPr>
          <w:trHeight w:val="203"/>
        </w:trPr>
        <w:tc>
          <w:tcPr>
            <w:tcW w:w="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1997</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Growth</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1999</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w:t>
            </w:r>
          </w:p>
        </w:tc>
        <w:tc>
          <w:tcPr>
            <w:tcW w:w="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Growth</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1999</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w:t>
            </w: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Growth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rPr>
              <w:t>Revenue (MM)</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$ 309</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407</w:t>
            </w:r>
          </w:p>
        </w:tc>
        <w:tc>
          <w:tcPr>
            <w:tcW w:w="1060" w:type="dxa"/>
            <w:vAlign w:val="bottom"/>
          </w:tcPr>
          <w:p>
            <w:pPr>
              <w:ind w:left="440"/>
              <w:spacing w:after="0"/>
              <w:rPr>
                <w:sz w:val="20"/>
                <w:szCs w:val="20"/>
                <w:color w:val="auto"/>
              </w:rPr>
            </w:pPr>
            <w:r>
              <w:rPr>
                <w:rFonts w:ascii="Courier New" w:cs="Courier New" w:eastAsia="Courier New" w:hAnsi="Courier New"/>
                <w:sz w:val="18"/>
                <w:szCs w:val="18"/>
                <w:color w:val="auto"/>
              </w:rPr>
              <w:t>+32%</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537</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$ 582</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515</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$ 568</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OCF (MM)</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$ 134</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207</w:t>
            </w:r>
          </w:p>
        </w:tc>
        <w:tc>
          <w:tcPr>
            <w:tcW w:w="1060" w:type="dxa"/>
            <w:vAlign w:val="bottom"/>
          </w:tcPr>
          <w:p>
            <w:pPr>
              <w:ind w:left="440"/>
              <w:spacing w:after="0"/>
              <w:rPr>
                <w:sz w:val="20"/>
                <w:szCs w:val="20"/>
                <w:color w:val="auto"/>
              </w:rPr>
            </w:pPr>
            <w:r>
              <w:rPr>
                <w:rFonts w:ascii="Courier New" w:cs="Courier New" w:eastAsia="Courier New" w:hAnsi="Courier New"/>
                <w:sz w:val="18"/>
                <w:szCs w:val="18"/>
                <w:color w:val="auto"/>
              </w:rPr>
              <w:t>+54%</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198</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$ 249</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$ 267</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+34%</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Margin</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43%</w:t>
            </w:r>
          </w:p>
        </w:tc>
        <w:tc>
          <w:tcPr>
            <w:tcW w:w="380" w:type="dxa"/>
            <w:vAlign w:val="bottom"/>
          </w:tcPr>
          <w:p>
            <w:pPr>
              <w:spacing w:after="0"/>
              <w:rPr>
                <w:sz w:val="24"/>
                <w:szCs w:val="24"/>
                <w:color w:val="auto"/>
              </w:rPr>
            </w:pPr>
          </w:p>
        </w:tc>
        <w:tc>
          <w:tcPr>
            <w:tcW w:w="5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51%</w:t>
            </w:r>
          </w:p>
        </w:tc>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+8 pts</w:t>
            </w:r>
          </w:p>
        </w:tc>
        <w:tc>
          <w:tcPr>
            <w:tcW w:w="380" w:type="dxa"/>
            <w:vAlign w:val="bottom"/>
          </w:tcPr>
          <w:p>
            <w:pPr>
              <w:spacing w:after="0"/>
              <w:rPr>
                <w:sz w:val="24"/>
                <w:szCs w:val="24"/>
                <w:color w:val="auto"/>
              </w:rPr>
            </w:pP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37%</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43%</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 pts</w:t>
            </w:r>
          </w:p>
        </w:tc>
        <w:tc>
          <w:tcPr>
            <w:tcW w:w="320" w:type="dxa"/>
            <w:vAlign w:val="bottom"/>
          </w:tcPr>
          <w:p>
            <w:pPr>
              <w:spacing w:after="0"/>
              <w:rPr>
                <w:sz w:val="24"/>
                <w:szCs w:val="24"/>
                <w:color w:val="auto"/>
              </w:rPr>
            </w:pP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39%</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47%</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+8 pts</w:t>
            </w:r>
          </w:p>
        </w:tc>
      </w:tr>
      <w:tr>
        <w:trPr>
          <w:trHeight w:val="405"/>
        </w:trPr>
        <w:tc>
          <w:tcPr>
            <w:tcW w:w="1700" w:type="dxa"/>
            <w:vAlign w:val="bottom"/>
          </w:tcPr>
          <w:p>
            <w:pPr>
              <w:spacing w:after="0"/>
              <w:rPr>
                <w:sz w:val="20"/>
                <w:szCs w:val="20"/>
                <w:color w:val="auto"/>
              </w:rPr>
            </w:pPr>
            <w:r>
              <w:rPr>
                <w:rFonts w:ascii="Courier New" w:cs="Courier New" w:eastAsia="Courier New" w:hAnsi="Courier New"/>
                <w:sz w:val="18"/>
                <w:szCs w:val="18"/>
                <w:color w:val="auto"/>
              </w:rPr>
              <w:t>OCF/Subscriber</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$ 168</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236</w:t>
            </w:r>
          </w:p>
        </w:tc>
        <w:tc>
          <w:tcPr>
            <w:tcW w:w="1060" w:type="dxa"/>
            <w:vAlign w:val="bottom"/>
          </w:tcPr>
          <w:p>
            <w:pPr>
              <w:ind w:left="440"/>
              <w:spacing w:after="0"/>
              <w:rPr>
                <w:sz w:val="20"/>
                <w:szCs w:val="20"/>
                <w:color w:val="auto"/>
              </w:rPr>
            </w:pPr>
            <w:r>
              <w:rPr>
                <w:rFonts w:ascii="Courier New" w:cs="Courier New" w:eastAsia="Courier New" w:hAnsi="Courier New"/>
                <w:sz w:val="18"/>
                <w:szCs w:val="18"/>
                <w:color w:val="auto"/>
              </w:rPr>
              <w:t>+40%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181</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$ 221</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+22%</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152</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$ 200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+32%</w:t>
            </w:r>
          </w:p>
        </w:tc>
      </w:tr>
      <w:tr>
        <w:trPr>
          <w:trHeight w:val="810"/>
        </w:trPr>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Courier New" w:cs="Courier New" w:eastAsia="Courier New" w:hAnsi="Courier New"/>
                <w:sz w:val="18"/>
                <w:szCs w:val="18"/>
                <w:color w:val="auto"/>
              </w:rPr>
              <w:t>22</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440"/>
          </w:cols>
          <w:pgMar w:left="240" w:top="919" w:right="121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w w:val="97"/>
              </w:rPr>
              <w:t>Comcast's Integration Success</w:t>
            </w: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3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Rapid improvement</w:t>
            </w:r>
          </w:p>
        </w:tc>
        <w:tc>
          <w:tcPr>
            <w:tcW w:w="268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8"/>
              </w:rPr>
              <w:t>in operating performance</w:t>
            </w:r>
          </w:p>
        </w:tc>
        <w:tc>
          <w:tcPr>
            <w:tcW w:w="680" w:type="dxa"/>
            <w:vAlign w:val="bottom"/>
          </w:tcPr>
          <w:p>
            <w:pPr>
              <w:spacing w:after="0"/>
              <w:rPr>
                <w:sz w:val="24"/>
                <w:szCs w:val="24"/>
                <w:color w:val="auto"/>
              </w:rPr>
            </w:pPr>
          </w:p>
        </w:tc>
      </w:tr>
      <w:tr>
        <w:trPr>
          <w:trHeight w:val="203"/>
        </w:trPr>
        <w:tc>
          <w:tcPr>
            <w:tcW w:w="2120" w:type="dxa"/>
            <w:vAlign w:val="bottom"/>
          </w:tcPr>
          <w:p>
            <w:pPr>
              <w:spacing w:after="0"/>
              <w:rPr>
                <w:sz w:val="17"/>
                <w:szCs w:val="17"/>
                <w:color w:val="auto"/>
              </w:rPr>
            </w:pPr>
          </w:p>
        </w:tc>
        <w:tc>
          <w:tcPr>
            <w:tcW w:w="426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of systems recently acquired from AT&amp;T</w:t>
            </w:r>
          </w:p>
        </w:tc>
        <w:tc>
          <w:tcPr>
            <w:tcW w:w="680" w:type="dxa"/>
            <w:vAlign w:val="bottom"/>
          </w:tcPr>
          <w:p>
            <w:pPr>
              <w:spacing w:after="0"/>
              <w:rPr>
                <w:sz w:val="17"/>
                <w:szCs w:val="17"/>
                <w:color w:val="auto"/>
              </w:rPr>
            </w:pPr>
          </w:p>
        </w:tc>
      </w:tr>
      <w:tr>
        <w:trPr>
          <w:trHeight w:val="608"/>
        </w:trPr>
        <w:tc>
          <w:tcPr>
            <w:tcW w:w="21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AT&amp;T</w:t>
            </w:r>
          </w:p>
        </w:tc>
        <w:tc>
          <w:tcPr>
            <w:tcW w:w="1520" w:type="dxa"/>
            <w:vAlign w:val="bottom"/>
          </w:tcPr>
          <w:p>
            <w:pPr>
              <w:ind w:left="100"/>
              <w:spacing w:after="0"/>
              <w:rPr>
                <w:sz w:val="20"/>
                <w:szCs w:val="20"/>
                <w:color w:val="auto"/>
              </w:rPr>
            </w:pPr>
            <w:r>
              <w:rPr>
                <w:rFonts w:ascii="Courier New" w:cs="Courier New" w:eastAsia="Courier New" w:hAnsi="Courier New"/>
                <w:sz w:val="18"/>
                <w:szCs w:val="18"/>
                <w:color w:val="auto"/>
              </w:rPr>
              <w:t>Broadband(1)</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05"/>
        </w:trPr>
        <w:tc>
          <w:tcPr>
            <w:tcW w:w="2120" w:type="dxa"/>
            <w:vAlign w:val="bottom"/>
          </w:tcPr>
          <w:p>
            <w:pPr>
              <w:ind w:left="1060"/>
              <w:spacing w:after="0"/>
              <w:rPr>
                <w:sz w:val="20"/>
                <w:szCs w:val="20"/>
                <w:color w:val="auto"/>
              </w:rPr>
            </w:pPr>
            <w:r>
              <w:rPr>
                <w:rFonts w:ascii="Courier New" w:cs="Courier New" w:eastAsia="Courier New" w:hAnsi="Courier New"/>
                <w:sz w:val="18"/>
                <w:szCs w:val="18"/>
                <w:color w:val="auto"/>
              </w:rPr>
              <w:t>Growth</w:t>
            </w:r>
          </w:p>
        </w:tc>
        <w:tc>
          <w:tcPr>
            <w:tcW w:w="1580" w:type="dxa"/>
            <w:vAlign w:val="bottom"/>
          </w:tcPr>
          <w:p>
            <w:pPr>
              <w:spacing w:after="0"/>
              <w:rPr>
                <w:sz w:val="24"/>
                <w:szCs w:val="24"/>
                <w:color w:val="auto"/>
              </w:rPr>
            </w:pPr>
          </w:p>
        </w:tc>
        <w:tc>
          <w:tcPr>
            <w:tcW w:w="1520" w:type="dxa"/>
            <w:vAlign w:val="bottom"/>
          </w:tcPr>
          <w:p>
            <w:pPr>
              <w:jc w:val="right"/>
              <w:ind w:right="1012"/>
              <w:spacing w:after="0"/>
              <w:rPr>
                <w:sz w:val="20"/>
                <w:szCs w:val="20"/>
                <w:color w:val="auto"/>
              </w:rPr>
            </w:pPr>
            <w:r>
              <w:rPr>
                <w:rFonts w:ascii="Courier New" w:cs="Courier New" w:eastAsia="Courier New" w:hAnsi="Courier New"/>
                <w:sz w:val="18"/>
                <w:szCs w:val="18"/>
                <w:color w:val="auto"/>
                <w:w w:val="92"/>
              </w:rPr>
              <w:t>2000</w:t>
            </w:r>
          </w:p>
        </w:tc>
        <w:tc>
          <w:tcPr>
            <w:tcW w:w="116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2001E</w:t>
            </w:r>
          </w:p>
        </w:tc>
        <w:tc>
          <w:tcPr>
            <w:tcW w:w="680" w:type="dxa"/>
            <w:vAlign w:val="bottom"/>
          </w:tcPr>
          <w:p>
            <w:pPr>
              <w:spacing w:after="0"/>
              <w:rPr>
                <w:sz w:val="24"/>
                <w:szCs w:val="24"/>
                <w:color w:val="auto"/>
              </w:rPr>
            </w:pPr>
          </w:p>
        </w:tc>
      </w:tr>
      <w:tr>
        <w:trPr>
          <w:trHeight w:val="203"/>
        </w:trPr>
        <w:tc>
          <w:tcPr>
            <w:tcW w:w="70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Revenue (MM)</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426</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461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w:t>
            </w:r>
          </w:p>
        </w:tc>
      </w:tr>
      <w:tr>
        <w:trPr>
          <w:trHeight w:val="405"/>
        </w:trPr>
        <w:tc>
          <w:tcPr>
            <w:tcW w:w="2120" w:type="dxa"/>
            <w:vAlign w:val="bottom"/>
          </w:tcPr>
          <w:p>
            <w:pPr>
              <w:ind w:left="540"/>
              <w:spacing w:after="0"/>
              <w:rPr>
                <w:sz w:val="20"/>
                <w:szCs w:val="20"/>
                <w:color w:val="auto"/>
              </w:rPr>
            </w:pPr>
            <w:r>
              <w:rPr>
                <w:rFonts w:ascii="Courier New" w:cs="Courier New" w:eastAsia="Courier New" w:hAnsi="Courier New"/>
                <w:sz w:val="18"/>
                <w:szCs w:val="18"/>
                <w:color w:val="auto"/>
              </w:rPr>
              <w:t>OCF (MM)</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113</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149</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+32%</w:t>
            </w:r>
          </w:p>
        </w:tc>
      </w:tr>
      <w:tr>
        <w:trPr>
          <w:trHeight w:val="405"/>
        </w:trPr>
        <w:tc>
          <w:tcPr>
            <w:tcW w:w="2120" w:type="dxa"/>
            <w:vAlign w:val="bottom"/>
          </w:tcPr>
          <w:p>
            <w:pPr>
              <w:ind w:left="540"/>
              <w:spacing w:after="0"/>
              <w:rPr>
                <w:sz w:val="20"/>
                <w:szCs w:val="20"/>
                <w:color w:val="auto"/>
              </w:rPr>
            </w:pPr>
            <w:r>
              <w:rPr>
                <w:rFonts w:ascii="Courier New" w:cs="Courier New" w:eastAsia="Courier New" w:hAnsi="Courier New"/>
                <w:sz w:val="18"/>
                <w:szCs w:val="18"/>
                <w:color w:val="auto"/>
              </w:rPr>
              <w:t>OCF Margin</w:t>
            </w:r>
          </w:p>
        </w:tc>
        <w:tc>
          <w:tcPr>
            <w:tcW w:w="1580" w:type="dxa"/>
            <w:vAlign w:val="bottom"/>
          </w:tcPr>
          <w:p>
            <w:pPr>
              <w:spacing w:after="0"/>
              <w:rPr>
                <w:sz w:val="24"/>
                <w:szCs w:val="24"/>
                <w:color w:val="auto"/>
              </w:rPr>
            </w:pPr>
          </w:p>
        </w:tc>
        <w:tc>
          <w:tcPr>
            <w:tcW w:w="152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26%</w:t>
            </w:r>
          </w:p>
        </w:tc>
        <w:tc>
          <w:tcPr>
            <w:tcW w:w="320" w:type="dxa"/>
            <w:vAlign w:val="bottom"/>
          </w:tcPr>
          <w:p>
            <w:pPr>
              <w:spacing w:after="0"/>
              <w:rPr>
                <w:sz w:val="24"/>
                <w:szCs w:val="24"/>
                <w:color w:val="auto"/>
              </w:rPr>
            </w:pPr>
          </w:p>
        </w:tc>
        <w:tc>
          <w:tcPr>
            <w:tcW w:w="8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32%</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+6 pts</w:t>
            </w:r>
          </w:p>
        </w:tc>
      </w:tr>
      <w:tr>
        <w:trPr>
          <w:trHeight w:val="405"/>
        </w:trPr>
        <w:tc>
          <w:tcPr>
            <w:tcW w:w="2120" w:type="dxa"/>
            <w:vAlign w:val="bottom"/>
          </w:tcPr>
          <w:p>
            <w:pPr>
              <w:ind w:left="540"/>
              <w:spacing w:after="0"/>
              <w:rPr>
                <w:sz w:val="20"/>
                <w:szCs w:val="20"/>
                <w:color w:val="auto"/>
              </w:rPr>
            </w:pPr>
            <w:r>
              <w:rPr>
                <w:rFonts w:ascii="Courier New" w:cs="Courier New" w:eastAsia="Courier New" w:hAnsi="Courier New"/>
                <w:sz w:val="18"/>
                <w:szCs w:val="18"/>
                <w:color w:val="auto"/>
              </w:rPr>
              <w:t>OCF/Subscriber</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148</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193</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+30%</w:t>
            </w:r>
          </w:p>
        </w:tc>
      </w:tr>
    </w:tbl>
    <w:p>
      <w:pPr>
        <w:spacing w:after="0" w:line="200" w:lineRule="exact"/>
        <w:rPr>
          <w:sz w:val="20"/>
          <w:szCs w:val="20"/>
          <w:color w:val="auto"/>
        </w:rPr>
      </w:pPr>
    </w:p>
    <w:p>
      <w:pPr>
        <w:spacing w:after="0" w:line="209" w:lineRule="exact"/>
        <w:rPr>
          <w:sz w:val="20"/>
          <w:szCs w:val="20"/>
          <w:color w:val="auto"/>
        </w:rPr>
      </w:pPr>
    </w:p>
    <w:p>
      <w:pPr>
        <w:ind w:left="4020" w:right="3359" w:hanging="4012"/>
        <w:spacing w:after="0" w:line="708" w:lineRule="auto"/>
        <w:tabs>
          <w:tab w:leader="none" w:pos="43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765,000 subscribers acquired in swaps as of 12/31/00 23</w:t>
      </w:r>
    </w:p>
    <w:p>
      <w:pPr>
        <w:sectPr>
          <w:pgSz w:w="11900" w:h="16838" w:orient="portrait"/>
          <w:cols w:equalWidth="0" w:num="1">
            <w:col w:w="10219"/>
          </w:cols>
          <w:pgMar w:left="240" w:top="919"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Comcast's Superior</w:t>
      </w:r>
    </w:p>
    <w:p>
      <w:pPr>
        <w:ind w:left="540"/>
        <w:spacing w:after="0" w:line="238" w:lineRule="auto"/>
        <w:rPr>
          <w:sz w:val="20"/>
          <w:szCs w:val="20"/>
          <w:color w:val="auto"/>
        </w:rPr>
      </w:pPr>
      <w:r>
        <w:rPr>
          <w:rFonts w:ascii="Courier New" w:cs="Courier New" w:eastAsia="Courier New" w:hAnsi="Courier New"/>
          <w:sz w:val="18"/>
          <w:szCs w:val="18"/>
          <w:color w:val="auto"/>
        </w:rPr>
        <w:t>Operating Track Record</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Strong EBITDA margins maintained even</w:t>
      </w:r>
    </w:p>
    <w:p>
      <w:pPr>
        <w:ind w:left="2120"/>
        <w:spacing w:after="0" w:line="238" w:lineRule="auto"/>
        <w:rPr>
          <w:sz w:val="20"/>
          <w:szCs w:val="20"/>
          <w:color w:val="auto"/>
        </w:rPr>
      </w:pPr>
      <w:r>
        <w:rPr>
          <w:rFonts w:ascii="Courier New" w:cs="Courier New" w:eastAsia="Courier New" w:hAnsi="Courier New"/>
          <w:sz w:val="18"/>
          <w:szCs w:val="18"/>
          <w:color w:val="auto"/>
        </w:rPr>
        <w:t>as lower margin systems are integrated</w:t>
      </w:r>
    </w:p>
    <w:p>
      <w:pPr>
        <w:spacing w:after="0" w:line="200" w:lineRule="exact"/>
        <w:rPr>
          <w:sz w:val="20"/>
          <w:szCs w:val="20"/>
          <w:color w:val="auto"/>
        </w:rPr>
      </w:pPr>
    </w:p>
    <w:p>
      <w:pPr>
        <w:spacing w:after="0" w:line="210" w:lineRule="exact"/>
        <w:rPr>
          <w:sz w:val="20"/>
          <w:szCs w:val="20"/>
          <w:color w:val="auto"/>
        </w:rPr>
      </w:pPr>
    </w:p>
    <w:p>
      <w:pPr>
        <w:ind w:left="1700" w:right="3159" w:hanging="104"/>
        <w:spacing w:after="0" w:line="237" w:lineRule="auto"/>
        <w:rPr>
          <w:sz w:val="20"/>
          <w:szCs w:val="20"/>
          <w:color w:val="auto"/>
        </w:rPr>
      </w:pPr>
      <w:r>
        <w:rPr>
          <w:rFonts w:ascii="Courier New" w:cs="Courier New" w:eastAsia="Courier New" w:hAnsi="Courier New"/>
          <w:sz w:val="18"/>
          <w:szCs w:val="18"/>
          <w:color w:val="auto"/>
        </w:rPr>
        <w:t>[Chart showing that Comcast has maintained EBITDA margins in excess of 40% while its cable EBITDA has grown from $810 million in 1996 to $1.9 billion in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919"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Building Value Through Content</w:t>
      </w:r>
    </w:p>
    <w:p>
      <w:pPr>
        <w:spacing w:after="0" w:line="200" w:lineRule="exact"/>
        <w:rPr>
          <w:sz w:val="20"/>
          <w:szCs w:val="20"/>
          <w:color w:val="auto"/>
        </w:rPr>
      </w:pPr>
    </w:p>
    <w:p>
      <w:pPr>
        <w:spacing w:after="0" w:line="209" w:lineRule="exact"/>
        <w:rPr>
          <w:sz w:val="20"/>
          <w:szCs w:val="20"/>
          <w:color w:val="auto"/>
        </w:rPr>
      </w:pPr>
    </w:p>
    <w:p>
      <w:pPr>
        <w:ind w:left="1060" w:right="2619" w:hanging="525"/>
        <w:spacing w:after="0" w:line="235" w:lineRule="auto"/>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allows NewCo to capitalize on Comcast's fastest growing business segment</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channels have fast track to profitability</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Platform of 22 million subscribers</w:t>
      </w:r>
    </w:p>
    <w:p>
      <w:pPr>
        <w:spacing w:after="0" w:line="206" w:lineRule="exact"/>
        <w:rPr>
          <w:rFonts w:ascii="Courier New" w:cs="Courier New" w:eastAsia="Courier New" w:hAnsi="Courier New"/>
          <w:sz w:val="18"/>
          <w:szCs w:val="18"/>
          <w:color w:val="auto"/>
        </w:rPr>
      </w:pPr>
    </w:p>
    <w:p>
      <w:pPr>
        <w:ind w:left="1580" w:right="187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oTrack record of significant growth in distribution, revenues and operating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[QVC Logo]</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w w:val="98"/>
              </w:rPr>
              <w:t>Tripled OCF in six years</w:t>
            </w:r>
          </w:p>
        </w:tc>
        <w:tc>
          <w:tcPr>
            <w:tcW w:w="41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($209MM in 1994 to $619MM in 2000)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 Logo]</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40% subscriber growth in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three</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years (46MM to 65MM)</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Golf Channel Logo]</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Grew revenues from $0 to</w:t>
            </w:r>
          </w:p>
        </w:tc>
        <w:tc>
          <w:tcPr>
            <w:tcW w:w="4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$100MM in five years</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[Comcast SportsNet Logo]</w:t>
            </w:r>
          </w:p>
        </w:tc>
        <w:tc>
          <w:tcPr>
            <w:tcW w:w="3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Regional sports network covers</w:t>
            </w:r>
          </w:p>
        </w:tc>
        <w:tc>
          <w:tcPr>
            <w:tcW w:w="3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nearly 50% of Comcast subscribers</w:t>
            </w:r>
          </w:p>
        </w:tc>
      </w:tr>
      <w:tr>
        <w:trPr>
          <w:trHeight w:val="810"/>
        </w:trPr>
        <w:tc>
          <w:tcPr>
            <w:tcW w:w="2580" w:type="dxa"/>
            <w:vAlign w:val="bottom"/>
          </w:tcPr>
          <w:p>
            <w:pPr>
              <w:spacing w:after="0"/>
              <w:rPr>
                <w:sz w:val="24"/>
                <w:szCs w:val="24"/>
                <w:color w:val="auto"/>
              </w:rPr>
            </w:pPr>
          </w:p>
        </w:tc>
        <w:tc>
          <w:tcPr>
            <w:tcW w:w="2640" w:type="dxa"/>
            <w:vAlign w:val="bottom"/>
          </w:tcPr>
          <w:p>
            <w:pPr>
              <w:ind w:left="1440"/>
              <w:spacing w:after="0"/>
              <w:rPr>
                <w:sz w:val="20"/>
                <w:szCs w:val="20"/>
                <w:color w:val="auto"/>
              </w:rPr>
            </w:pPr>
            <w:r>
              <w:rPr>
                <w:rFonts w:ascii="Courier New" w:cs="Courier New" w:eastAsia="Courier New" w:hAnsi="Courier New"/>
                <w:sz w:val="18"/>
                <w:szCs w:val="18"/>
                <w:color w:val="auto"/>
              </w:rPr>
              <w:t>25</w:t>
            </w:r>
          </w:p>
        </w:tc>
        <w:tc>
          <w:tcPr>
            <w:tcW w:w="64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Building Value Through Investments</w:t>
      </w:r>
    </w:p>
    <w:p>
      <w:pPr>
        <w:spacing w:after="0" w:line="200" w:lineRule="exact"/>
        <w:rPr>
          <w:sz w:val="20"/>
          <w:szCs w:val="20"/>
          <w:color w:val="auto"/>
        </w:rPr>
      </w:pPr>
    </w:p>
    <w:p>
      <w:pPr>
        <w:spacing w:after="0" w:line="204" w:lineRule="exact"/>
        <w:rPr>
          <w:sz w:val="20"/>
          <w:szCs w:val="20"/>
          <w:color w:val="auto"/>
        </w:rPr>
      </w:pPr>
    </w:p>
    <w:p>
      <w:pPr>
        <w:ind w:left="2540"/>
        <w:spacing w:after="0"/>
        <w:tabs>
          <w:tab w:leader="none" w:pos="4840" w:val="left"/>
        </w:tabs>
        <w:rPr>
          <w:sz w:val="20"/>
          <w:szCs w:val="20"/>
          <w:color w:val="auto"/>
        </w:rPr>
      </w:pPr>
      <w:r>
        <w:rPr>
          <w:rFonts w:ascii="Courier New" w:cs="Courier New" w:eastAsia="Courier New" w:hAnsi="Courier New"/>
          <w:sz w:val="18"/>
          <w:szCs w:val="18"/>
          <w:color w:val="auto"/>
        </w:rPr>
        <w:t>Value</w:t>
      </w:r>
      <w:r>
        <w:rPr>
          <w:sz w:val="20"/>
          <w:szCs w:val="20"/>
          <w:color w:val="auto"/>
        </w:rPr>
        <w:tab/>
      </w:r>
      <w:r>
        <w:rPr>
          <w:rFonts w:ascii="Courier New" w:cs="Courier New" w:eastAsia="Courier New" w:hAnsi="Courier New"/>
          <w:sz w:val="18"/>
          <w:szCs w:val="18"/>
          <w:color w:val="auto"/>
        </w:rPr>
        <w:t>Current</w:t>
      </w:r>
    </w:p>
    <w:p>
      <w:pPr>
        <w:ind w:left="2320"/>
        <w:spacing w:after="0"/>
        <w:tabs>
          <w:tab w:leader="none" w:pos="4720" w:val="left"/>
        </w:tabs>
        <w:rPr>
          <w:sz w:val="20"/>
          <w:szCs w:val="20"/>
          <w:color w:val="auto"/>
        </w:rPr>
      </w:pPr>
      <w:r>
        <w:rPr>
          <w:rFonts w:ascii="Courier New" w:cs="Courier New" w:eastAsia="Courier New" w:hAnsi="Courier New"/>
          <w:sz w:val="18"/>
          <w:szCs w:val="18"/>
          <w:color w:val="auto"/>
        </w:rPr>
        <w:t>at initial</w:t>
      </w:r>
      <w:r>
        <w:rPr>
          <w:sz w:val="20"/>
          <w:szCs w:val="20"/>
          <w:color w:val="auto"/>
        </w:rPr>
        <w:tab/>
      </w:r>
      <w:r>
        <w:rPr>
          <w:rFonts w:ascii="Courier New" w:cs="Courier New" w:eastAsia="Courier New" w:hAnsi="Courier New"/>
          <w:sz w:val="16"/>
          <w:szCs w:val="16"/>
          <w:color w:val="auto"/>
        </w:rPr>
        <w:t>trading or</w:t>
      </w:r>
    </w:p>
    <w:p>
      <w:pPr>
        <w:spacing w:after="0"/>
        <w:tabs>
          <w:tab w:leader="none" w:pos="2300" w:val="left"/>
          <w:tab w:leader="none" w:pos="4520" w:val="left"/>
        </w:tabs>
        <w:rPr>
          <w:sz w:val="20"/>
          <w:szCs w:val="20"/>
          <w:color w:val="auto"/>
        </w:rPr>
      </w:pPr>
      <w:r>
        <w:rPr>
          <w:rFonts w:ascii="Courier New" w:cs="Courier New" w:eastAsia="Courier New" w:hAnsi="Courier New"/>
          <w:sz w:val="18"/>
          <w:szCs w:val="18"/>
          <w:color w:val="auto"/>
        </w:rPr>
        <w:t>Investment</w:t>
      </w:r>
      <w:r>
        <w:rPr>
          <w:sz w:val="20"/>
          <w:szCs w:val="20"/>
          <w:color w:val="auto"/>
        </w:rPr>
        <w:tab/>
      </w:r>
      <w:r>
        <w:rPr>
          <w:rFonts w:ascii="Courier New" w:cs="Courier New" w:eastAsia="Courier New" w:hAnsi="Courier New"/>
          <w:sz w:val="18"/>
          <w:szCs w:val="18"/>
          <w:color w:val="auto"/>
        </w:rPr>
        <w:t>investment</w:t>
      </w:r>
      <w:r>
        <w:rPr>
          <w:sz w:val="20"/>
          <w:szCs w:val="20"/>
          <w:color w:val="auto"/>
        </w:rPr>
        <w:tab/>
      </w:r>
      <w:r>
        <w:rPr>
          <w:rFonts w:ascii="Courier New" w:cs="Courier New" w:eastAsia="Courier New" w:hAnsi="Courier New"/>
          <w:sz w:val="16"/>
          <w:szCs w:val="16"/>
          <w:color w:val="auto"/>
        </w:rPr>
        <w:t>realized value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Sprint PCS</w:t>
            </w:r>
          </w:p>
        </w:tc>
        <w:tc>
          <w:tcPr>
            <w:tcW w:w="1780" w:type="dxa"/>
            <w:vAlign w:val="bottom"/>
          </w:tcPr>
          <w:p>
            <w:pPr>
              <w:ind w:left="640"/>
              <w:spacing w:after="0"/>
              <w:rPr>
                <w:sz w:val="20"/>
                <w:szCs w:val="20"/>
                <w:color w:val="auto"/>
              </w:rPr>
            </w:pPr>
            <w:r>
              <w:rPr>
                <w:rFonts w:ascii="Courier New" w:cs="Courier New" w:eastAsia="Courier New" w:hAnsi="Courier New"/>
                <w:sz w:val="18"/>
                <w:szCs w:val="18"/>
                <w:color w:val="auto"/>
              </w:rPr>
              <w:t>$ 680MM</w:t>
            </w:r>
          </w:p>
        </w:tc>
        <w:tc>
          <w:tcPr>
            <w:tcW w:w="14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2.7Bn</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TCG - AT&amp;T</w:t>
            </w:r>
          </w:p>
        </w:tc>
        <w:tc>
          <w:tcPr>
            <w:tcW w:w="1780" w:type="dxa"/>
            <w:vAlign w:val="bottom"/>
          </w:tcPr>
          <w:p>
            <w:pPr>
              <w:ind w:left="640"/>
              <w:spacing w:after="0"/>
              <w:rPr>
                <w:sz w:val="20"/>
                <w:szCs w:val="20"/>
                <w:color w:val="auto"/>
              </w:rPr>
            </w:pPr>
            <w:r>
              <w:rPr>
                <w:rFonts w:ascii="Courier New" w:cs="Courier New" w:eastAsia="Courier New" w:hAnsi="Courier New"/>
                <w:sz w:val="18"/>
                <w:szCs w:val="18"/>
                <w:color w:val="auto"/>
              </w:rPr>
              <w:t>$ 150MM</w:t>
            </w:r>
          </w:p>
        </w:tc>
        <w:tc>
          <w:tcPr>
            <w:tcW w:w="14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2.2Bn</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Excite@Home</w:t>
            </w:r>
          </w:p>
        </w:tc>
        <w:tc>
          <w:tcPr>
            <w:tcW w:w="1780" w:type="dxa"/>
            <w:vAlign w:val="bottom"/>
          </w:tcPr>
          <w:p>
            <w:pPr>
              <w:ind w:left="640"/>
              <w:spacing w:after="0"/>
              <w:rPr>
                <w:sz w:val="20"/>
                <w:szCs w:val="20"/>
                <w:color w:val="auto"/>
              </w:rPr>
            </w:pPr>
            <w:r>
              <w:rPr>
                <w:rFonts w:ascii="Courier New" w:cs="Courier New" w:eastAsia="Courier New" w:hAnsi="Courier New"/>
                <w:sz w:val="18"/>
                <w:szCs w:val="18"/>
                <w:color w:val="auto"/>
              </w:rPr>
              <w:t>$  10MM</w:t>
            </w:r>
          </w:p>
        </w:tc>
        <w:tc>
          <w:tcPr>
            <w:tcW w:w="14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1.7Bn</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Other</w:t>
            </w:r>
          </w:p>
        </w:tc>
        <w:tc>
          <w:tcPr>
            <w:tcW w:w="1780" w:type="dxa"/>
            <w:vAlign w:val="bottom"/>
          </w:tcPr>
          <w:p>
            <w:pPr>
              <w:ind w:left="640"/>
              <w:spacing w:after="0"/>
              <w:rPr>
                <w:sz w:val="20"/>
                <w:szCs w:val="20"/>
                <w:color w:val="auto"/>
              </w:rPr>
            </w:pPr>
            <w:r>
              <w:rPr>
                <w:rFonts w:ascii="Courier New" w:cs="Courier New" w:eastAsia="Courier New" w:hAnsi="Courier New"/>
                <w:sz w:val="18"/>
                <w:szCs w:val="18"/>
                <w:color w:val="auto"/>
              </w:rPr>
              <w:t>$ 100MM</w:t>
            </w:r>
          </w:p>
        </w:tc>
        <w:tc>
          <w:tcPr>
            <w:tcW w:w="14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0.5Bn</w:t>
            </w:r>
          </w:p>
        </w:tc>
      </w:tr>
      <w:tr>
        <w:trPr>
          <w:trHeight w:val="203"/>
        </w:trPr>
        <w:tc>
          <w:tcPr>
            <w:tcW w:w="1800" w:type="dxa"/>
            <w:vAlign w:val="bottom"/>
          </w:tcPr>
          <w:p>
            <w:pPr>
              <w:spacing w:after="0"/>
              <w:rPr>
                <w:sz w:val="17"/>
                <w:szCs w:val="17"/>
                <w:color w:val="auto"/>
              </w:rPr>
            </w:pPr>
          </w:p>
        </w:tc>
        <w:tc>
          <w:tcPr>
            <w:tcW w:w="17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780" w:type="dxa"/>
            <w:vAlign w:val="bottom"/>
          </w:tcPr>
          <w:p>
            <w:pPr>
              <w:ind w:left="640"/>
              <w:spacing w:after="0"/>
              <w:rPr>
                <w:sz w:val="20"/>
                <w:szCs w:val="20"/>
                <w:color w:val="auto"/>
              </w:rPr>
            </w:pPr>
            <w:r>
              <w:rPr>
                <w:rFonts w:ascii="Courier New" w:cs="Courier New" w:eastAsia="Courier New" w:hAnsi="Courier New"/>
                <w:sz w:val="18"/>
                <w:szCs w:val="18"/>
                <w:color w:val="auto"/>
              </w:rPr>
              <w:t>$ 940MM</w:t>
            </w:r>
          </w:p>
        </w:tc>
        <w:tc>
          <w:tcPr>
            <w:tcW w:w="14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7.1Bn</w:t>
            </w:r>
          </w:p>
        </w:tc>
      </w:tr>
      <w:tr>
        <w:trPr>
          <w:trHeight w:val="608"/>
        </w:trPr>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26</w:t>
            </w:r>
          </w:p>
        </w:tc>
        <w:tc>
          <w:tcPr>
            <w:tcW w:w="68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Comcast: Shareholder Value Creation</w:t>
      </w:r>
    </w:p>
    <w:p>
      <w:pPr>
        <w:spacing w:after="0" w:line="200" w:lineRule="exact"/>
        <w:rPr>
          <w:sz w:val="20"/>
          <w:szCs w:val="20"/>
          <w:color w:val="auto"/>
        </w:rPr>
      </w:pPr>
    </w:p>
    <w:p>
      <w:pPr>
        <w:spacing w:after="0" w:line="209" w:lineRule="exact"/>
        <w:rPr>
          <w:sz w:val="20"/>
          <w:szCs w:val="20"/>
          <w:color w:val="auto"/>
        </w:rPr>
      </w:pPr>
    </w:p>
    <w:p>
      <w:pPr>
        <w:ind w:left="960" w:right="3899" w:hanging="104"/>
        <w:spacing w:after="0" w:line="268" w:lineRule="auto"/>
        <w:rPr>
          <w:sz w:val="20"/>
          <w:szCs w:val="20"/>
          <w:color w:val="auto"/>
        </w:rPr>
      </w:pPr>
      <w:r>
        <w:rPr>
          <w:rFonts w:ascii="Courier New" w:cs="Courier New" w:eastAsia="Courier New" w:hAnsi="Courier New"/>
          <w:sz w:val="16"/>
          <w:szCs w:val="16"/>
          <w:color w:val="auto"/>
        </w:rPr>
        <w:t>[Chart showing that 1000 shares of Comcast purchased in 1972 IPO for $7 per share would have a value</w:t>
      </w:r>
    </w:p>
    <w:p>
      <w:pPr>
        <w:ind w:left="960" w:right="3899"/>
        <w:spacing w:after="0" w:line="236" w:lineRule="auto"/>
        <w:rPr>
          <w:sz w:val="20"/>
          <w:szCs w:val="20"/>
          <w:color w:val="auto"/>
        </w:rPr>
      </w:pPr>
      <w:r>
        <w:rPr>
          <w:rFonts w:ascii="Courier New" w:cs="Courier New" w:eastAsia="Courier New" w:hAnsi="Courier New"/>
          <w:sz w:val="18"/>
          <w:szCs w:val="18"/>
          <w:color w:val="auto"/>
        </w:rPr>
        <w:t>of $3.9 million as of July 6, 2000 representing a compound annual growth rate of 24% (compared to 12% for the S&amp;P 500).]</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919"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Comcast: Outperforming the Market</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[Chart showing that since 1998 Comcast's stock price</w:t>
      </w:r>
    </w:p>
    <w:p>
      <w:pPr>
        <w:spacing w:after="0" w:line="4" w:lineRule="exact"/>
        <w:rPr>
          <w:sz w:val="20"/>
          <w:szCs w:val="20"/>
          <w:color w:val="auto"/>
        </w:rPr>
      </w:pPr>
    </w:p>
    <w:p>
      <w:pPr>
        <w:jc w:val="both"/>
        <w:ind w:left="960" w:right="3359"/>
        <w:spacing w:after="0" w:line="236" w:lineRule="auto"/>
        <w:rPr>
          <w:sz w:val="20"/>
          <w:szCs w:val="20"/>
          <w:color w:val="auto"/>
        </w:rPr>
      </w:pPr>
      <w:r>
        <w:rPr>
          <w:rFonts w:ascii="Courier New" w:cs="Courier New" w:eastAsia="Courier New" w:hAnsi="Courier New"/>
          <w:sz w:val="18"/>
          <w:szCs w:val="18"/>
          <w:color w:val="auto"/>
        </w:rPr>
        <w:t>has appreciated nearly 168% compared to an approximately 23% increase for the S&amp;P 500 and a 46% decline in AT&amp;T's stock price]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919"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Comcast: Outperforming the Market</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Comcast has outperformed cable industry peers, Nasdaq and S&amp;P 500 for every period over past 10 years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 Year</w:t>
            </w:r>
          </w:p>
        </w:tc>
        <w:tc>
          <w:tcPr>
            <w:tcW w:w="1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3 Years 5 Years</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7"/>
              </w:rPr>
              <w:t>7 Years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10 Years</w:t>
            </w:r>
          </w:p>
        </w:tc>
      </w:tr>
      <w:tr>
        <w:trPr>
          <w:trHeight w:val="405"/>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Comcast</w:t>
            </w: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7%</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26%</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37%</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8"/>
              </w:rPr>
              <w:t>26%</w:t>
            </w: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25%</w:t>
            </w:r>
          </w:p>
        </w:tc>
      </w:tr>
      <w:tr>
        <w:trPr>
          <w:trHeight w:val="405"/>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Cable Composite(1)</w:t>
            </w:r>
          </w:p>
        </w:tc>
        <w:tc>
          <w:tcPr>
            <w:tcW w:w="10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17%</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8"/>
              </w:rPr>
              <w:t>24%</w:t>
            </w: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w:t>
            </w:r>
          </w:p>
        </w:tc>
      </w:tr>
      <w:tr>
        <w:trPr>
          <w:trHeight w:val="405"/>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Nasdaq</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(49%)</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8"/>
              </w:rPr>
              <w:t>16%</w:t>
            </w: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S&amp;P</w:t>
            </w:r>
          </w:p>
        </w:tc>
        <w:tc>
          <w:tcPr>
            <w:tcW w:w="174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500</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8"/>
              </w:rPr>
              <w:t>15%</w:t>
            </w: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w:t>
            </w:r>
          </w:p>
        </w:tc>
      </w:tr>
    </w:tbl>
    <w:p>
      <w:pPr>
        <w:spacing w:after="0" w:line="200" w:lineRule="exact"/>
        <w:rPr>
          <w:sz w:val="20"/>
          <w:szCs w:val="20"/>
          <w:color w:val="auto"/>
        </w:rPr>
      </w:pPr>
    </w:p>
    <w:p>
      <w:pPr>
        <w:spacing w:after="0" w:line="209" w:lineRule="exact"/>
        <w:rPr>
          <w:sz w:val="20"/>
          <w:szCs w:val="20"/>
          <w:color w:val="auto"/>
        </w:rPr>
      </w:pPr>
    </w:p>
    <w:p>
      <w:pPr>
        <w:ind w:right="4519" w:firstLine="8"/>
        <w:spacing w:after="0" w:line="235" w:lineRule="auto"/>
        <w:tabs>
          <w:tab w:leader="none" w:pos="42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Cox, Cablevision, Adelphia and Charter Source: FactSet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919"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Creating the New Broadband Leader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we would create: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 Leader in eight of the top 10 markets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 Presence in 18 of the top 20 markets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 22 million basic subscribers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 Expanded platform to launch new products and build new programming assets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Comcast delivers: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 Superior operating track record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 Proven integration success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 Significant synergy opportunities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 Industry leading returns to shareholders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 24% CAGR since IPO</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919"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Creating the New Broadband Leader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 One of the world's leading media companies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 Premier national distribution network</w:t>
      </w:r>
    </w:p>
    <w:p>
      <w:pPr>
        <w:spacing w:after="0" w:line="207" w:lineRule="exact"/>
        <w:rPr>
          <w:sz w:val="20"/>
          <w:szCs w:val="20"/>
          <w:color w:val="auto"/>
        </w:rPr>
      </w:pPr>
    </w:p>
    <w:p>
      <w:pPr>
        <w:ind w:right="4939"/>
        <w:spacing w:after="0" w:line="473" w:lineRule="auto"/>
        <w:rPr>
          <w:sz w:val="20"/>
          <w:szCs w:val="20"/>
          <w:color w:val="auto"/>
        </w:rPr>
      </w:pPr>
      <w:r>
        <w:rPr>
          <w:rFonts w:ascii="Courier New" w:cs="Courier New" w:eastAsia="Courier New" w:hAnsi="Courier New"/>
          <w:sz w:val="18"/>
          <w:szCs w:val="18"/>
          <w:color w:val="auto"/>
        </w:rPr>
        <w:t>o Positioned to expand relationship with customers o Compelling content opportunities o Industry leading management team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 Financial strength and flexibility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 Expanded margins and multiples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919"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Comcast and AT&amp;T Broadband: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Creating the New Broadband Leader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9, 2001</w:t>
      </w:r>
    </w:p>
    <w:p>
      <w:pPr>
        <w:sectPr>
          <w:pgSz w:w="11900" w:h="16838" w:orient="portrait"/>
          <w:cols w:equalWidth="0" w:num="1">
            <w:col w:w="10219"/>
          </w:cols>
          <w:pgMar w:left="240" w:top="919"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Subject to future developments, Comcast may file with the Commission</w:t>
      </w:r>
    </w:p>
    <w:p>
      <w:pPr>
        <w:spacing w:after="0" w:line="4" w:lineRule="exact"/>
        <w:rPr>
          <w:sz w:val="20"/>
          <w:szCs w:val="20"/>
          <w:color w:val="auto"/>
        </w:rPr>
      </w:pPr>
    </w:p>
    <w:p>
      <w:pPr>
        <w:ind w:right="1879" w:firstLine="8"/>
        <w:spacing w:after="0" w:line="238" w:lineRule="auto"/>
        <w:tabs>
          <w:tab w:leader="none" w:pos="42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preliminary proxy statement for solicitation of proxies from the shareholders of AT&amp;T Corp. ("AT&amp;T") in connection with AT&amp;T's special meeting which is scheduled to take place in September 2001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 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208" w:lineRule="exact"/>
        <w:rPr>
          <w:sz w:val="20"/>
          <w:szCs w:val="20"/>
          <w:color w:val="auto"/>
        </w:rPr>
      </w:pPr>
    </w:p>
    <w:p>
      <w:pPr>
        <w:ind w:right="1999" w:firstLine="948"/>
        <w:spacing w:after="0" w:line="273" w:lineRule="auto"/>
        <w:rPr>
          <w:sz w:val="20"/>
          <w:szCs w:val="20"/>
          <w:color w:val="auto"/>
        </w:rPr>
      </w:pPr>
      <w:r>
        <w:rPr>
          <w:rFonts w:ascii="Courier New" w:cs="Courier New" w:eastAsia="Courier New" w:hAnsi="Courier New"/>
          <w:sz w:val="16"/>
          <w:szCs w:val="16"/>
          <w:color w:val="auto"/>
        </w:rPr>
        <w:t>Comcast, its directors and certain other Comcast employees and advisors may be deemed to be "participants" in Comcast's solicitation of proxies from AT&amp;T's shareholders. A detailed list of the names, affiliations and interests of the participants in the solicitation is contained in a filing made by Comcast with the Commission pursuant to Rule 14a-12 on July 9, 2001.</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lvl w:ilvl="1">
      <w:lvlJc w:val="left"/>
      <w:lvlText w:val="(%2)"/>
      <w:numFmt w:val="decimal"/>
      <w:start w:val="1"/>
    </w:lvl>
  </w:abstractNum>
  <w:abstractNum w:abstractNumId="3">
    <w:nsid w:val="4E6AFB66"/>
    <w:multiLevelType w:val="hybridMultilevel"/>
    <w:lvl w:ilvl="0">
      <w:lvlJc w:val="left"/>
      <w:lvlText w:val="-"/>
      <w:numFmt w:val="bullet"/>
      <w:start w:val="1"/>
    </w:lvl>
    <w:lvl w:ilvl="1">
      <w:lvlJc w:val="left"/>
      <w:lvlText w:val="(%2)"/>
      <w:numFmt w:val="decimal"/>
      <w:start w:val="2"/>
    </w:lvl>
  </w:abstractNum>
  <w:abstractNum w:abstractNumId="4">
    <w:nsid w:val="25E45D32"/>
    <w:multiLevelType w:val="hybridMultilevel"/>
    <w:lvl w:ilvl="0">
      <w:lvlJc w:val="left"/>
      <w:lvlText w:val="-"/>
      <w:numFmt w:val="bullet"/>
      <w:start w:val="1"/>
    </w:lvl>
    <w:lvl w:ilvl="1">
      <w:lvlJc w:val="left"/>
      <w:lvlText w:val="(%2)"/>
      <w:numFmt w:val="decimal"/>
      <w:start w:val="3"/>
    </w:lvl>
  </w:abstractNum>
  <w:abstractNum w:abstractNumId="5">
    <w:nsid w:val="519B500D"/>
    <w:multiLevelType w:val="hybridMultilevel"/>
    <w:lvl w:ilvl="0">
      <w:lvlJc w:val="left"/>
      <w:lvlText w:val="-"/>
      <w:numFmt w:val="bullet"/>
      <w:start w:val="1"/>
    </w:lvl>
    <w:lvl w:ilvl="1">
      <w:lvlJc w:val="left"/>
      <w:lvlText w:val="(%2)"/>
      <w:numFmt w:val="decimal"/>
      <w:start w:val="4"/>
    </w:lvl>
  </w:abstractNum>
  <w:abstractNum w:abstractNumId="6">
    <w:nsid w:val="431BD7B7"/>
    <w:multiLevelType w:val="hybridMultilevel"/>
    <w:lvl w:ilvl="0">
      <w:lvlJc w:val="left"/>
      <w:lvlText w:val="-"/>
      <w:numFmt w:val="bullet"/>
      <w:start w:val="1"/>
    </w:lvl>
    <w:lvl w:ilvl="1">
      <w:lvlJc w:val="left"/>
      <w:lvlText w:val="(%2)"/>
      <w:numFmt w:val="decimal"/>
      <w:start w:val="5"/>
    </w:lvl>
  </w:abstractNum>
  <w:abstractNum w:abstractNumId="7">
    <w:nsid w:val="3F2DBA31"/>
    <w:multiLevelType w:val="hybridMultilevel"/>
    <w:lvl w:ilvl="0">
      <w:lvlJc w:val="left"/>
      <w:lvlText w:val="-"/>
      <w:numFmt w:val="bullet"/>
      <w:start w:val="1"/>
    </w:lvl>
    <w:lvl w:ilvl="1">
      <w:lvlJc w:val="left"/>
      <w:lvlText w:val="(%2)"/>
      <w:numFmt w:val="decimal"/>
      <w:start w:val="1"/>
    </w:lvl>
  </w:abstractNum>
  <w:abstractNum w:abstractNumId="8">
    <w:nsid w:val="7C83E458"/>
    <w:multiLevelType w:val="hybridMultilevel"/>
    <w:lvl w:ilvl="0">
      <w:lvlJc w:val="left"/>
      <w:lvlText w:val="-"/>
      <w:numFmt w:val="bullet"/>
      <w:start w:val="1"/>
    </w:lvl>
    <w:lvl w:ilvl="1">
      <w:lvlJc w:val="left"/>
      <w:lvlText w:val="(%2)"/>
      <w:numFmt w:val="decimal"/>
      <w:start w:val="2"/>
    </w:lvl>
  </w:abstractNum>
  <w:abstractNum w:abstractNumId="9">
    <w:nsid w:val="257130A3"/>
    <w:multiLevelType w:val="hybridMultilevel"/>
    <w:lvl w:ilvl="0">
      <w:lvlJc w:val="left"/>
      <w:lvlText w:val="-"/>
      <w:numFmt w:val="bullet"/>
      <w:start w:val="1"/>
    </w:lvl>
    <w:lvl w:ilvl="1">
      <w:lvlJc w:val="left"/>
      <w:lvlText w:val="(%2)"/>
      <w:numFmt w:val="decimal"/>
      <w:start w:val="3"/>
    </w:lvl>
  </w:abstractNum>
  <w:abstractNum w:abstractNumId="10">
    <w:nsid w:val="62BBD95A"/>
    <w:multiLevelType w:val="hybridMultilevel"/>
    <w:lvl w:ilvl="0">
      <w:lvlJc w:val="left"/>
      <w:lvlText w:val="-"/>
      <w:numFmt w:val="bullet"/>
      <w:start w:val="1"/>
    </w:lvl>
    <w:lvl w:ilvl="1">
      <w:lvlJc w:val="left"/>
      <w:lvlText w:val="(%2)"/>
      <w:numFmt w:val="decimal"/>
      <w:start w:val="4"/>
    </w:lvl>
  </w:abstractNum>
  <w:abstractNum w:abstractNumId="11">
    <w:nsid w:val="436C6125"/>
    <w:multiLevelType w:val="hybridMultilevel"/>
    <w:lvl w:ilvl="0">
      <w:lvlJc w:val="left"/>
      <w:lvlText w:val="o"/>
      <w:numFmt w:val="bullet"/>
      <w:start w:val="1"/>
    </w:lvl>
  </w:abstractNum>
  <w:abstractNum w:abstractNumId="12">
    <w:nsid w:val="628C895D"/>
    <w:multiLevelType w:val="hybridMultilevel"/>
    <w:lvl w:ilvl="0">
      <w:lvlJc w:val="left"/>
      <w:lvlText w:val="(%1)"/>
      <w:numFmt w:val="decimal"/>
    </w:lvl>
    <w:lvl w:ilvl="1">
      <w:lvlJc w:val="left"/>
      <w:lvlText w:val="o"/>
      <w:numFmt w:val="bullet"/>
      <w:start w:val="1"/>
    </w:lvl>
  </w:abstractNum>
  <w:abstractNum w:abstractNumId="13">
    <w:nsid w:val="333AB105"/>
    <w:multiLevelType w:val="hybridMultilevel"/>
    <w:lvl w:ilvl="0">
      <w:lvlJc w:val="left"/>
      <w:lvlText w:val="o"/>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o"/>
      <w:numFmt w:val="bullet"/>
      <w:start w:val="1"/>
    </w:lvl>
  </w:abstractNum>
  <w:abstractNum w:abstractNumId="16">
    <w:nsid w:val="2D1D5AE9"/>
    <w:multiLevelType w:val="hybridMultilevel"/>
    <w:lvl w:ilvl="0">
      <w:lvlJc w:val="left"/>
      <w:lvlText w:val="o"/>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o"/>
      <w:numFmt w:val="bullet"/>
      <w:start w:val="1"/>
    </w:lvl>
  </w:abstractNum>
  <w:abstractNum w:abstractNumId="20">
    <w:nsid w:val="79838CB2"/>
    <w:multiLevelType w:val="hybridMultilevel"/>
    <w:lvl w:ilvl="0">
      <w:lvlJc w:val="left"/>
      <w:lvlText w:val="o"/>
      <w:numFmt w:val="bullet"/>
      <w:start w:val="1"/>
    </w:lvl>
  </w:abstractNum>
  <w:abstractNum w:abstractNumId="21">
    <w:nsid w:val="4353D0CD"/>
    <w:multiLevelType w:val="hybridMultilevel"/>
    <w:lvl w:ilvl="0">
      <w:lvlJc w:val="left"/>
      <w:lvlText w:val="o"/>
      <w:numFmt w:val="bullet"/>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o"/>
      <w:numFmt w:val="bullet"/>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o"/>
      <w:numFmt w:val="bullet"/>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2019-12-16T10:43:44Z</dcterms:created>
  <dcterms:modified xsi:type="dcterms:W3CDTF">2019-12-16T10:43:44Z</dcterms:modified>
</cp:coreProperties>
</file>